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line="276" w:lineRule="auto"/>
        <w:jc w:val="center"/>
        <w:widowControl/>
      </w:pPr>
      <w:r>
        <w:rPr>
          <w:rFonts w:ascii="Arial" w:hAnsi="Arial" w:eastAsia="Microsoft YaHei"/>
          <w:b/>
          <w:color w:val="1F4E79"/>
          <w:sz w:val="36"/>
        </w:rPr>
        <w:t>软件使用授权及知识产权告知确认书</w:t>
      </w:r>
    </w:p>
    <w:p>
      <w:pPr>
        <w:spacing w:before="0" w:after="280" w:line="276" w:lineRule="auto"/>
        <w:jc w:val="center"/>
        <w:widowControl/>
      </w:pPr>
      <w:r>
        <w:rPr>
          <w:rFonts w:ascii="Arial" w:hAnsi="Arial" w:eastAsia="Microsoft YaHei"/>
          <w:color w:val="5A5A5A"/>
          <w:sz w:val="21"/>
        </w:rPr>
        <w:t>AIAgent 微信小程序项目｜版本 1.0.3</w:t>
      </w:r>
    </w:p>
    <w:tbl>
      <w:tblPr>
        <w:tblW w:type="auto" w:w="0"/>
        <w:jc w:val="center"/>
        <w:tblLayout w:type="autofit"/>
        <w:tblLook w:firstColumn="1" w:firstRow="1" w:lastColumn="0" w:lastRow="0" w:noHBand="0" w:noVBand="1" w:val="04A0"/>
      </w:tblPr>
      <w:tblGrid>
        <w:gridCol w:w="9462"/>
      </w:tblGrid>
      <w:tr>
        <w:tc>
          <w:tcPr>
            <w:tcW w:type="dxa" w:w="9462"/>
            <w:shd w:fill="EAF2F8"/>
            <w:tcMar>
              <w:top w:w="160" w:type="dxa"/>
              <w:start w:w="180" w:type="dxa"/>
              <w:bottom w:w="160" w:type="dxa"/>
              <w:end w:w="180" w:type="dxa"/>
            </w:tcMar>
            <w:vAlign w:val="center"/>
          </w:tcPr>
          <w:p>
            <w:pPr>
              <w:spacing w:before="0" w:after="0" w:line="324" w:lineRule="auto"/>
            </w:pPr>
            <w:r>
              <w:rPr>
                <w:rFonts w:ascii="Arial" w:hAnsi="Arial" w:eastAsia="Microsoft YaHei"/>
                <w:b/>
                <w:color w:val="1F4E79"/>
                <w:sz w:val="21"/>
              </w:rPr>
              <w:t>文件性质说明：</w:t>
            </w:r>
            <w:r>
              <w:rPr>
                <w:rFonts w:ascii="Arial" w:hAnsi="Arial" w:eastAsia="Microsoft YaHei"/>
                <w:sz w:val="21"/>
              </w:rPr>
              <w:t>本文件仅作为项目交付范围、软件使用授权、知识产权和数据边界的说明性告知，不要求客户签字或盖章，不作为付款、验收、上线或继续使用本项目的前置条件，也不单独替代双方已经形成的平台订单、报价、聊天记录、交付记录或其他有效约定。</w:t>
            </w:r>
          </w:p>
        </w:tc>
      </w:tr>
    </w:tbl>
    <w:p>
      <w:pPr>
        <w:widowControl/>
      </w:pPr>
    </w:p>
    <w:p>
      <w:pPr>
        <w:spacing w:before="200" w:after="100" w:line="288" w:lineRule="auto"/>
        <w:widowControl/>
        <w:keepNext/>
      </w:pPr>
      <w:r>
        <w:rPr>
          <w:rFonts w:ascii="Arial" w:hAnsi="Arial" w:eastAsia="Microsoft YaHei"/>
          <w:b/>
          <w:color w:val="1F4E79"/>
          <w:sz w:val="25"/>
        </w:rPr>
        <w:t>一、项目基本信息</w:t>
      </w:r>
    </w:p>
    <w:tbl>
      <w:tblPr>
        <w:tblStyle w:val="TableGrid"/>
        <w:tblW w:type="auto" w:w="0"/>
        <w:jc w:val="center"/>
        <w:tblLook w:firstColumn="1" w:firstRow="1" w:lastColumn="0" w:lastRow="0" w:noHBand="0" w:noVBand="1" w:val="04A0"/>
      </w:tblPr>
      <w:tblGrid>
        <w:gridCol w:w="4731"/>
        <w:gridCol w:w="4731"/>
      </w:tblGrid>
      <w:tr>
        <w:tc>
          <w:tcPr>
            <w:tcW w:type="dxa" w:w="4731"/>
            <w:shd w:fill="F2F2F2"/>
            <w:tcMar>
              <w:top w:w="100" w:type="dxa"/>
              <w:start w:w="120" w:type="dxa"/>
              <w:bottom w:w="100" w:type="dxa"/>
              <w:end w:w="120" w:type="dxa"/>
            </w:tcMar>
            <w:vAlign w:val="center"/>
          </w:tcPr>
          <w:p>
            <w:r/>
            <w:r>
              <w:rPr>
                <w:rFonts w:ascii="Arial" w:hAnsi="Arial" w:eastAsia="Microsoft YaHei"/>
                <w:b/>
                <w:sz w:val="20"/>
              </w:rPr>
              <w:t>项目名称</w:t>
            </w:r>
          </w:p>
        </w:tc>
        <w:tc>
          <w:tcPr>
            <w:tcW w:type="dxa" w:w="4731"/>
            <w:tcMar>
              <w:top w:w="100" w:type="dxa"/>
              <w:start w:w="120" w:type="dxa"/>
              <w:bottom w:w="100" w:type="dxa"/>
              <w:end w:w="120" w:type="dxa"/>
            </w:tcMar>
            <w:vAlign w:val="center"/>
          </w:tcPr>
          <w:p>
            <w:r/>
            <w:r>
              <w:rPr>
                <w:rFonts w:ascii="Arial" w:hAnsi="Arial" w:eastAsia="Microsoft YaHei"/>
                <w:sz w:val="20"/>
              </w:rPr>
              <w:t>AIAgent 微信小程序</w:t>
            </w:r>
          </w:p>
        </w:tc>
      </w:tr>
      <w:tr>
        <w:tc>
          <w:tcPr>
            <w:tcW w:type="dxa" w:w="4731"/>
            <w:shd w:fill="F2F2F2"/>
            <w:tcMar>
              <w:top w:w="100" w:type="dxa"/>
              <w:start w:w="120" w:type="dxa"/>
              <w:bottom w:w="100" w:type="dxa"/>
              <w:end w:w="120" w:type="dxa"/>
            </w:tcMar>
            <w:vAlign w:val="center"/>
          </w:tcPr>
          <w:p>
            <w:r/>
            <w:r>
              <w:rPr>
                <w:rFonts w:ascii="Arial" w:hAnsi="Arial" w:eastAsia="Microsoft YaHei"/>
                <w:b/>
                <w:sz w:val="20"/>
              </w:rPr>
              <w:t>客户主体</w:t>
            </w:r>
          </w:p>
        </w:tc>
        <w:tc>
          <w:tcPr>
            <w:tcW w:type="dxa" w:w="4731"/>
            <w:tcMar>
              <w:top w:w="100" w:type="dxa"/>
              <w:start w:w="120" w:type="dxa"/>
              <w:bottom w:w="100" w:type="dxa"/>
              <w:end w:w="120" w:type="dxa"/>
            </w:tcMar>
            <w:vAlign w:val="center"/>
          </w:tcPr>
          <w:p>
            <w:r/>
            <w:r>
              <w:rPr>
                <w:rFonts w:ascii="Arial" w:hAnsi="Arial" w:eastAsia="Microsoft YaHei"/>
                <w:sz w:val="20"/>
              </w:rPr>
              <w:t>北京雪球滚滚教育科技有限公司</w:t>
            </w:r>
          </w:p>
        </w:tc>
      </w:tr>
      <w:tr>
        <w:tc>
          <w:tcPr>
            <w:tcW w:type="dxa" w:w="4731"/>
            <w:shd w:fill="F2F2F2"/>
            <w:tcMar>
              <w:top w:w="100" w:type="dxa"/>
              <w:start w:w="120" w:type="dxa"/>
              <w:bottom w:w="100" w:type="dxa"/>
              <w:end w:w="120" w:type="dxa"/>
            </w:tcMar>
            <w:vAlign w:val="center"/>
          </w:tcPr>
          <w:p>
            <w:r/>
            <w:r>
              <w:rPr>
                <w:rFonts w:ascii="Arial" w:hAnsi="Arial" w:eastAsia="Microsoft YaHei"/>
                <w:b/>
                <w:sz w:val="20"/>
              </w:rPr>
              <w:t>当前版本</w:t>
            </w:r>
          </w:p>
        </w:tc>
        <w:tc>
          <w:tcPr>
            <w:tcW w:type="dxa" w:w="4731"/>
            <w:tcMar>
              <w:top w:w="100" w:type="dxa"/>
              <w:start w:w="120" w:type="dxa"/>
              <w:bottom w:w="100" w:type="dxa"/>
              <w:end w:w="120" w:type="dxa"/>
            </w:tcMar>
            <w:vAlign w:val="center"/>
          </w:tcPr>
          <w:p>
            <w:r/>
            <w:r>
              <w:rPr>
                <w:rFonts w:ascii="Arial" w:hAnsi="Arial" w:eastAsia="Microsoft YaHei"/>
                <w:sz w:val="20"/>
              </w:rPr>
              <w:t>1.0.3</w:t>
            </w:r>
          </w:p>
        </w:tc>
      </w:tr>
      <w:tr>
        <w:tc>
          <w:tcPr>
            <w:tcW w:type="dxa" w:w="4731"/>
            <w:shd w:fill="F2F2F2"/>
            <w:tcMar>
              <w:top w:w="100" w:type="dxa"/>
              <w:start w:w="120" w:type="dxa"/>
              <w:bottom w:w="100" w:type="dxa"/>
              <w:end w:w="120" w:type="dxa"/>
            </w:tcMar>
            <w:vAlign w:val="center"/>
          </w:tcPr>
          <w:p>
            <w:r/>
            <w:r>
              <w:rPr>
                <w:rFonts w:ascii="Arial" w:hAnsi="Arial" w:eastAsia="Microsoft YaHei"/>
                <w:b/>
                <w:sz w:val="20"/>
              </w:rPr>
              <w:t>说明日期</w:t>
            </w:r>
          </w:p>
        </w:tc>
        <w:tc>
          <w:tcPr>
            <w:tcW w:type="dxa" w:w="4731"/>
            <w:tcMar>
              <w:top w:w="100" w:type="dxa"/>
              <w:start w:w="120" w:type="dxa"/>
              <w:bottom w:w="100" w:type="dxa"/>
              <w:end w:w="120" w:type="dxa"/>
            </w:tcMar>
            <w:vAlign w:val="center"/>
          </w:tcPr>
          <w:p>
            <w:r/>
            <w:r>
              <w:rPr>
                <w:rFonts w:ascii="Arial" w:hAnsi="Arial" w:eastAsia="Microsoft YaHei"/>
                <w:sz w:val="20"/>
              </w:rPr>
              <w:t>2026年7月26日</w:t>
            </w:r>
          </w:p>
        </w:tc>
      </w:tr>
    </w:tbl>
    <w:p>
      <w:pPr>
        <w:spacing w:before="200" w:after="100" w:line="288" w:lineRule="auto"/>
        <w:widowControl/>
        <w:keepNext/>
      </w:pPr>
      <w:r>
        <w:rPr>
          <w:rFonts w:ascii="Arial" w:hAnsi="Arial" w:eastAsia="Microsoft YaHei"/>
          <w:b/>
          <w:color w:val="1F4E79"/>
          <w:sz w:val="25"/>
        </w:rPr>
        <w:t>二、本次交付的性质</w:t>
      </w:r>
    </w:p>
    <w:p>
      <w:pPr>
        <w:spacing w:before="0" w:after="100" w:line="348" w:lineRule="auto"/>
        <w:ind w:firstLine="420"/>
        <w:widowControl/>
      </w:pPr>
      <w:r>
        <w:rPr>
          <w:rFonts w:ascii="Arial" w:hAnsi="Arial" w:eastAsia="Microsoft YaHei"/>
          <w:sz w:val="21"/>
        </w:rPr>
        <w:t>除双方另有明确书面约定外，本项目交付属于约定版本的软件部署、运行使用及相关交付服务。客户可以在其自身教育业务、指定微信小程序 AppID 和 CloudBase 环境内长期使用本项目。</w:t>
      </w:r>
    </w:p>
    <w:p>
      <w:pPr>
        <w:spacing w:before="0" w:after="100" w:line="348" w:lineRule="auto"/>
        <w:ind w:firstLine="420"/>
        <w:widowControl/>
      </w:pPr>
      <w:r>
        <w:rPr>
          <w:rFonts w:ascii="Arial" w:hAnsi="Arial" w:eastAsia="Microsoft YaHei"/>
          <w:sz w:val="21"/>
        </w:rPr>
        <w:t>本次交付不当然构成软件著作权、原始源代码、Prompt、判断规则、评分逻辑、模型参数、阈值、策略服务、签名私钥、许可证生成工具、构建体系或其他核心技术成果的所有权转让。</w:t>
      </w:r>
    </w:p>
    <w:p>
      <w:pPr>
        <w:spacing w:before="0" w:after="100" w:line="348" w:lineRule="auto"/>
        <w:ind w:firstLine="420"/>
        <w:widowControl/>
      </w:pPr>
      <w:r>
        <w:rPr>
          <w:rFonts w:ascii="Arial" w:hAnsi="Arial" w:eastAsia="Microsoft YaHei"/>
          <w:sz w:val="21"/>
        </w:rPr>
        <w:t>客户获得已交付版本的正常运行和业务使用权。超出既有交付范围的源代码移交、知识产权转让、专有许可、对外销售、转授权或二次商业化，应由双方另行明确书面约定。</w:t>
      </w:r>
    </w:p>
    <w:p>
      <w:pPr>
        <w:spacing w:before="200" w:after="100" w:line="288" w:lineRule="auto"/>
        <w:widowControl/>
        <w:keepNext/>
      </w:pPr>
      <w:r>
        <w:rPr>
          <w:rFonts w:ascii="Arial" w:hAnsi="Arial" w:eastAsia="Microsoft YaHei"/>
          <w:b/>
          <w:color w:val="1F4E79"/>
          <w:sz w:val="25"/>
        </w:rPr>
        <w:t>三、客户控制和拥有的内容</w:t>
      </w:r>
    </w:p>
    <w:p>
      <w:pPr>
        <w:spacing w:before="0" w:after="100" w:line="348" w:lineRule="auto"/>
        <w:ind w:firstLine="420"/>
        <w:widowControl/>
      </w:pPr>
      <w:r>
        <w:rPr>
          <w:rFonts w:ascii="Arial" w:hAnsi="Arial" w:eastAsia="Microsoft YaHei"/>
          <w:sz w:val="21"/>
        </w:rPr>
        <w:t>客户自行控制并管理其业务账号、运行环境和客户数据，包括但不限于：</w:t>
      </w:r>
    </w:p>
    <w:p>
      <w:pPr>
        <w:pStyle w:val="ListBullet"/>
        <w:spacing w:before="0" w:after="60" w:line="324" w:lineRule="auto"/>
        <w:ind w:left="420" w:hanging="204"/>
        <w:widowControl/>
      </w:pPr>
      <w:r>
        <w:rPr>
          <w:rFonts w:ascii="Arial" w:hAnsi="Arial" w:eastAsia="Microsoft YaHei"/>
          <w:sz w:val="20"/>
        </w:rPr>
        <w:t>微信小程序账号、AppID、CloudBase 环境、数据库、云存储及相关后台权限；</w:t>
      </w:r>
    </w:p>
    <w:p>
      <w:pPr>
        <w:pStyle w:val="ListBullet"/>
        <w:spacing w:before="0" w:after="60" w:line="324" w:lineRule="auto"/>
        <w:ind w:left="420" w:hanging="204"/>
        <w:widowControl/>
      </w:pPr>
      <w:r>
        <w:rPr>
          <w:rFonts w:ascii="Arial" w:hAnsi="Arial" w:eastAsia="Microsoft YaHei"/>
          <w:sz w:val="20"/>
        </w:rPr>
        <w:t>教师和学生资料、花名册、作业图片、OCR 文本、批改结果、历史任务、导出文件和 TTS 音频；</w:t>
      </w:r>
    </w:p>
    <w:p>
      <w:pPr>
        <w:pStyle w:val="ListBullet"/>
        <w:spacing w:before="0" w:after="60" w:line="324" w:lineRule="auto"/>
        <w:ind w:left="420" w:hanging="204"/>
        <w:widowControl/>
      </w:pPr>
      <w:r>
        <w:rPr>
          <w:rFonts w:ascii="Arial" w:hAnsi="Arial" w:eastAsia="Microsoft YaHei"/>
          <w:sz w:val="20"/>
        </w:rPr>
        <w:t>客户自行申请、购买和配置的模型 Key、TTS Key、第三方账号及相应账户余额；</w:t>
      </w:r>
    </w:p>
    <w:p>
      <w:pPr>
        <w:pStyle w:val="ListBullet"/>
        <w:spacing w:before="0" w:after="60" w:line="324" w:lineRule="auto"/>
        <w:ind w:left="420" w:hanging="204"/>
        <w:widowControl/>
      </w:pPr>
      <w:r>
        <w:rPr>
          <w:rFonts w:ascii="Arial" w:hAnsi="Arial" w:eastAsia="Microsoft YaHei"/>
          <w:sz w:val="20"/>
        </w:rPr>
        <w:t>客户提供的企业名称、商标、Logo、课程资料和其他合法素材。</w:t>
      </w:r>
    </w:p>
    <w:p>
      <w:pPr>
        <w:spacing w:before="0" w:after="100" w:line="348" w:lineRule="auto"/>
        <w:ind w:firstLine="420"/>
        <w:widowControl/>
      </w:pPr>
      <w:r>
        <w:rPr>
          <w:rFonts w:ascii="Arial" w:hAnsi="Arial" w:eastAsia="Microsoft YaHei"/>
          <w:sz w:val="21"/>
        </w:rPr>
        <w:t>开发提供方的策略服务仅处理维持策略版本和授权运行所必需的最少技术标识，不以接收或保存学生姓名、作业图片、题目文本、OCR 文本、AI 结果、客户模型 Key 或客户业务数据库内容为运行目的。</w:t>
      </w:r>
    </w:p>
    <w:p>
      <w:pPr>
        <w:spacing w:before="200" w:after="100" w:line="288" w:lineRule="auto"/>
        <w:widowControl/>
        <w:keepNext/>
      </w:pPr>
      <w:r>
        <w:rPr>
          <w:rFonts w:ascii="Arial" w:hAnsi="Arial" w:eastAsia="Microsoft YaHei"/>
          <w:b/>
          <w:color w:val="1F4E79"/>
          <w:sz w:val="25"/>
        </w:rPr>
        <w:t>四、开发提供方保留的内容</w:t>
      </w:r>
    </w:p>
    <w:p>
      <w:pPr>
        <w:spacing w:before="0" w:after="100" w:line="348" w:lineRule="auto"/>
        <w:ind w:firstLine="420"/>
        <w:widowControl/>
      </w:pPr>
      <w:r>
        <w:rPr>
          <w:rFonts w:ascii="Arial" w:hAnsi="Arial" w:eastAsia="Microsoft YaHei"/>
          <w:sz w:val="21"/>
        </w:rPr>
        <w:t>在双方没有另行明确书面转让约定的情况下，以下内容仍由原权利人保留：</w:t>
      </w:r>
    </w:p>
    <w:p>
      <w:pPr>
        <w:pStyle w:val="ListBullet"/>
        <w:spacing w:before="0" w:after="60" w:line="324" w:lineRule="auto"/>
        <w:ind w:left="420" w:hanging="204"/>
        <w:widowControl/>
      </w:pPr>
      <w:r>
        <w:rPr>
          <w:rFonts w:ascii="Arial" w:hAnsi="Arial" w:eastAsia="Microsoft YaHei"/>
          <w:sz w:val="20"/>
        </w:rPr>
        <w:t>软件原始源代码、构建体系、测试体系和开发工具；</w:t>
      </w:r>
    </w:p>
    <w:p>
      <w:pPr>
        <w:pStyle w:val="ListBullet"/>
        <w:spacing w:before="0" w:after="60" w:line="324" w:lineRule="auto"/>
        <w:ind w:left="420" w:hanging="204"/>
        <w:widowControl/>
      </w:pPr>
      <w:r>
        <w:rPr>
          <w:rFonts w:ascii="Arial" w:hAnsi="Arial" w:eastAsia="Microsoft YaHei"/>
          <w:sz w:val="20"/>
        </w:rPr>
        <w:t>Prompt、判断规则、评分体系、模型参数、阈值、复核逻辑和策略文件；</w:t>
      </w:r>
    </w:p>
    <w:p>
      <w:pPr>
        <w:pStyle w:val="ListBullet"/>
        <w:spacing w:before="0" w:after="60" w:line="324" w:lineRule="auto"/>
        <w:ind w:left="420" w:hanging="204"/>
        <w:widowControl/>
      </w:pPr>
      <w:r>
        <w:rPr>
          <w:rFonts w:ascii="Arial" w:hAnsi="Arial" w:eastAsia="Microsoft YaHei"/>
          <w:sz w:val="20"/>
        </w:rPr>
        <w:t>策略服务、签名机制、私钥、许可证工具及相关安全机制；</w:t>
      </w:r>
    </w:p>
    <w:p>
      <w:pPr>
        <w:pStyle w:val="ListBullet"/>
        <w:spacing w:before="0" w:after="60" w:line="324" w:lineRule="auto"/>
        <w:ind w:left="420" w:hanging="204"/>
        <w:widowControl/>
      </w:pPr>
      <w:r>
        <w:rPr>
          <w:rFonts w:ascii="Arial" w:hAnsi="Arial" w:eastAsia="Microsoft YaHei"/>
          <w:sz w:val="20"/>
        </w:rPr>
        <w:t>通用架构、可复用组件、技术方案、开发经验和后续通用改进成果。</w:t>
      </w:r>
    </w:p>
    <w:p>
      <w:pPr>
        <w:spacing w:before="0" w:after="100" w:line="348" w:lineRule="auto"/>
        <w:ind w:firstLine="420"/>
        <w:widowControl/>
      </w:pPr>
      <w:r>
        <w:rPr>
          <w:rFonts w:ascii="Arial" w:hAnsi="Arial" w:eastAsia="Microsoft YaHei"/>
          <w:sz w:val="21"/>
        </w:rPr>
        <w:t>客户对已交付运行文件和业务系统的占有、部署及使用，不当然等同于取得上述核心技术成果的所有权。</w:t>
      </w:r>
    </w:p>
    <w:p>
      <w:pPr>
        <w:spacing w:before="200" w:after="100" w:line="288" w:lineRule="auto"/>
        <w:widowControl/>
        <w:keepNext/>
      </w:pPr>
      <w:r>
        <w:rPr>
          <w:rFonts w:ascii="Arial" w:hAnsi="Arial" w:eastAsia="Microsoft YaHei"/>
          <w:b/>
          <w:color w:val="1F4E79"/>
          <w:sz w:val="25"/>
        </w:rPr>
        <w:t>五、使用范围说明</w:t>
      </w:r>
    </w:p>
    <w:p>
      <w:pPr>
        <w:spacing w:before="0" w:after="100" w:line="348" w:lineRule="auto"/>
        <w:ind w:firstLine="420"/>
        <w:widowControl/>
      </w:pPr>
      <w:r>
        <w:rPr>
          <w:rFonts w:ascii="Arial" w:hAnsi="Arial" w:eastAsia="Microsoft YaHei"/>
          <w:sz w:val="21"/>
        </w:rPr>
        <w:t>客户可以将本项目用于自身教师、学生及经其授权的工作人员，不按照客户当前约 300 名使用人员或最高约 50 人同时使用另行授予知识产权。人员规模属于业务使用范围，不改变本项目的权属边界。</w:t>
      </w:r>
    </w:p>
    <w:p>
      <w:pPr>
        <w:spacing w:before="0" w:after="100" w:line="348" w:lineRule="auto"/>
        <w:ind w:firstLine="420"/>
        <w:widowControl/>
      </w:pPr>
      <w:r>
        <w:rPr>
          <w:rFonts w:ascii="Arial" w:hAnsi="Arial" w:eastAsia="Microsoft YaHei"/>
          <w:sz w:val="21"/>
        </w:rPr>
        <w:t>客户正常使用、配置、备份和维护自身业务数据不受本文件限制。将软件整体或核心技术作为独立产品向其他学校、公司或第三方出售、出租、转授权、复制交付或变相提供，属于超出本次说明范围的事项，应另行协商。</w:t>
      </w:r>
    </w:p>
    <w:p>
      <w:pPr>
        <w:spacing w:before="200" w:after="100" w:line="288" w:lineRule="auto"/>
        <w:widowControl/>
        <w:keepNext/>
      </w:pPr>
      <w:r>
        <w:rPr>
          <w:rFonts w:ascii="Arial" w:hAnsi="Arial" w:eastAsia="Microsoft YaHei"/>
          <w:b/>
          <w:color w:val="1F4E79"/>
          <w:sz w:val="25"/>
        </w:rPr>
        <w:t>六、第三方费用和后续维护</w:t>
      </w:r>
    </w:p>
    <w:p>
      <w:pPr>
        <w:spacing w:before="0" w:after="100" w:line="348" w:lineRule="auto"/>
        <w:ind w:firstLine="420"/>
        <w:widowControl/>
      </w:pPr>
      <w:r>
        <w:rPr>
          <w:rFonts w:ascii="Arial" w:hAnsi="Arial" w:eastAsia="Microsoft YaHei"/>
          <w:sz w:val="21"/>
        </w:rPr>
        <w:t>微信认证、CloudBase、模型调用、TTS、短信、域名、服务器、云存储、流量及其他第三方平台费用，由实际账号持有人按照第三方平台规则承担。相关费用是否已经包含在项目价款中，以双方已有明确约定为准。</w:t>
      </w:r>
    </w:p>
    <w:p>
      <w:pPr>
        <w:spacing w:before="0" w:after="100" w:line="348" w:lineRule="auto"/>
        <w:ind w:firstLine="420"/>
        <w:widowControl/>
      </w:pPr>
      <w:r>
        <w:rPr>
          <w:rFonts w:ascii="Arial" w:hAnsi="Arial" w:eastAsia="Microsoft YaHei"/>
          <w:sz w:val="21"/>
        </w:rPr>
        <w:t>交付后的缺陷修复、技术支持、功能新增、版本升级和服务周期，以双方原有订单、聊天记录、验收记录或后续另行约定为准。本文件不单独新增客户的付款义务，也不单独扩大或缩减已经明确的维护范围。</w:t>
      </w:r>
    </w:p>
    <w:p>
      <w:pPr>
        <w:spacing w:before="200" w:after="100" w:line="288" w:lineRule="auto"/>
        <w:widowControl/>
        <w:keepNext/>
      </w:pPr>
      <w:r>
        <w:rPr>
          <w:rFonts w:ascii="Arial" w:hAnsi="Arial" w:eastAsia="Microsoft YaHei"/>
          <w:b/>
          <w:color w:val="1F4E79"/>
          <w:sz w:val="25"/>
        </w:rPr>
        <w:t>七、策略更新和数据边界</w:t>
      </w:r>
    </w:p>
    <w:p>
      <w:pPr>
        <w:spacing w:before="0" w:after="100" w:line="348" w:lineRule="auto"/>
        <w:ind w:firstLine="420"/>
        <w:widowControl/>
      </w:pPr>
      <w:r>
        <w:rPr>
          <w:rFonts w:ascii="Arial" w:hAnsi="Arial" w:eastAsia="Microsoft YaHei"/>
          <w:sz w:val="21"/>
        </w:rPr>
        <w:t>Prompt、判断规则、评分阈值和模型参数可以通过加密、签名的策略包提供给客户运行环境，并由客户 CloudBase 缓存。系统可以按照约定周期检查策略版本，该机制本身不代表开发提供方读取或保存客户业务数据。</w:t>
      </w:r>
    </w:p>
    <w:p>
      <w:pPr>
        <w:spacing w:before="0" w:after="100" w:line="348" w:lineRule="auto"/>
        <w:ind w:firstLine="420"/>
        <w:widowControl/>
      </w:pPr>
      <w:r>
        <w:rPr>
          <w:rFonts w:ascii="Arial" w:hAnsi="Arial" w:eastAsia="Microsoft YaHei"/>
          <w:sz w:val="21"/>
        </w:rPr>
        <w:t>策略更新主要用于兼容性维护、缺陷修复和运行稳定。涉及重大功能变化、额外收费或使用范围变化的事项，仍以双方另行明确约定为准。</w:t>
      </w:r>
    </w:p>
    <w:p>
      <w:pPr>
        <w:spacing w:before="200" w:after="100" w:line="288" w:lineRule="auto"/>
        <w:widowControl/>
        <w:keepNext/>
      </w:pPr>
      <w:r>
        <w:rPr>
          <w:rFonts w:ascii="Arial" w:hAnsi="Arial" w:eastAsia="Microsoft YaHei"/>
          <w:b/>
          <w:color w:val="1F4E79"/>
          <w:sz w:val="25"/>
        </w:rPr>
        <w:t>八、本告知与双方原有约定的关系</w:t>
      </w:r>
    </w:p>
    <w:p>
      <w:pPr>
        <w:spacing w:before="0" w:after="100" w:line="348" w:lineRule="auto"/>
        <w:ind w:firstLine="420"/>
        <w:widowControl/>
      </w:pPr>
      <w:r>
        <w:rPr>
          <w:rFonts w:ascii="Arial" w:hAnsi="Arial" w:eastAsia="Microsoft YaHei"/>
          <w:sz w:val="21"/>
        </w:rPr>
        <w:t>本文件是交付资料中的说明性告知，用于减少对“使用权”和“所有权”的理解差异。它不要求客户另行签署，不作为付款、验收、上线或继续使用的条件。</w:t>
      </w:r>
    </w:p>
    <w:p>
      <w:pPr>
        <w:spacing w:before="0" w:after="100" w:line="348" w:lineRule="auto"/>
        <w:ind w:firstLine="420"/>
        <w:widowControl/>
      </w:pPr>
      <w:r>
        <w:rPr>
          <w:rFonts w:ascii="Arial" w:hAnsi="Arial" w:eastAsia="Microsoft YaHei"/>
          <w:sz w:val="21"/>
        </w:rPr>
        <w:t>双方已经通过平台订单、报价、聊天记录、交付清单、验收记录或其他书面材料明确约定的内容继续有效。如本文件与双方已有明确约定存在不一致，以双方能够证明的明确约定及适用法律规定为准。</w:t>
      </w:r>
    </w:p>
    <w:p>
      <w:pPr>
        <w:spacing w:before="0" w:after="100" w:line="348" w:lineRule="auto"/>
        <w:ind w:firstLine="420"/>
        <w:widowControl/>
      </w:pPr>
      <w:r>
        <w:rPr>
          <w:rFonts w:ascii="Arial" w:hAnsi="Arial" w:eastAsia="Microsoft YaHei"/>
          <w:sz w:val="21"/>
        </w:rPr>
        <w:t>任何一方对技术术语、交付版本和运行机制所作的说明，均不应被理解为可以单方面改变已经明确的权利义务。发生分歧时，应依据实际交易记录和履行情况协商处理。</w:t>
      </w:r>
    </w:p>
    <w:p>
      <w:pPr>
        <w:spacing w:before="320" w:after="0" w:line="288" w:lineRule="auto"/>
        <w:jc w:val="center"/>
        <w:widowControl/>
      </w:pPr>
      <w:r>
        <w:rPr>
          <w:rFonts w:ascii="Arial" w:hAnsi="Arial" w:eastAsia="Microsoft YaHei"/>
          <w:b/>
          <w:color w:val="646464"/>
          <w:sz w:val="19"/>
        </w:rPr>
        <w:t>本文件为说明性告知文件，无需签字盖章。</w:t>
      </w:r>
    </w:p>
    <w:sectPr w:rsidR="00FC693F" w:rsidRPr="0006063C" w:rsidSect="00034616">
      <w:footerReference w:type="default" r:id="rId9"/>
      <w:pgSz w:w="12240" w:h="15840"/>
      <w:pgMar w:top="1247" w:right="1389" w:bottom="1134" w:left="1389"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YaHei"/>
        <w:color w:val="808080"/>
        <w:sz w:val="17"/>
      </w:rPr>
      <w:t>AIAgent 项目交付资料｜北京雪球滚滚教育科技有限公司｜版本 1.0.3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软件使用授权及知识产权告知确认书</dc:title>
  <dc:subject>AIAgent 项目说明性告知文件</dc:subject>
  <dc:creator>AIAgent 项目交付</dc:creator>
  <cp:keywords>AIAgent, 使用授权, 知识产权, 告知</cp:keywords>
  <dc:description>本文件仅作说明性告知，不作为独立合同或付款验收前置条件。</dc:description>
  <cp:lastModifiedBy/>
  <cp:revision>1</cp:revision>
  <dcterms:created xsi:type="dcterms:W3CDTF">2013-12-23T23:15:00Z</dcterms:created>
  <dcterms:modified xsi:type="dcterms:W3CDTF">2013-12-23T23:15:00Z</dcterms:modified>
  <cp:category/>
</cp:coreProperties>
</file>