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C4C7C" w14:textId="77777777" w:rsidR="00865FBA" w:rsidRDefault="007F5832" w:rsidP="00865FBA">
      <w:pPr>
        <w:jc w:val="both"/>
        <w:rPr>
          <w:rFonts w:ascii="黑体" w:eastAsia="黑体" w:hAnsi="黑体"/>
        </w:rPr>
      </w:pPr>
      <w:r w:rsidRPr="007F5832">
        <w:rPr>
          <w:rFonts w:ascii="黑体" w:eastAsia="黑体" w:hAnsi="黑体" w:hint="eastAsia"/>
        </w:rPr>
        <w:t>面向高速公路主线瓶颈路段效率与安全协同优化的自博弈多智能体强化学习联合管控框架，管控手段聚焦于可变限速控制与匝道信号控制两类主动交通管理措施。</w:t>
      </w:r>
    </w:p>
    <w:p w14:paraId="36A67F4D" w14:textId="45CA16F9" w:rsidR="007F5832" w:rsidRPr="007F5832" w:rsidRDefault="007F5832" w:rsidP="006C01C9">
      <w:pPr>
        <w:ind w:firstLine="420"/>
        <w:jc w:val="both"/>
        <w:rPr>
          <w:rFonts w:ascii="黑体" w:eastAsia="黑体" w:hAnsi="黑体"/>
        </w:rPr>
      </w:pPr>
      <w:r w:rsidRPr="007F5832">
        <w:rPr>
          <w:rFonts w:ascii="黑体" w:eastAsia="黑体" w:hAnsi="黑体" w:hint="eastAsia"/>
        </w:rPr>
        <w:t>在问题形式化层面，首先将可变限速控制器与匝道控制器分别建模为具有独立目标函数但共享环境状态转移的两个博弈参与方，构成一个非合作随机博弈模型。设该博弈模型为一个六元组，即</w:t>
      </w:r>
      <m:oMath>
        <m:r>
          <w:rPr>
            <w:rFonts w:ascii="Cambria Math" w:hAnsi="Cambria Math"/>
            <w:highlight w:val="yellow"/>
          </w:rPr>
          <m:t>G=⟨</m:t>
        </m:r>
        <m:r>
          <m:rPr>
            <m:scr m:val="script"/>
          </m:rPr>
          <w:rPr>
            <w:rFonts w:ascii="Cambria Math" w:hAnsi="Cambria Math"/>
            <w:highlight w:val="yellow"/>
          </w:rPr>
          <m:t>S,</m:t>
        </m:r>
        <m:sSub>
          <m:sSubPr>
            <m:ctrlPr>
              <w:rPr>
                <w:rFonts w:ascii="Cambria Math" w:hAnsi="Cambria Math"/>
                <w:highlight w:val="yellow"/>
              </w:rPr>
            </m:ctrlPr>
          </m:sSubPr>
          <m:e>
            <m:r>
              <m:rPr>
                <m:scr m:val="script"/>
              </m:rPr>
              <w:rPr>
                <w:rFonts w:ascii="Cambria Math" w:hAnsi="Cambria Math"/>
                <w:highlight w:val="yellow"/>
              </w:rPr>
              <m:t>A</m:t>
            </m:r>
          </m:e>
          <m:sub>
            <m:r>
              <m:rPr>
                <m:nor/>
              </m:rPr>
              <w:rPr>
                <w:highlight w:val="yellow"/>
              </w:rPr>
              <m:t>VSL</m:t>
            </m:r>
          </m:sub>
        </m:sSub>
        <m:r>
          <w:rPr>
            <w:rFonts w:ascii="Cambria Math" w:hAnsi="Cambria Math"/>
            <w:highlight w:val="yellow"/>
          </w:rPr>
          <m:t>,</m:t>
        </m:r>
        <m:sSub>
          <m:sSubPr>
            <m:ctrlPr>
              <w:rPr>
                <w:rFonts w:ascii="Cambria Math" w:hAnsi="Cambria Math"/>
                <w:highlight w:val="yellow"/>
              </w:rPr>
            </m:ctrlPr>
          </m:sSubPr>
          <m:e>
            <m:r>
              <m:rPr>
                <m:scr m:val="script"/>
              </m:rPr>
              <w:rPr>
                <w:rFonts w:ascii="Cambria Math" w:hAnsi="Cambria Math"/>
                <w:highlight w:val="yellow"/>
              </w:rPr>
              <m:t>A</m:t>
            </m:r>
          </m:e>
          <m:sub>
            <m:r>
              <m:rPr>
                <m:nor/>
              </m:rPr>
              <w:rPr>
                <w:highlight w:val="yellow"/>
              </w:rPr>
              <m:t>RM</m:t>
            </m:r>
          </m:sub>
        </m:sSub>
        <m:r>
          <w:rPr>
            <w:rFonts w:ascii="Cambria Math" w:hAnsi="Cambria Math"/>
            <w:highlight w:val="yellow"/>
          </w:rPr>
          <m:t>,P,</m:t>
        </m:r>
        <m:sSub>
          <m:sSubPr>
            <m:ctrlPr>
              <w:rPr>
                <w:rFonts w:ascii="Cambria Math" w:hAnsi="Cambria Math"/>
                <w:highlight w:val="yellow"/>
              </w:rPr>
            </m:ctrlPr>
          </m:sSubPr>
          <m:e>
            <m:r>
              <w:rPr>
                <w:rFonts w:ascii="Cambria Math" w:hAnsi="Cambria Math"/>
                <w:highlight w:val="yellow"/>
              </w:rPr>
              <m:t>R</m:t>
            </m:r>
          </m:e>
          <m:sub>
            <m:r>
              <m:rPr>
                <m:nor/>
              </m:rPr>
              <w:rPr>
                <w:highlight w:val="yellow"/>
              </w:rPr>
              <m:t>VSL</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R</m:t>
            </m:r>
          </m:e>
          <m:sub>
            <m:r>
              <m:rPr>
                <m:nor/>
              </m:rPr>
              <w:rPr>
                <w:highlight w:val="yellow"/>
              </w:rPr>
              <m:t>RM</m:t>
            </m:r>
          </m:sub>
        </m:sSub>
        <m:r>
          <w:rPr>
            <w:rFonts w:ascii="Cambria Math" w:hAnsi="Cambria Math"/>
            <w:highlight w:val="yellow"/>
          </w:rPr>
          <m:t>,γ⟩</m:t>
        </m:r>
      </m:oMath>
      <w:r w:rsidRPr="007F5832">
        <w:rPr>
          <w:rFonts w:ascii="黑体" w:eastAsia="黑体" w:hAnsi="黑体" w:hint="eastAsia"/>
        </w:rPr>
        <w:t>其中，</w:t>
      </w:r>
      <m:oMath>
        <m:r>
          <m:rPr>
            <m:scr m:val="script"/>
          </m:rPr>
          <w:rPr>
            <w:rFonts w:ascii="Cambria Math" w:hAnsi="Cambria Math"/>
          </w:rPr>
          <m:t>S</m:t>
        </m:r>
      </m:oMath>
      <w:r w:rsidRPr="007F5832">
        <w:rPr>
          <w:rFonts w:ascii="黑体" w:eastAsia="黑体" w:hAnsi="黑体" w:hint="eastAsia"/>
        </w:rPr>
        <w:t>为全局交通状态空间，具体包括瓶颈路段上下游的断面流量、时间平均速度、车道占有率以及实时检测的事故风险指数；</w:t>
      </w:r>
      <m:oMath>
        <m:sSub>
          <m:sSubPr>
            <m:ctrlPr>
              <w:rPr>
                <w:rFonts w:ascii="Cambria Math" w:hAnsi="Cambria Math"/>
              </w:rPr>
            </m:ctrlPr>
          </m:sSubPr>
          <m:e>
            <m:r>
              <m:rPr>
                <m:scr m:val="script"/>
              </m:rPr>
              <w:rPr>
                <w:rFonts w:ascii="Cambria Math" w:hAnsi="Cambria Math"/>
              </w:rPr>
              <m:t>A</m:t>
            </m:r>
          </m:e>
          <m:sub>
            <m:r>
              <m:rPr>
                <m:nor/>
              </m:rPr>
              <m:t>VSL</m:t>
            </m:r>
          </m:sub>
        </m:sSub>
      </m:oMath>
      <w:r w:rsidRPr="007F5832">
        <w:rPr>
          <w:rFonts w:ascii="黑体" w:eastAsia="黑体" w:hAnsi="黑体" w:hint="eastAsia"/>
        </w:rPr>
        <w:t xml:space="preserve">与 </w:t>
      </w:r>
      <m:oMath>
        <m:sSub>
          <m:sSubPr>
            <m:ctrlPr>
              <w:rPr>
                <w:rFonts w:ascii="Cambria Math" w:hAnsi="Cambria Math"/>
              </w:rPr>
            </m:ctrlPr>
          </m:sSubPr>
          <m:e>
            <m:r>
              <m:rPr>
                <m:scr m:val="script"/>
              </m:rPr>
              <w:rPr>
                <w:rFonts w:ascii="Cambria Math" w:hAnsi="Cambria Math"/>
              </w:rPr>
              <m:t>A</m:t>
            </m:r>
          </m:e>
          <m:sub>
            <m:r>
              <m:rPr>
                <m:nor/>
              </m:rPr>
              <m:t>RM</m:t>
            </m:r>
          </m:sub>
        </m:sSub>
      </m:oMath>
      <w:r w:rsidRPr="007F5832">
        <w:rPr>
          <w:rFonts w:ascii="黑体" w:eastAsia="黑体" w:hAnsi="黑体" w:hint="eastAsia"/>
        </w:rPr>
        <w:t>分别为可变限速智能体与</w:t>
      </w:r>
      <w:r w:rsidRPr="00E80866">
        <w:rPr>
          <w:rFonts w:ascii="黑体" w:eastAsia="黑体" w:hAnsi="黑体" w:hint="eastAsia"/>
          <w:highlight w:val="yellow"/>
        </w:rPr>
        <w:t>匝道控制智能体</w:t>
      </w:r>
      <w:r w:rsidRPr="007F5832">
        <w:rPr>
          <w:rFonts w:ascii="黑体" w:eastAsia="黑体" w:hAnsi="黑体" w:hint="eastAsia"/>
        </w:rPr>
        <w:t>的动作空间，前者对应以离散限速值集合</w:t>
      </w:r>
      <w:r w:rsidR="00865FBA">
        <w:rPr>
          <w:rFonts w:ascii="黑体" w:eastAsia="黑体" w:hAnsi="黑体" w:hint="eastAsia"/>
        </w:rPr>
        <w:t>（可以根据我们已有经验调整一下，看怎么设置）</w:t>
      </w:r>
      <w:r w:rsidRPr="007F5832">
        <w:rPr>
          <w:rFonts w:ascii="黑体" w:eastAsia="黑体" w:hAnsi="黑体" w:hint="eastAsia"/>
        </w:rPr>
        <w:t>，后者对应匝道信号灯</w:t>
      </w:r>
      <w:r w:rsidRPr="00E80866">
        <w:rPr>
          <w:rFonts w:ascii="黑体" w:eastAsia="黑体" w:hAnsi="黑体" w:hint="eastAsia"/>
          <w:highlight w:val="yellow"/>
        </w:rPr>
        <w:t>绿信比的连续调节量</w:t>
      </w:r>
      <w:r w:rsidRPr="007F5832">
        <w:rPr>
          <w:rFonts w:ascii="黑体" w:eastAsia="黑体" w:hAnsi="黑体" w:hint="eastAsia"/>
        </w:rPr>
        <w:t>；状态转移概率</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nor/>
              </m:rPr>
              <m:t>VSL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nor/>
              </m:rPr>
              <m:t>RM</m:t>
            </m:r>
          </m:sup>
        </m:sSubSup>
        <m:r>
          <w:rPr>
            <w:rFonts w:ascii="Cambria Math" w:hAnsi="Cambria Math"/>
          </w:rPr>
          <m:t>)</m:t>
        </m:r>
      </m:oMath>
      <w:r w:rsidRPr="007F5832">
        <w:rPr>
          <w:rFonts w:ascii="黑体" w:eastAsia="黑体" w:hAnsi="黑体" w:hint="eastAsia"/>
        </w:rPr>
        <w:t>明确由两类智能体的联合动作共同决定，这一数学结构是自博弈机制成立的底层基础，它从根本上否定了将对方智能体行为视作静态环境背景噪声的独立学习假设。两类智能体各自接收差异化的即时奖励信号</w:t>
      </w:r>
      <m:oMath>
        <m:sSub>
          <m:sSubPr>
            <m:ctrlPr>
              <w:rPr>
                <w:rFonts w:ascii="Cambria Math" w:hAnsi="Cambria Math"/>
              </w:rPr>
            </m:ctrlPr>
          </m:sSubPr>
          <m:e>
            <m:r>
              <w:rPr>
                <w:rFonts w:ascii="Cambria Math" w:hAnsi="Cambria Math"/>
              </w:rPr>
              <m:t>R</m:t>
            </m:r>
          </m:e>
          <m:sub>
            <m:r>
              <m:rPr>
                <m:nor/>
              </m:rPr>
              <m:t>VSL</m:t>
            </m:r>
          </m:sub>
        </m:sSub>
        <m:r>
          <w:rPr>
            <w:rFonts w:ascii="Cambria Math" w:hAnsi="Cambria Math"/>
          </w:rPr>
          <m:t>,</m:t>
        </m:r>
        <m:sSub>
          <m:sSubPr>
            <m:ctrlPr>
              <w:rPr>
                <w:rFonts w:ascii="Cambria Math" w:hAnsi="Cambria Math"/>
              </w:rPr>
            </m:ctrlPr>
          </m:sSubPr>
          <m:e>
            <m:r>
              <w:rPr>
                <w:rFonts w:ascii="Cambria Math" w:hAnsi="Cambria Math"/>
              </w:rPr>
              <m:t>R</m:t>
            </m:r>
          </m:e>
          <m:sub>
            <m:r>
              <m:rPr>
                <m:nor/>
              </m:rPr>
              <m:t>RM</m:t>
            </m:r>
          </m:sub>
        </m:sSub>
      </m:oMath>
      <w:r w:rsidRPr="007F5832">
        <w:rPr>
          <w:rFonts w:ascii="黑体" w:eastAsia="黑体" w:hAnsi="黑体" w:hint="eastAsia"/>
        </w:rPr>
        <w:t>，其中可变限速智能体被赋予兼顾通行效率与运行安全的双重激励目标，而匝道控制智能体则主要承担抑制匝道排队溢出与平衡主线汇入流量的效率导向目标，二者在奖励函数层面的部分目标冲突构成了自博弈过程中策略对抗与妥协的内在动力。</w:t>
      </w:r>
    </w:p>
    <w:p w14:paraId="27422AB8" w14:textId="3033C225" w:rsidR="007F5832" w:rsidRPr="007F5832" w:rsidRDefault="007F5832" w:rsidP="006C01C9">
      <w:pPr>
        <w:ind w:firstLine="420"/>
        <w:rPr>
          <w:rFonts w:ascii="黑体" w:eastAsia="黑体" w:hAnsi="黑体"/>
        </w:rPr>
      </w:pPr>
      <w:r w:rsidRPr="007F5832">
        <w:rPr>
          <w:rFonts w:ascii="黑体" w:eastAsia="黑体" w:hAnsi="黑体" w:hint="eastAsia"/>
        </w:rPr>
        <w:t>在自博弈训练机制的设计上，采用基于集中式评价—分布式执行框架的对抗性多智能体策略梯度算法，并在该框架内深度嵌入自对弈池机制与交替更新策略，以明确区别于传统独立学习者范式。在每一轮训练回合中，环境初始化全局交通状态后，可变限速智能体与匝道控制智能体同时基于各自的局部观测信息独立做出动作决策，环境执行联合动作并返回下一状态以及分别针对两类智能体的奖励值。在此过程中，可变限速智能体的价值评估网络被设计为显式依赖双方联合动作的函数形式，即其状态—动作价值函数表示为</w:t>
      </w:r>
      <m:oMath>
        <m:sSub>
          <m:sSubPr>
            <m:ctrlPr>
              <w:rPr>
                <w:rFonts w:ascii="Cambria Math" w:hAnsi="Cambria Math"/>
              </w:rPr>
            </m:ctrlPr>
          </m:sSubPr>
          <m:e>
            <m:r>
              <w:rPr>
                <w:rFonts w:ascii="Cambria Math" w:hAnsi="Cambria Math"/>
              </w:rPr>
              <m:t>Q</m:t>
            </m:r>
          </m:e>
          <m:sub>
            <m:r>
              <m:rPr>
                <m:nor/>
              </m:rPr>
              <w:rPr>
                <w:rFonts w:hint="eastAsia"/>
              </w:rPr>
              <m:t>vsl</m:t>
            </m:r>
          </m:sub>
        </m:sSub>
        <m:r>
          <w:rPr>
            <w:rFonts w:ascii="Cambria Math" w:hAnsi="Cambria Math"/>
          </w:rPr>
          <m:t>(s,</m:t>
        </m:r>
        <m:sSup>
          <m:sSupPr>
            <m:ctrlPr>
              <w:rPr>
                <w:rFonts w:ascii="Cambria Math" w:hAnsi="Cambria Math"/>
              </w:rPr>
            </m:ctrlPr>
          </m:sSupPr>
          <m:e>
            <m:r>
              <w:rPr>
                <w:rFonts w:ascii="Cambria Math" w:hAnsi="Cambria Math"/>
              </w:rPr>
              <m:t>a</m:t>
            </m:r>
          </m:e>
          <m:sup>
            <m:r>
              <m:rPr>
                <m:nor/>
              </m:rPr>
              <w:rPr>
                <w:rFonts w:hint="eastAsia"/>
              </w:rPr>
              <m:t>VSL</m:t>
            </m:r>
          </m:sup>
        </m:sSup>
        <m:r>
          <w:rPr>
            <w:rFonts w:ascii="Cambria Math" w:hAnsi="Cambria Math"/>
          </w:rPr>
          <m:t>,</m:t>
        </m:r>
        <m:sSup>
          <m:sSupPr>
            <m:ctrlPr>
              <w:rPr>
                <w:rFonts w:ascii="Cambria Math" w:hAnsi="Cambria Math"/>
              </w:rPr>
            </m:ctrlPr>
          </m:sSupPr>
          <m:e>
            <m:r>
              <w:rPr>
                <w:rFonts w:ascii="Cambria Math" w:hAnsi="Cambria Math"/>
              </w:rPr>
              <m:t>a</m:t>
            </m:r>
          </m:e>
          <m:sup>
            <m:r>
              <m:rPr>
                <m:nor/>
              </m:rPr>
              <w:rPr>
                <w:rFonts w:hint="eastAsia"/>
              </w:rPr>
              <m:t>RM</m:t>
            </m:r>
          </m:sup>
        </m:sSup>
        <m:r>
          <w:rPr>
            <w:rFonts w:ascii="Cambria Math" w:hAnsi="Cambria Math"/>
          </w:rPr>
          <m:t>)</m:t>
        </m:r>
      </m:oMath>
      <w:r w:rsidRPr="006C01C9">
        <w:rPr>
          <w:rFonts w:ascii="Cambria Math" w:hAnsi="Cambria Math" w:hint="eastAsia"/>
          <w:i/>
        </w:rPr>
        <w:t>，</w:t>
      </w:r>
      <w:r w:rsidRPr="007F5832">
        <w:rPr>
          <w:rFonts w:ascii="黑体" w:eastAsia="黑体" w:hAnsi="黑体" w:hint="eastAsia"/>
        </w:rPr>
        <w:t>匝道控制智能体的价值函数相应表示为</w:t>
      </w:r>
      <m:oMath>
        <m:sSub>
          <m:sSubPr>
            <m:ctrlPr>
              <w:rPr>
                <w:rFonts w:ascii="Cambria Math" w:hAnsi="Cambria Math"/>
              </w:rPr>
            </m:ctrlPr>
          </m:sSubPr>
          <m:e>
            <m:r>
              <w:rPr>
                <w:rFonts w:ascii="Cambria Math" w:hAnsi="Cambria Math"/>
              </w:rPr>
              <m:t>Q</m:t>
            </m:r>
          </m:e>
          <m:sub>
            <m:r>
              <m:rPr>
                <m:nor/>
              </m:rPr>
              <m:t>RM</m:t>
            </m:r>
          </m:sub>
        </m:sSub>
        <m:r>
          <w:rPr>
            <w:rFonts w:ascii="Cambria Math" w:hAnsi="Cambria Math"/>
          </w:rPr>
          <m:t>(s,</m:t>
        </m:r>
        <m:sSup>
          <m:sSupPr>
            <m:ctrlPr>
              <w:rPr>
                <w:rFonts w:ascii="Cambria Math" w:hAnsi="Cambria Math"/>
              </w:rPr>
            </m:ctrlPr>
          </m:sSupPr>
          <m:e>
            <m:r>
              <w:rPr>
                <w:rFonts w:ascii="Cambria Math" w:hAnsi="Cambria Math"/>
              </w:rPr>
              <m:t>a</m:t>
            </m:r>
          </m:e>
          <m:sup>
            <m:r>
              <m:rPr>
                <m:nor/>
              </m:rPr>
              <m:t>RM</m:t>
            </m:r>
          </m:sup>
        </m:sSup>
        <m:r>
          <w:rPr>
            <w:rFonts w:ascii="Cambria Math" w:hAnsi="Cambria Math"/>
          </w:rPr>
          <m:t>,</m:t>
        </m:r>
        <m:sSup>
          <m:sSupPr>
            <m:ctrlPr>
              <w:rPr>
                <w:rFonts w:ascii="Cambria Math" w:hAnsi="Cambria Math"/>
              </w:rPr>
            </m:ctrlPr>
          </m:sSupPr>
          <m:e>
            <m:r>
              <w:rPr>
                <w:rFonts w:ascii="Cambria Math" w:hAnsi="Cambria Math"/>
              </w:rPr>
              <m:t>a</m:t>
            </m:r>
          </m:e>
          <m:sup>
            <m:r>
              <m:rPr>
                <m:nor/>
              </m:rPr>
              <m:t>VSL</m:t>
            </m:r>
          </m:sup>
        </m:sSup>
        <m:r>
          <w:rPr>
            <w:rFonts w:ascii="Cambria Math" w:hAnsi="Cambria Math"/>
          </w:rPr>
          <m:t>)</m:t>
        </m:r>
      </m:oMath>
      <w:r w:rsidRPr="007F5832">
        <w:rPr>
          <w:rFonts w:ascii="黑体" w:eastAsia="黑体" w:hAnsi="黑体" w:hint="eastAsia"/>
        </w:rPr>
        <w:t>。这一设计强制要求每一个智能体在评估自身动作的长期回报时，必须显式地将对方智能体可能采取的策略反应纳入收益期望的计算之中，从而在算法机理上与独立训练中仅以自身动作作为网络输入的简化形式划清界限。训练数据的生成并非依靠两个固定不变的策略网络反复交互，而是采用交替冻结对手的对抗性更新流程：在固定可变限速智能体策略参数的条件下，匝道控制智能体利用累积的经验轨迹更新自身的策略网络与评价网络；完成更新后，即刻冻结匝道控制智能体的新策略，转而利用其作为新的博弈对手去优化可变限速智能体的网络参数。这种交替更新的逻辑迫使双方策略始终处于对另一方最新策略的动态适应过程中，有效规避了独立训练场景下因环境非平稳性导致的策略震荡与收敛失败。</w:t>
      </w:r>
    </w:p>
    <w:p w14:paraId="306D9DC0" w14:textId="77777777" w:rsidR="007F5832" w:rsidRPr="007F5832" w:rsidRDefault="007F5832" w:rsidP="006C01C9">
      <w:pPr>
        <w:ind w:firstLine="420"/>
        <w:rPr>
          <w:rFonts w:ascii="黑体" w:eastAsia="黑体" w:hAnsi="黑体"/>
        </w:rPr>
      </w:pPr>
      <w:r w:rsidRPr="007F5832">
        <w:rPr>
          <w:rFonts w:ascii="黑体" w:eastAsia="黑体" w:hAnsi="黑体" w:hint="eastAsia"/>
        </w:rPr>
        <w:t>为进一步增强自博弈训练的鲁棒性并防止策略陷入因双方学习能力不足而产生的虚假协同均衡，本方案引入具有固定容量的自对弈历史策略池。在训练过程中，每隔预设数量个回合，便将当前最新策略网络参数的一份快照存入策略池中。在后续训练回合的策略评估阶段，每个智能体不仅需要与对方当前最新策略进行交互，还需要以一定概率随机抽取策略池中的历史对手版本进行对抗博弈。这种机制要求智能体必须在面对从稚嫩到成熟的全谱系对手行为时均能保持策略的有效性，从而迫使所收敛的</w:t>
      </w:r>
      <w:r w:rsidRPr="007F5832">
        <w:rPr>
          <w:rFonts w:ascii="黑体" w:eastAsia="黑体" w:hAnsi="黑体" w:hint="eastAsia"/>
        </w:rPr>
        <w:lastRenderedPageBreak/>
        <w:t>均衡策略具备更强的泛化能力与抵御对手行为漂移的鲁棒性，这是单纯依赖两个智能体同步独立更新所无法实现的探索广度。</w:t>
      </w:r>
    </w:p>
    <w:p w14:paraId="3B516BFD" w14:textId="77777777" w:rsidR="007F5832" w:rsidRPr="007F5832" w:rsidRDefault="007F5832" w:rsidP="006C01C9">
      <w:pPr>
        <w:ind w:firstLine="420"/>
        <w:rPr>
          <w:rFonts w:ascii="黑体" w:eastAsia="黑体" w:hAnsi="黑体"/>
        </w:rPr>
      </w:pPr>
      <w:r w:rsidRPr="007F5832">
        <w:rPr>
          <w:rFonts w:ascii="黑体" w:eastAsia="黑体" w:hAnsi="黑体" w:hint="eastAsia"/>
        </w:rPr>
        <w:t>在奖励函数的具体构造上，两类智能体接收经过差异化设计的即时反馈信号，但均共享同一套来自环境的安全约束惩罚项。针对可变限速智能体，其奖励函数由三部分加权构成：第一部分为效率项，定义为当前控制周期内路段车辆总行程时间相对于无控制基线情形的负向增量；第二部分为安全项，定义为瓶颈区上游检测断面速度标准差的对数惩罚以及扩展碰撞时间指数衰减项的加权和；第三部分为平滑项，用于抑制相邻控制周期间限速值的大幅跳变。针对匝道控制智能体，其奖励函数的主体部分为效率项，具体体现为匝道排队车辆数超过预设阈值时的线性惩罚与主线瓶颈断面小时交通流量正增量的加权组合，同时引入次要安全项以反映匝道汇入车辆对主线外侧车道速度离散度的影响。值得注意的是，两类智能体的奖励函数中均包含一个全局事故风险惩罚项，当环境中任意检测器监测到碰撞时间低于危险阈值或发生追尾冲突事件时，该惩罚项将被同步计入两类智能体的即时奖励之中，这一设计在保证目标差异化的同时强制建立了安全约束的底线协同，防止效率导向智能体因过度激进而在自博弈中被安全导向机制彻底压制或反向抑制。</w:t>
      </w:r>
    </w:p>
    <w:p w14:paraId="7F47F3F9" w14:textId="3072096C" w:rsidR="00B34D79" w:rsidRPr="007F5832" w:rsidRDefault="007F5832" w:rsidP="006C01C9">
      <w:pPr>
        <w:ind w:firstLine="420"/>
        <w:jc w:val="both"/>
      </w:pPr>
      <w:r w:rsidRPr="007F5832">
        <w:rPr>
          <w:rFonts w:ascii="黑体" w:eastAsia="黑体" w:hAnsi="黑体" w:hint="eastAsia"/>
        </w:rPr>
        <w:t>仿真验证环节的设计严格遵循消融实验的逻辑，以量化论证自博弈机制相较于独立训练范式的增量贡献。仿真平台采用SUMO，评估指标体系在效率维度聚焦总行程时间、瓶颈区平均延误与断面流量</w:t>
      </w:r>
      <w:r w:rsidR="006C01C9">
        <w:rPr>
          <w:rFonts w:ascii="黑体" w:eastAsia="黑体" w:hAnsi="黑体" w:hint="eastAsia"/>
        </w:rPr>
        <w:t>等等</w:t>
      </w:r>
      <w:r w:rsidRPr="007F5832">
        <w:rPr>
          <w:rFonts w:ascii="黑体" w:eastAsia="黑体" w:hAnsi="黑体" w:hint="eastAsia"/>
        </w:rPr>
        <w:t>，在安全维度聚焦扩展碰撞时间指数、速度变异系数与冲突事件频次</w:t>
      </w:r>
      <w:r w:rsidR="006C01C9">
        <w:rPr>
          <w:rFonts w:ascii="黑体" w:eastAsia="黑体" w:hAnsi="黑体" w:hint="eastAsia"/>
        </w:rPr>
        <w:t>（指标都可以看着来）</w:t>
      </w:r>
      <w:r w:rsidRPr="007F5832">
        <w:rPr>
          <w:rFonts w:ascii="黑体" w:eastAsia="黑体" w:hAnsi="黑体" w:hint="eastAsia"/>
        </w:rPr>
        <w:t>。关键消融对比组包括：第一组为独立学习者基线，其训练过程中两个智能体的 Critic 网络输入仅包含各自动作且对方策略在训练期间保持随机初始化权重冻结，用以暴露独立学习在非平稳环境中因忽略对手策略演化而导致性能衰退的根本缺陷；第二组为仅采用可变限速或仅采用匝道控制的单智能体强化学习基线；第三组为传统反馈式 ALINEA 匝道控制结合固定限速的工程实践基线。通过对比自博弈框架与各基线在策略收敛曲线平滑度、联合动作空间覆盖率以及帕累托前沿分布形态上的差异，本方案不仅旨在验证所提方法在提升高速公路通行效能与主动安全水平方面的综合优势，更力图从方法论层面阐明：在协同式主动交通管控算法设计中，通过引入显式依赖联合动作的博弈评价网络与自对弈历史池机制，能够系统性地突破独立学习范式下策略僵化与协同不足的瓶颈，从而为复杂交通管控场景下的多目标协同优化提供一条兼具理论深度与工程实用性的自博弈解决路径。</w:t>
      </w:r>
    </w:p>
    <w:sectPr w:rsidR="00B34D79" w:rsidRPr="007F58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A584D" w14:textId="77777777" w:rsidR="00D4303B" w:rsidRDefault="00D4303B" w:rsidP="007F5832">
      <w:pPr>
        <w:spacing w:after="0" w:line="240" w:lineRule="auto"/>
      </w:pPr>
      <w:r>
        <w:separator/>
      </w:r>
    </w:p>
  </w:endnote>
  <w:endnote w:type="continuationSeparator" w:id="0">
    <w:p w14:paraId="5C7270E4" w14:textId="77777777" w:rsidR="00D4303B" w:rsidRDefault="00D4303B" w:rsidP="007F5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51579" w14:textId="77777777" w:rsidR="00D4303B" w:rsidRDefault="00D4303B" w:rsidP="007F5832">
      <w:pPr>
        <w:spacing w:after="0" w:line="240" w:lineRule="auto"/>
      </w:pPr>
      <w:r>
        <w:separator/>
      </w:r>
    </w:p>
  </w:footnote>
  <w:footnote w:type="continuationSeparator" w:id="0">
    <w:p w14:paraId="16FF6F06" w14:textId="77777777" w:rsidR="00D4303B" w:rsidRDefault="00D4303B" w:rsidP="007F58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A7"/>
    <w:rsid w:val="002B37B4"/>
    <w:rsid w:val="005D5E5A"/>
    <w:rsid w:val="00674FA7"/>
    <w:rsid w:val="006C01C9"/>
    <w:rsid w:val="007F5832"/>
    <w:rsid w:val="00865FBA"/>
    <w:rsid w:val="009B6BC8"/>
    <w:rsid w:val="00B34D79"/>
    <w:rsid w:val="00D4303B"/>
    <w:rsid w:val="00E80866"/>
    <w:rsid w:val="00FF1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E904E"/>
  <w15:chartTrackingRefBased/>
  <w15:docId w15:val="{D178EF43-E184-4C44-A9DF-3222BFF2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4F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4F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4F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4F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4F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4F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4F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4F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4F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4F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4F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4F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4FA7"/>
    <w:rPr>
      <w:rFonts w:cstheme="majorBidi"/>
      <w:color w:val="0F4761" w:themeColor="accent1" w:themeShade="BF"/>
      <w:sz w:val="28"/>
      <w:szCs w:val="28"/>
    </w:rPr>
  </w:style>
  <w:style w:type="character" w:customStyle="1" w:styleId="50">
    <w:name w:val="标题 5 字符"/>
    <w:basedOn w:val="a0"/>
    <w:link w:val="5"/>
    <w:uiPriority w:val="9"/>
    <w:semiHidden/>
    <w:rsid w:val="00674FA7"/>
    <w:rPr>
      <w:rFonts w:cstheme="majorBidi"/>
      <w:color w:val="0F4761" w:themeColor="accent1" w:themeShade="BF"/>
      <w:sz w:val="24"/>
    </w:rPr>
  </w:style>
  <w:style w:type="character" w:customStyle="1" w:styleId="60">
    <w:name w:val="标题 6 字符"/>
    <w:basedOn w:val="a0"/>
    <w:link w:val="6"/>
    <w:uiPriority w:val="9"/>
    <w:semiHidden/>
    <w:rsid w:val="00674FA7"/>
    <w:rPr>
      <w:rFonts w:cstheme="majorBidi"/>
      <w:b/>
      <w:bCs/>
      <w:color w:val="0F4761" w:themeColor="accent1" w:themeShade="BF"/>
    </w:rPr>
  </w:style>
  <w:style w:type="character" w:customStyle="1" w:styleId="70">
    <w:name w:val="标题 7 字符"/>
    <w:basedOn w:val="a0"/>
    <w:link w:val="7"/>
    <w:uiPriority w:val="9"/>
    <w:semiHidden/>
    <w:rsid w:val="00674FA7"/>
    <w:rPr>
      <w:rFonts w:cstheme="majorBidi"/>
      <w:b/>
      <w:bCs/>
      <w:color w:val="595959" w:themeColor="text1" w:themeTint="A6"/>
    </w:rPr>
  </w:style>
  <w:style w:type="character" w:customStyle="1" w:styleId="80">
    <w:name w:val="标题 8 字符"/>
    <w:basedOn w:val="a0"/>
    <w:link w:val="8"/>
    <w:uiPriority w:val="9"/>
    <w:semiHidden/>
    <w:rsid w:val="00674FA7"/>
    <w:rPr>
      <w:rFonts w:cstheme="majorBidi"/>
      <w:color w:val="595959" w:themeColor="text1" w:themeTint="A6"/>
    </w:rPr>
  </w:style>
  <w:style w:type="character" w:customStyle="1" w:styleId="90">
    <w:name w:val="标题 9 字符"/>
    <w:basedOn w:val="a0"/>
    <w:link w:val="9"/>
    <w:uiPriority w:val="9"/>
    <w:semiHidden/>
    <w:rsid w:val="00674FA7"/>
    <w:rPr>
      <w:rFonts w:eastAsiaTheme="majorEastAsia" w:cstheme="majorBidi"/>
      <w:color w:val="595959" w:themeColor="text1" w:themeTint="A6"/>
    </w:rPr>
  </w:style>
  <w:style w:type="paragraph" w:styleId="a3">
    <w:name w:val="Title"/>
    <w:basedOn w:val="a"/>
    <w:next w:val="a"/>
    <w:link w:val="a4"/>
    <w:uiPriority w:val="10"/>
    <w:qFormat/>
    <w:rsid w:val="00674F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4F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4F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4F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4FA7"/>
    <w:pPr>
      <w:spacing w:before="160"/>
      <w:jc w:val="center"/>
    </w:pPr>
    <w:rPr>
      <w:i/>
      <w:iCs/>
      <w:color w:val="404040" w:themeColor="text1" w:themeTint="BF"/>
    </w:rPr>
  </w:style>
  <w:style w:type="character" w:customStyle="1" w:styleId="a8">
    <w:name w:val="引用 字符"/>
    <w:basedOn w:val="a0"/>
    <w:link w:val="a7"/>
    <w:uiPriority w:val="29"/>
    <w:rsid w:val="00674FA7"/>
    <w:rPr>
      <w:i/>
      <w:iCs/>
      <w:color w:val="404040" w:themeColor="text1" w:themeTint="BF"/>
    </w:rPr>
  </w:style>
  <w:style w:type="paragraph" w:styleId="a9">
    <w:name w:val="List Paragraph"/>
    <w:basedOn w:val="a"/>
    <w:uiPriority w:val="34"/>
    <w:qFormat/>
    <w:rsid w:val="00674FA7"/>
    <w:pPr>
      <w:ind w:left="720"/>
      <w:contextualSpacing/>
    </w:pPr>
  </w:style>
  <w:style w:type="character" w:styleId="aa">
    <w:name w:val="Intense Emphasis"/>
    <w:basedOn w:val="a0"/>
    <w:uiPriority w:val="21"/>
    <w:qFormat/>
    <w:rsid w:val="00674FA7"/>
    <w:rPr>
      <w:i/>
      <w:iCs/>
      <w:color w:val="0F4761" w:themeColor="accent1" w:themeShade="BF"/>
    </w:rPr>
  </w:style>
  <w:style w:type="paragraph" w:styleId="ab">
    <w:name w:val="Intense Quote"/>
    <w:basedOn w:val="a"/>
    <w:next w:val="a"/>
    <w:link w:val="ac"/>
    <w:uiPriority w:val="30"/>
    <w:qFormat/>
    <w:rsid w:val="0067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4FA7"/>
    <w:rPr>
      <w:i/>
      <w:iCs/>
      <w:color w:val="0F4761" w:themeColor="accent1" w:themeShade="BF"/>
    </w:rPr>
  </w:style>
  <w:style w:type="character" w:styleId="ad">
    <w:name w:val="Intense Reference"/>
    <w:basedOn w:val="a0"/>
    <w:uiPriority w:val="32"/>
    <w:qFormat/>
    <w:rsid w:val="00674FA7"/>
    <w:rPr>
      <w:b/>
      <w:bCs/>
      <w:smallCaps/>
      <w:color w:val="0F4761" w:themeColor="accent1" w:themeShade="BF"/>
      <w:spacing w:val="5"/>
    </w:rPr>
  </w:style>
  <w:style w:type="paragraph" w:styleId="ae">
    <w:name w:val="header"/>
    <w:basedOn w:val="a"/>
    <w:link w:val="af"/>
    <w:uiPriority w:val="99"/>
    <w:unhideWhenUsed/>
    <w:rsid w:val="007F583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F5832"/>
    <w:rPr>
      <w:sz w:val="18"/>
      <w:szCs w:val="18"/>
    </w:rPr>
  </w:style>
  <w:style w:type="paragraph" w:styleId="af0">
    <w:name w:val="footer"/>
    <w:basedOn w:val="a"/>
    <w:link w:val="af1"/>
    <w:uiPriority w:val="99"/>
    <w:unhideWhenUsed/>
    <w:rsid w:val="007F583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F5832"/>
    <w:rPr>
      <w:sz w:val="18"/>
      <w:szCs w:val="18"/>
    </w:rPr>
  </w:style>
  <w:style w:type="character" w:customStyle="1" w:styleId="mord">
    <w:name w:val="mord"/>
    <w:basedOn w:val="a0"/>
    <w:rsid w:val="00865FBA"/>
  </w:style>
  <w:style w:type="character" w:customStyle="1" w:styleId="mrel">
    <w:name w:val="mrel"/>
    <w:basedOn w:val="a0"/>
    <w:rsid w:val="00865FBA"/>
  </w:style>
  <w:style w:type="character" w:customStyle="1" w:styleId="mopen">
    <w:name w:val="mopen"/>
    <w:basedOn w:val="a0"/>
    <w:rsid w:val="00865FBA"/>
  </w:style>
  <w:style w:type="character" w:customStyle="1" w:styleId="mpunct">
    <w:name w:val="mpunct"/>
    <w:basedOn w:val="a0"/>
    <w:rsid w:val="00865FBA"/>
  </w:style>
  <w:style w:type="character" w:customStyle="1" w:styleId="vlist-s">
    <w:name w:val="vlist-s"/>
    <w:basedOn w:val="a0"/>
    <w:rsid w:val="00865FBA"/>
  </w:style>
  <w:style w:type="character" w:customStyle="1" w:styleId="mclose">
    <w:name w:val="mclose"/>
    <w:basedOn w:val="a0"/>
    <w:rsid w:val="00865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云阳 史</dc:creator>
  <cp:keywords/>
  <dc:description/>
  <cp:lastModifiedBy>song.zhe.83p@st.kyoto-u.ac.jp</cp:lastModifiedBy>
  <cp:revision>5</cp:revision>
  <dcterms:created xsi:type="dcterms:W3CDTF">2026-04-10T01:41:00Z</dcterms:created>
  <dcterms:modified xsi:type="dcterms:W3CDTF">2026-04-28T11:21:00Z</dcterms:modified>
</cp:coreProperties>
</file>