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1"/>
        <w:spacing w:before="40" w:after="0"/>
        <w:jc w:val="start"/>
        <w:rPr>
          <w:rFonts w:cs="DejaVu Serif"/>
        </w:rPr>
      </w:pPr>
      <w:r>
        <w:rPr>
          <w:rFonts w:cs="DejaVu Serif"/>
          <w:rtl w:val="true"/>
        </w:rPr>
        <w:t>משנה ה</w:t>
      </w:r>
      <w:r>
        <w:rPr>
          <w:rStyle w:val="FootnoteReference"/>
          <w:rFonts w:cs="DejaVu Serif"/>
          <w:sz w:val="28"/>
          <w:sz w:val="28"/>
          <w:rtl w:val="true"/>
        </w:rPr>
        <w:footnoteReference w:id="2"/>
      </w:r>
    </w:p>
    <w:p>
      <w:pPr>
        <w:pStyle w:val="Normal"/>
        <w:bidi w:val="1"/>
        <w:jc w:val="start"/>
        <w:rPr>
          <w:sz w:val="28"/>
          <w:szCs w:val="28"/>
        </w:rPr>
      </w:pPr>
      <w:r>
        <w:rPr>
          <w:rFonts w:cs="DejaVu Serif"/>
          <w:b/>
          <w:b/>
          <w:bCs/>
          <w:sz w:val="28"/>
          <w:sz w:val="28"/>
          <w:szCs w:val="28"/>
          <w:rtl w:val="true"/>
        </w:rPr>
        <w:t>חָתָן</w:t>
      </w:r>
      <w:r>
        <w:rPr>
          <w:rFonts w:cs="DejaVu Serif"/>
          <w:sz w:val="28"/>
          <w:sz w:val="28"/>
          <w:szCs w:val="28"/>
          <w:rtl w:val="true"/>
        </w:rPr>
        <w:t xml:space="preserve"> פָּטוּר מִקְּרִיאַת שְׁמַע בַּלַּיְלָה הָרִאשׁוֹן</w:t>
      </w:r>
      <w:r>
        <w:rPr>
          <w:rStyle w:val="FootnoteReference"/>
          <w:rFonts w:cs="DejaVu Serif"/>
          <w:sz w:val="28"/>
          <w:sz w:val="28"/>
          <w:szCs w:val="28"/>
          <w:rtl w:val="true"/>
        </w:rPr>
        <w:footnoteReference w:id="3"/>
      </w:r>
      <w:r>
        <w:rPr>
          <w:rFonts w:cs="DejaVu Serif"/>
          <w:sz w:val="28"/>
          <w:sz w:val="28"/>
          <w:szCs w:val="28"/>
          <w:rtl w:val="true"/>
        </w:rPr>
        <w:t xml:space="preserve"> עַד מוֹצָאֵי שַׁבָּת</w:t>
      </w:r>
      <w:r>
        <w:rPr>
          <w:rStyle w:val="FootnoteReference"/>
          <w:rFonts w:cs="DejaVu Serif"/>
          <w:sz w:val="28"/>
          <w:sz w:val="28"/>
          <w:szCs w:val="28"/>
          <w:rtl w:val="true"/>
        </w:rPr>
        <w:footnoteReference w:id="4"/>
      </w:r>
      <w:r>
        <w:rPr>
          <w:rFonts w:cs="DejaVu Serif"/>
          <w:sz w:val="28"/>
          <w:szCs w:val="28"/>
          <w:rtl w:val="true"/>
        </w:rPr>
        <w:t xml:space="preserve">, </w:t>
      </w:r>
      <w:r>
        <w:rPr>
          <w:rFonts w:cs="DejaVu Serif"/>
          <w:sz w:val="28"/>
          <w:sz w:val="28"/>
          <w:szCs w:val="28"/>
          <w:rtl w:val="true"/>
        </w:rPr>
        <w:t>אִם לֹא עָשָׂה מַעֲשֶׂה</w:t>
      </w:r>
      <w:r>
        <w:rPr>
          <w:rStyle w:val="FootnoteReference"/>
          <w:rFonts w:cs="DejaVu Serif"/>
          <w:sz w:val="28"/>
          <w:sz w:val="28"/>
          <w:szCs w:val="28"/>
          <w:rtl w:val="true"/>
        </w:rPr>
        <w:footnoteReference w:id="5"/>
      </w:r>
      <w:r>
        <w:rPr>
          <w:rStyle w:val="FootnoteReference"/>
          <w:rFonts w:cs="DejaVu Serif"/>
          <w:sz w:val="28"/>
          <w:sz w:val="28"/>
          <w:szCs w:val="28"/>
          <w:rtl w:val="true"/>
        </w:rPr>
        <w:footnoteReference w:id="6"/>
      </w:r>
      <w:r>
        <w:rPr>
          <w:rFonts w:cs="DejaVu Serif"/>
          <w:sz w:val="28"/>
          <w:szCs w:val="28"/>
          <w:rtl w:val="true"/>
        </w:rPr>
        <w:t xml:space="preserve">. </w:t>
      </w:r>
      <w:r>
        <w:rPr>
          <w:rFonts w:cs="DejaVu Serif"/>
          <w:sz w:val="28"/>
          <w:sz w:val="28"/>
          <w:szCs w:val="28"/>
          <w:rtl w:val="true"/>
        </w:rPr>
        <w:t xml:space="preserve">מַעֲשֶׂה בְּרַבָּן גַּמְלִיאֵל שֶׁקָּרָא בַלַּיְלָה הָרִאשׁוֹן שֶׁנָּשָׂא </w:t>
      </w:r>
      <w:r>
        <w:rPr>
          <w:rFonts w:cs="DejaVu Serif"/>
          <w:sz w:val="28"/>
          <w:szCs w:val="28"/>
          <w:rtl w:val="true"/>
        </w:rPr>
        <w:t>[</w:t>
      </w:r>
      <w:r>
        <w:rPr>
          <w:rFonts w:cs="DejaVu Serif"/>
          <w:sz w:val="28"/>
          <w:sz w:val="28"/>
          <w:szCs w:val="28"/>
          <w:rtl w:val="true"/>
        </w:rPr>
        <w:t>א – נמצא שלא היה נשוי כשהיה רב</w:t>
      </w:r>
      <w:r>
        <w:rPr>
          <w:rFonts w:cs="DejaVu Serif"/>
          <w:sz w:val="28"/>
          <w:szCs w:val="28"/>
          <w:rtl w:val="true"/>
        </w:rPr>
        <w:t xml:space="preserve">. </w:t>
      </w:r>
      <w:r>
        <w:rPr>
          <w:rFonts w:cs="DejaVu Serif"/>
          <w:sz w:val="28"/>
          <w:sz w:val="28"/>
          <w:szCs w:val="28"/>
          <w:rtl w:val="true"/>
        </w:rPr>
        <w:t xml:space="preserve">אולי זה מפני שירש אותו </w:t>
      </w:r>
      <w:r>
        <w:rPr>
          <w:rFonts w:cs="DejaVu Serif"/>
          <w:sz w:val="28"/>
          <w:szCs w:val="28"/>
          <w:rtl w:val="true"/>
        </w:rPr>
        <w:t>(</w:t>
      </w:r>
      <w:r>
        <w:rPr>
          <w:rFonts w:cs="DejaVu Serif"/>
          <w:sz w:val="28"/>
          <w:sz w:val="28"/>
          <w:szCs w:val="28"/>
          <w:rtl w:val="true"/>
        </w:rPr>
        <w:t>ויודעים שאביו מת בחור</w:t>
      </w:r>
      <w:r>
        <w:rPr>
          <w:rFonts w:cs="DejaVu Serif"/>
          <w:sz w:val="28"/>
          <w:szCs w:val="28"/>
          <w:rtl w:val="true"/>
        </w:rPr>
        <w:t xml:space="preserve">, </w:t>
      </w:r>
      <w:r>
        <w:rPr>
          <w:rFonts w:cs="DejaVu Serif"/>
          <w:sz w:val="28"/>
          <w:sz w:val="28"/>
          <w:szCs w:val="28"/>
          <w:rtl w:val="true"/>
        </w:rPr>
        <w:t>וריב”ז היה נשיא</w:t>
      </w:r>
      <w:r>
        <w:rPr>
          <w:rFonts w:cs="DejaVu Serif"/>
          <w:sz w:val="28"/>
          <w:szCs w:val="28"/>
          <w:rtl w:val="true"/>
        </w:rPr>
        <w:t xml:space="preserve">. </w:t>
      </w:r>
      <w:r>
        <w:rPr>
          <w:rFonts w:cs="DejaVu Serif"/>
          <w:sz w:val="28"/>
          <w:sz w:val="28"/>
          <w:szCs w:val="28"/>
          <w:rtl w:val="true"/>
        </w:rPr>
        <w:t>גם אפשר שמתה אשתו ונשא אחרת</w:t>
      </w:r>
      <w:r>
        <w:rPr>
          <w:rFonts w:cs="DejaVu Serif"/>
          <w:sz w:val="28"/>
          <w:szCs w:val="28"/>
          <w:rtl w:val="true"/>
        </w:rPr>
        <w:t xml:space="preserve">, </w:t>
      </w:r>
      <w:r>
        <w:rPr>
          <w:rFonts w:cs="DejaVu Serif"/>
          <w:sz w:val="28"/>
          <w:sz w:val="28"/>
          <w:szCs w:val="28"/>
          <w:rtl w:val="true"/>
        </w:rPr>
        <w:t>ואולי אף לא מתה אשתו</w:t>
      </w:r>
      <w:r>
        <w:rPr>
          <w:rFonts w:cs="DejaVu Serif"/>
          <w:sz w:val="28"/>
          <w:szCs w:val="28"/>
          <w:rtl w:val="true"/>
        </w:rPr>
        <w:t xml:space="preserve">, </w:t>
      </w:r>
      <w:r>
        <w:rPr>
          <w:rFonts w:cs="DejaVu Serif"/>
          <w:sz w:val="28"/>
          <w:sz w:val="28"/>
          <w:szCs w:val="28"/>
          <w:rtl w:val="true"/>
        </w:rPr>
        <w:t>אלא נשא עוד אשה</w:t>
      </w:r>
      <w:r>
        <w:rPr>
          <w:rFonts w:cs="DejaVu Serif"/>
          <w:sz w:val="28"/>
          <w:szCs w:val="28"/>
          <w:rtl w:val="true"/>
        </w:rPr>
        <w:t>.]</w:t>
      </w:r>
      <w:r>
        <w:rPr>
          <w:rFonts w:cs="DejaVu Serif"/>
          <w:sz w:val="28"/>
          <w:szCs w:val="28"/>
          <w:rtl w:val="true"/>
        </w:rPr>
        <w:t xml:space="preserve">. </w:t>
      </w:r>
      <w:r>
        <w:rPr>
          <w:rFonts w:cs="DejaVu Serif"/>
          <w:sz w:val="28"/>
          <w:sz w:val="28"/>
          <w:szCs w:val="28"/>
          <w:rtl w:val="true"/>
        </w:rPr>
        <w:t>אָמְרוּ לוֹ תַּלְמִידָיו</w:t>
      </w:r>
      <w:r>
        <w:rPr>
          <w:rFonts w:cs="DejaVu Serif"/>
          <w:sz w:val="28"/>
          <w:szCs w:val="28"/>
          <w:rtl w:val="true"/>
        </w:rPr>
        <w:t xml:space="preserve">, </w:t>
      </w:r>
      <w:r>
        <w:rPr>
          <w:rFonts w:cs="DejaVu Serif"/>
          <w:sz w:val="28"/>
          <w:sz w:val="28"/>
          <w:szCs w:val="28"/>
          <w:rtl w:val="true"/>
        </w:rPr>
        <w:t>לֹא לִמַּדְתָּנוּ</w:t>
      </w:r>
      <w:r>
        <w:rPr>
          <w:rFonts w:cs="DejaVu Serif"/>
          <w:sz w:val="28"/>
          <w:szCs w:val="28"/>
          <w:rtl w:val="true"/>
        </w:rPr>
        <w:t xml:space="preserve">, </w:t>
      </w:r>
      <w:r>
        <w:rPr>
          <w:rFonts w:cs="DejaVu Serif"/>
          <w:sz w:val="28"/>
          <w:sz w:val="28"/>
          <w:szCs w:val="28"/>
          <w:rtl w:val="true"/>
        </w:rPr>
        <w:t>רַבֵּנוּ</w:t>
      </w:r>
      <w:r>
        <w:rPr>
          <w:rFonts w:cs="DejaVu Serif"/>
          <w:sz w:val="28"/>
          <w:szCs w:val="28"/>
          <w:rtl w:val="true"/>
        </w:rPr>
        <w:t xml:space="preserve">, </w:t>
      </w:r>
      <w:r>
        <w:rPr>
          <w:rFonts w:cs="DejaVu Serif"/>
          <w:sz w:val="28"/>
          <w:sz w:val="28"/>
          <w:szCs w:val="28"/>
          <w:rtl w:val="true"/>
        </w:rPr>
        <w:t>שֶׁחָתָן פָּטוּר מִקְּרִיאַת שְׁמַע בַּלַּיְלָה הָרִאשׁוֹן</w:t>
      </w:r>
      <w:r>
        <w:rPr>
          <w:rFonts w:cs="DejaVu Serif"/>
          <w:sz w:val="28"/>
          <w:szCs w:val="28"/>
          <w:rtl w:val="true"/>
        </w:rPr>
        <w:t xml:space="preserve">. </w:t>
      </w:r>
      <w:r>
        <w:rPr>
          <w:rFonts w:cs="DejaVu Serif"/>
          <w:sz w:val="28"/>
          <w:szCs w:val="28"/>
          <w:rtl w:val="true"/>
        </w:rPr>
        <w:t>[</w:t>
      </w:r>
      <w:r>
        <w:rPr>
          <w:rFonts w:cs="DejaVu Serif"/>
          <w:sz w:val="28"/>
          <w:sz w:val="28"/>
          <w:szCs w:val="28"/>
          <w:rtl w:val="true"/>
        </w:rPr>
        <w:t>ב – צריך ביאור מה היתה קושייתם</w:t>
      </w:r>
      <w:r>
        <w:rPr>
          <w:rFonts w:cs="DejaVu Serif"/>
          <w:sz w:val="28"/>
          <w:szCs w:val="28"/>
          <w:rtl w:val="true"/>
        </w:rPr>
        <w:t xml:space="preserve">, </w:t>
      </w:r>
      <w:r>
        <w:rPr>
          <w:rFonts w:cs="DejaVu Serif"/>
          <w:sz w:val="28"/>
          <w:sz w:val="28"/>
          <w:szCs w:val="28"/>
          <w:rtl w:val="true"/>
        </w:rPr>
        <w:t>שהרי עשה אף בלי חיוב</w:t>
      </w:r>
      <w:r>
        <w:rPr>
          <w:rFonts w:cs="DejaVu Serif"/>
          <w:sz w:val="28"/>
          <w:szCs w:val="28"/>
          <w:rtl w:val="true"/>
        </w:rPr>
        <w:t xml:space="preserve">. </w:t>
      </w:r>
      <w:r>
        <w:rPr>
          <w:rFonts w:cs="DejaVu Serif"/>
          <w:sz w:val="28"/>
          <w:sz w:val="28"/>
          <w:szCs w:val="28"/>
          <w:rtl w:val="true"/>
        </w:rPr>
        <w:t>אולי סברו שאין לומר את זה בלי כוונה</w:t>
      </w:r>
      <w:r>
        <w:rPr>
          <w:rFonts w:cs="DejaVu Serif"/>
          <w:sz w:val="28"/>
          <w:szCs w:val="28"/>
          <w:rtl w:val="true"/>
        </w:rPr>
        <w:t xml:space="preserve">. </w:t>
      </w:r>
      <w:r>
        <w:rPr>
          <w:rFonts w:cs="DejaVu Serif"/>
          <w:sz w:val="28"/>
          <w:sz w:val="28"/>
          <w:szCs w:val="28"/>
          <w:rtl w:val="true"/>
        </w:rPr>
        <w:t>גי</w:t>
      </w:r>
      <w:r>
        <w:rPr>
          <w:rFonts w:cs="DejaVu Serif"/>
          <w:sz w:val="28"/>
          <w:szCs w:val="28"/>
          <w:rtl w:val="true"/>
        </w:rPr>
        <w:t>"</w:t>
      </w:r>
      <w:r>
        <w:rPr>
          <w:rFonts w:cs="DejaVu Serif"/>
          <w:sz w:val="28"/>
          <w:sz w:val="28"/>
          <w:szCs w:val="28"/>
          <w:rtl w:val="true"/>
        </w:rPr>
        <w:t>ל שסברו שיראה להם הדין שפטור</w:t>
      </w:r>
      <w:r>
        <w:rPr>
          <w:rFonts w:cs="DejaVu Serif"/>
          <w:sz w:val="28"/>
          <w:szCs w:val="28"/>
          <w:rtl w:val="true"/>
        </w:rPr>
        <w:t>.]</w:t>
      </w:r>
      <w:r>
        <w:rPr>
          <w:rFonts w:cs="DejaVu Serif"/>
          <w:sz w:val="28"/>
          <w:szCs w:val="28"/>
          <w:rtl w:val="true"/>
        </w:rPr>
        <w:t xml:space="preserve"> </w:t>
      </w:r>
      <w:r>
        <w:rPr>
          <w:rFonts w:cs="DejaVu Serif"/>
          <w:sz w:val="28"/>
          <w:sz w:val="28"/>
          <w:szCs w:val="28"/>
          <w:rtl w:val="true"/>
        </w:rPr>
        <w:t>אָמַר לָהֶם</w:t>
      </w:r>
      <w:r>
        <w:rPr>
          <w:rFonts w:cs="DejaVu Serif"/>
          <w:sz w:val="28"/>
          <w:szCs w:val="28"/>
          <w:rtl w:val="true"/>
        </w:rPr>
        <w:t xml:space="preserve">, </w:t>
      </w:r>
      <w:r>
        <w:rPr>
          <w:rFonts w:cs="DejaVu Serif"/>
          <w:sz w:val="28"/>
          <w:sz w:val="28"/>
          <w:szCs w:val="28"/>
          <w:rtl w:val="true"/>
        </w:rPr>
        <w:t>אֵינִי שׁוֹמֵעַ לָכֶם לְבַטֵּל מִמֶּנִּי מַלְכוּת שָׁמַיִם אֲפִלּוּ שָׁעָה אֶחָת</w:t>
      </w:r>
      <w:r>
        <w:rPr>
          <w:rStyle w:val="FootnoteReference"/>
          <w:rFonts w:cs="DejaVu Serif"/>
          <w:sz w:val="28"/>
          <w:sz w:val="28"/>
          <w:szCs w:val="28"/>
          <w:rtl w:val="true"/>
        </w:rPr>
        <w:footnoteReference w:id="7"/>
      </w:r>
      <w:r>
        <w:rPr>
          <w:rFonts w:cs="DejaVu Serif"/>
          <w:sz w:val="28"/>
          <w:szCs w:val="28"/>
          <w:rtl w:val="true"/>
        </w:rPr>
        <w:t xml:space="preserve">:  </w:t>
      </w:r>
      <w:r>
        <w:rPr>
          <w:rFonts w:cs="DejaVu Serif"/>
          <w:sz w:val="28"/>
          <w:szCs w:val="28"/>
          <w:rtl w:val="true"/>
        </w:rPr>
        <w:t>[</w:t>
      </w:r>
      <w:r>
        <w:rPr>
          <w:rFonts w:cs="DejaVu Serif"/>
          <w:sz w:val="28"/>
          <w:sz w:val="28"/>
          <w:szCs w:val="28"/>
          <w:rtl w:val="true"/>
        </w:rPr>
        <w:t>ג – צריך ביאור מהו תשובתו</w:t>
      </w:r>
      <w:r>
        <w:rPr>
          <w:rFonts w:cs="DejaVu Serif"/>
          <w:sz w:val="28"/>
          <w:szCs w:val="28"/>
          <w:rtl w:val="true"/>
        </w:rPr>
        <w:t>.]</w:t>
      </w:r>
    </w:p>
    <w:sectPr>
      <w:footnotePr>
        <w:numFmt w:val="decimal"/>
      </w:footnote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bidi w:val="1"/>
        <w:jc w:val="start"/>
        <w:rPr>
          <w:b/>
          <w:bCs/>
        </w:rPr>
      </w:pPr>
      <w:r>
        <w:rPr>
          <w:rStyle w:val="FootnoteCharacters"/>
        </w:rPr>
        <w:footnoteRef/>
      </w:r>
      <w:r>
        <w:rPr>
          <w:rStyle w:val="FootnoteCharacters"/>
          <w:rtl w:val="true"/>
        </w:rPr>
        <w:tab/>
        <w:t xml:space="preserve"> </w:t>
      </w:r>
      <w:r>
        <w:rPr>
          <w:rFonts w:cs="Noto Rashi Hebrew"/>
          <w:b/>
          <w:b/>
          <w:bCs/>
          <w:rtl w:val="true"/>
        </w:rPr>
        <w:t>משנה ה</w:t>
      </w:r>
    </w:p>
  </w:footnote>
  <w:footnote w:id="3">
    <w:p>
      <w:pPr>
        <w:pStyle w:val="FootnoteText"/>
        <w:bidi w:val="1"/>
        <w:jc w:val="star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  <w:t>זה ארבע לילות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והוא מליל חמישי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שחייב לישא ביום רביעי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כדי שיוכל לבוא לדין אם לא מצא בתולים</w:t>
      </w:r>
      <w:r>
        <w:rPr>
          <w:rFonts w:cs="Noto Rashi Hebrew"/>
          <w:rtl w:val="true"/>
        </w:rPr>
        <w:t>. (</w:t>
      </w:r>
      <w:r>
        <w:rPr>
          <w:rFonts w:cs="Noto Rashi Hebrew"/>
          <w:rtl w:val="true"/>
        </w:rPr>
        <w:t xml:space="preserve">כתובות </w:t>
      </w:r>
      <w:r>
        <w:rPr>
          <w:rFonts w:cs="Noto Rashi Hebrew"/>
          <w:b/>
          <w:b/>
          <w:bCs/>
          <w:rtl w:val="true"/>
        </w:rPr>
        <w:t>ב</w:t>
      </w:r>
      <w:r>
        <w:rPr>
          <w:rFonts w:cs="Noto Rashi Hebrew"/>
          <w:b/>
          <w:bCs/>
          <w:rtl w:val="true"/>
        </w:rPr>
        <w:t>.</w:t>
      </w:r>
      <w:r>
        <w:rPr>
          <w:rFonts w:cs="Noto Rashi Hebrew"/>
          <w:rtl w:val="true"/>
        </w:rPr>
        <w:t>)</w:t>
      </w:r>
    </w:p>
  </w:footnote>
  <w:footnote w:id="4">
    <w:p>
      <w:pPr>
        <w:pStyle w:val="FootnoteText"/>
        <w:bidi w:val="1"/>
        <w:jc w:val="start"/>
        <w:rPr/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  <w:t xml:space="preserve">גמרא </w:t>
      </w:r>
      <w:r>
        <w:rPr>
          <w:rFonts w:cs="Noto Rashi Hebrew"/>
          <w:b/>
          <w:bCs/>
          <w:rtl w:val="true"/>
        </w:rPr>
        <w:t>(</w:t>
      </w:r>
      <w:r>
        <w:rPr>
          <w:rFonts w:cs="Noto Rashi Hebrew"/>
          <w:b/>
          <w:b/>
          <w:bCs/>
          <w:rtl w:val="true"/>
        </w:rPr>
        <w:t>טז</w:t>
      </w:r>
      <w:r>
        <w:rPr>
          <w:rFonts w:cs="Noto Rashi Hebrew"/>
          <w:b/>
          <w:bCs/>
          <w:rtl w:val="true"/>
        </w:rPr>
        <w:t>.)</w:t>
      </w:r>
      <w:r>
        <w:rPr>
          <w:rtl w:val="true"/>
        </w:rPr>
        <w:t xml:space="preserve"> </w:t>
      </w:r>
      <w:r>
        <w:rPr>
          <w:rFonts w:cs="Noto Rashi Hebrew"/>
          <w:rtl w:val="true"/>
        </w:rPr>
        <w:t>דורש את זה מ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ובלכתך בדרך</w:t>
      </w:r>
      <w:r>
        <w:rPr>
          <w:rFonts w:cs="Noto Rashi Hebrew"/>
          <w:rtl w:val="true"/>
        </w:rPr>
        <w:t xml:space="preserve">,” </w:t>
      </w:r>
      <w:r>
        <w:rPr>
          <w:rFonts w:cs="Noto Rashi Hebrew"/>
          <w:rtl w:val="true"/>
        </w:rPr>
        <w:t>שממעט לכת זה שהוא של מצווה</w:t>
      </w:r>
      <w:r>
        <w:rPr>
          <w:rFonts w:cs="Noto Rashi Hebrew"/>
          <w:rtl w:val="true"/>
        </w:rPr>
        <w:t>.</w:t>
      </w:r>
    </w:p>
  </w:footnote>
  <w:footnote w:id="5">
    <w:p>
      <w:pPr>
        <w:pStyle w:val="FootnoteText"/>
        <w:bidi w:val="1"/>
        <w:jc w:val="star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  <w:t xml:space="preserve">עיין בגמרא ברכות </w:t>
      </w:r>
      <w:r>
        <w:rPr>
          <w:rFonts w:cs="Noto Rashi Hebrew"/>
          <w:b/>
          <w:b/>
          <w:bCs/>
          <w:rtl w:val="true"/>
        </w:rPr>
        <w:t>טז</w:t>
      </w:r>
      <w:r>
        <w:rPr>
          <w:rFonts w:cs="Noto Rashi Hebrew"/>
          <w:b/>
          <w:bCs/>
          <w:rtl w:val="true"/>
        </w:rPr>
        <w:t>.</w:t>
      </w:r>
      <w:r>
        <w:rPr>
          <w:rFonts w:cs="Noto Rashi Hebrew"/>
          <w:rtl w:val="true"/>
        </w:rPr>
        <w:t xml:space="preserve"> </w:t>
      </w:r>
      <w:r>
        <w:rPr>
          <w:rFonts w:cs="Noto Rashi Hebrew"/>
          <w:rtl w:val="true"/>
        </w:rPr>
        <w:t>ו</w:t>
      </w:r>
      <w:r>
        <w:rPr>
          <w:rFonts w:cs="Noto Rashi Hebrew"/>
          <w:b/>
          <w:b/>
          <w:bCs/>
          <w:rtl w:val="true"/>
        </w:rPr>
        <w:t>כתובות ו</w:t>
      </w:r>
      <w:r>
        <w:rPr>
          <w:rFonts w:cs="Noto Rashi Hebrew"/>
          <w:b/>
          <w:bCs/>
          <w:rtl w:val="true"/>
        </w:rPr>
        <w:t>: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יוצא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לכאורה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שני שיטות בביאור משנה זה</w:t>
      </w:r>
      <w:r>
        <w:rPr>
          <w:rFonts w:cs="Noto Rashi Hebrew"/>
          <w:rtl w:val="true"/>
        </w:rPr>
        <w:t>:</w:t>
        <w:tab/>
      </w:r>
    </w:p>
    <w:p>
      <w:pPr>
        <w:pStyle w:val="FootnoteText"/>
        <w:numPr>
          <w:ilvl w:val="0"/>
          <w:numId w:val="2"/>
        </w:numPr>
        <w:bidi w:val="1"/>
        <w:ind w:hanging="360" w:start="1060"/>
        <w:jc w:val="start"/>
        <w:rPr>
          <w:rFonts w:cs="Noto Rashi Hebrew"/>
        </w:rPr>
      </w:pPr>
      <w:r>
        <w:rPr>
          <w:rFonts w:cs="Noto Rashi Hebrew"/>
          <w:rtl w:val="true"/>
        </w:rPr>
        <w:t xml:space="preserve">אביי סובר לפי תנא אחד </w:t>
      </w:r>
      <w:r>
        <w:rPr>
          <w:rFonts w:cs="Noto Rashi Hebrew"/>
          <w:rtl w:val="true"/>
        </w:rPr>
        <w:t>(</w:t>
      </w:r>
      <w:r>
        <w:rPr>
          <w:rFonts w:cs="Noto Rashi Hebrew"/>
          <w:rtl w:val="true"/>
        </w:rPr>
        <w:t>וכן הוא סתימות גמ’ בברכות</w:t>
      </w:r>
      <w:r>
        <w:rPr>
          <w:rFonts w:cs="Noto Rashi Hebrew"/>
          <w:rtl w:val="true"/>
        </w:rPr>
        <w:t xml:space="preserve">) </w:t>
      </w:r>
      <w:r>
        <w:rPr>
          <w:rFonts w:cs="Noto Rashi Hebrew"/>
          <w:rtl w:val="true"/>
        </w:rPr>
        <w:t>שכדי להיות פטור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צריך שני תנאים</w:t>
      </w:r>
      <w:r>
        <w:rPr>
          <w:rFonts w:cs="Noto Rashi Hebrew"/>
          <w:rtl w:val="true"/>
        </w:rPr>
        <w:t>:</w:t>
      </w:r>
    </w:p>
    <w:p>
      <w:pPr>
        <w:pStyle w:val="FootnoteText"/>
        <w:numPr>
          <w:ilvl w:val="1"/>
          <w:numId w:val="2"/>
        </w:numPr>
        <w:bidi w:val="1"/>
        <w:ind w:hanging="360" w:start="1420"/>
        <w:jc w:val="start"/>
        <w:rPr>
          <w:rFonts w:cs="Noto Rashi Hebrew"/>
        </w:rPr>
      </w:pPr>
      <w:r>
        <w:rPr>
          <w:rFonts w:cs="Noto Rashi Hebrew"/>
          <w:rtl w:val="true"/>
        </w:rPr>
        <w:t>צריך להיות טרוד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אז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 xml:space="preserve">מי שנושא בעולה </w:t>
      </w:r>
      <w:r>
        <w:rPr>
          <w:rFonts w:cs="Noto Rashi Hebrew"/>
          <w:rtl w:val="true"/>
        </w:rPr>
        <w:t>(</w:t>
      </w:r>
      <w:r>
        <w:rPr>
          <w:rFonts w:cs="Noto Rashi Hebrew"/>
          <w:rtl w:val="true"/>
        </w:rPr>
        <w:t>או מי שכבר בא עליה</w:t>
      </w:r>
      <w:r>
        <w:rPr>
          <w:rFonts w:cs="Noto Rashi Hebrew"/>
          <w:rtl w:val="true"/>
        </w:rPr>
        <w:t xml:space="preserve">) </w:t>
      </w:r>
      <w:r>
        <w:rPr>
          <w:rFonts w:cs="Noto Rashi Hebrew"/>
          <w:rtl w:val="true"/>
        </w:rPr>
        <w:t>חייב בק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ש</w:t>
      </w:r>
      <w:r>
        <w:rPr>
          <w:rFonts w:cs="Noto Rashi Hebrew"/>
          <w:rtl w:val="true"/>
        </w:rPr>
        <w:t>.</w:t>
      </w:r>
    </w:p>
    <w:p>
      <w:pPr>
        <w:pStyle w:val="FootnoteText"/>
        <w:numPr>
          <w:ilvl w:val="1"/>
          <w:numId w:val="2"/>
        </w:numPr>
        <w:bidi w:val="1"/>
        <w:ind w:hanging="360" w:start="1420"/>
        <w:jc w:val="start"/>
        <w:rPr>
          <w:rFonts w:cs="Noto Rashi Hebrew"/>
        </w:rPr>
      </w:pPr>
      <w:r>
        <w:rPr>
          <w:rFonts w:cs="Noto Rashi Hebrew"/>
          <w:rtl w:val="true"/>
        </w:rPr>
        <w:t>צריך להיות טירדת מצווה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אז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מי שטרוד על ספינתו חיי בק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ש</w:t>
      </w:r>
      <w:r>
        <w:rPr>
          <w:rFonts w:cs="Noto Rashi Hebrew"/>
          <w:rtl w:val="true"/>
        </w:rPr>
        <w:t>.</w:t>
      </w:r>
    </w:p>
    <w:p>
      <w:pPr>
        <w:pStyle w:val="FootnoteText"/>
        <w:numPr>
          <w:ilvl w:val="0"/>
          <w:numId w:val="2"/>
        </w:numPr>
        <w:bidi w:val="1"/>
        <w:ind w:hanging="360" w:start="1060"/>
        <w:jc w:val="start"/>
        <w:rPr>
          <w:rFonts w:cs="Noto Rashi Hebrew"/>
        </w:rPr>
      </w:pPr>
      <w:r>
        <w:rPr>
          <w:rFonts w:cs="Noto Rashi Hebrew"/>
          <w:rtl w:val="true"/>
        </w:rPr>
        <w:t>רבא סובר שכדי להיות פטור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צריך שני דברים</w:t>
      </w:r>
      <w:r>
        <w:rPr>
          <w:rFonts w:cs="Noto Rashi Hebrew"/>
          <w:rtl w:val="true"/>
        </w:rPr>
        <w:t>:</w:t>
      </w:r>
    </w:p>
    <w:p>
      <w:pPr>
        <w:pStyle w:val="FootnoteText"/>
        <w:numPr>
          <w:ilvl w:val="1"/>
          <w:numId w:val="2"/>
        </w:numPr>
        <w:bidi w:val="1"/>
        <w:ind w:hanging="360" w:start="1420"/>
        <w:jc w:val="start"/>
        <w:rPr>
          <w:rFonts w:cs="Noto Rashi Hebrew"/>
        </w:rPr>
      </w:pPr>
      <w:r>
        <w:rPr>
          <w:rFonts w:cs="Noto Rashi Hebrew"/>
          <w:rtl w:val="true"/>
        </w:rPr>
        <w:t>צריך להיות טרוד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אז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 xml:space="preserve">מיש נושא בעולה </w:t>
      </w:r>
      <w:r>
        <w:rPr>
          <w:rFonts w:cs="Noto Rashi Hebrew"/>
          <w:rtl w:val="true"/>
        </w:rPr>
        <w:t>(</w:t>
      </w:r>
      <w:r>
        <w:rPr>
          <w:rFonts w:cs="Noto Rashi Hebrew"/>
          <w:rtl w:val="true"/>
        </w:rPr>
        <w:t>או מי שכבר בא עליה</w:t>
      </w:r>
      <w:r>
        <w:rPr>
          <w:rFonts w:cs="Noto Rashi Hebrew"/>
          <w:rtl w:val="true"/>
        </w:rPr>
        <w:t xml:space="preserve">) </w:t>
      </w:r>
      <w:r>
        <w:rPr>
          <w:rFonts w:cs="Noto Rashi Hebrew"/>
          <w:rtl w:val="true"/>
        </w:rPr>
        <w:t>חייב בק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ש</w:t>
      </w:r>
      <w:r>
        <w:rPr>
          <w:rFonts w:cs="Noto Rashi Hebrew"/>
          <w:rtl w:val="true"/>
        </w:rPr>
        <w:t>.</w:t>
      </w:r>
    </w:p>
    <w:p>
      <w:pPr>
        <w:pStyle w:val="FootnoteText"/>
        <w:numPr>
          <w:ilvl w:val="1"/>
          <w:numId w:val="2"/>
        </w:numPr>
        <w:bidi w:val="1"/>
        <w:ind w:hanging="360" w:start="1420"/>
        <w:jc w:val="start"/>
        <w:rPr>
          <w:rFonts w:cs="Noto Rashi Hebrew"/>
        </w:rPr>
      </w:pPr>
      <w:r>
        <w:rPr>
          <w:rFonts w:cs="Noto Rashi Hebrew"/>
          <w:rtl w:val="true"/>
        </w:rPr>
        <w:t>צריך להיות טירדא לעשות דבר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ולא טירדא על מעשה שאי אפשר לו לעשות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אז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מי שטרוד על ספינתו חייב בק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ש</w:t>
      </w:r>
      <w:r>
        <w:rPr>
          <w:rFonts w:cs="Noto Rashi Hebrew"/>
          <w:rtl w:val="true"/>
        </w:rPr>
        <w:t>.</w:t>
      </w:r>
    </w:p>
    <w:p>
      <w:pPr>
        <w:pStyle w:val="FootnoteText"/>
        <w:bidi w:val="1"/>
        <w:jc w:val="start"/>
        <w:rPr>
          <w:rFonts w:cs="Noto Rashi Hebrew"/>
        </w:rPr>
      </w:pP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לרבא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יהיה נמצא שמותר לבעול ביאה ראשונה בשבת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שאי לאו הכי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לא היה חתן פטור מקריאת שמע באותו לילה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לאביי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אין צריכים לומר כן</w:t>
      </w:r>
      <w:r>
        <w:rPr>
          <w:rFonts w:cs="Noto Rashi Hebrew"/>
          <w:rtl w:val="true"/>
        </w:rPr>
        <w:t xml:space="preserve">. </w:t>
      </w:r>
    </w:p>
    <w:p>
      <w:pPr>
        <w:pStyle w:val="FootnoteText"/>
        <w:bidi w:val="1"/>
        <w:jc w:val="start"/>
        <w:rPr>
          <w:rFonts w:cs="Noto Rashi Hebrew"/>
        </w:rPr>
      </w:pP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כן יוצא מן הבבלי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אבל הירושלמי מתחיל לומר כרבא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ודוחה שכאן נושא אלמנה</w:t>
      </w:r>
      <w:r>
        <w:rPr>
          <w:rFonts w:cs="Noto Rashi Hebrew"/>
          <w:rtl w:val="true"/>
        </w:rPr>
        <w:t>. (</w:t>
      </w:r>
      <w:r>
        <w:rPr>
          <w:rFonts w:cs="Noto Rashi Hebrew"/>
          <w:rtl w:val="true"/>
        </w:rPr>
        <w:t>ויש לדון למה נושא ביום רביעי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 xml:space="preserve">כמו שמבואר בכתובות </w:t>
      </w:r>
      <w:r>
        <w:rPr>
          <w:rFonts w:cs="Noto Rashi Hebrew"/>
          <w:rtl w:val="true"/>
        </w:rPr>
        <w:t>(</w:t>
      </w:r>
      <w:r>
        <w:rPr>
          <w:rFonts w:cs="Noto Rashi Hebrew"/>
          <w:rtl w:val="true"/>
        </w:rPr>
        <w:t>ב</w:t>
      </w:r>
      <w:r>
        <w:rPr>
          <w:rFonts w:cs="Noto Rashi Hebrew"/>
          <w:rtl w:val="true"/>
        </w:rPr>
        <w:t xml:space="preserve">.)) </w:t>
      </w:r>
      <w:r>
        <w:rPr>
          <w:rFonts w:cs="Noto Rashi Hebrew"/>
          <w:rtl w:val="true"/>
        </w:rPr>
        <w:t>פטור כיון שהוא טרוד על עשיית מצוות ביאה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שחושש שמא יכרוך נימא על אמתו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ויעשה אותו כרות שפכה</w:t>
      </w:r>
      <w:r>
        <w:rPr>
          <w:rFonts w:cs="Noto Rashi Hebrew"/>
          <w:rtl w:val="true"/>
        </w:rPr>
        <w:t>.</w:t>
      </w:r>
    </w:p>
  </w:footnote>
  <w:footnote w:id="6">
    <w:p>
      <w:pPr>
        <w:pStyle w:val="FootnoteText"/>
        <w:bidi w:val="1"/>
        <w:jc w:val="star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  <w:t>לפי הבבלי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חייב אחר שעשה מעשה כיון שלא טורד עוד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שטירדתו בא מחששו שמא אינה בתולה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או שמא לא יוכל להוציא את הבתולים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לירושלמי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צ“ל שחייב אחר שעשה מעשה כיון שלא טרוד עוד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שכבר ראה שלא נעשה כרות שפכה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וכמו שלא נעשה בפעם ראשונה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לא ייעשה בפעם שנית</w:t>
      </w:r>
      <w:r>
        <w:rPr>
          <w:rFonts w:cs="Noto Rashi Hebrew"/>
          <w:rtl w:val="true"/>
        </w:rPr>
        <w:t>. (</w:t>
      </w:r>
      <w:r>
        <w:rPr>
          <w:rFonts w:cs="Noto Rashi Hebrew"/>
          <w:rtl w:val="true"/>
        </w:rPr>
        <w:t>א“כ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יש לדון אם מי שכבר היה נשוי פטור מק“ש לילה ראשון לפי הירושלמי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גמ’ מזכיר שהיה ר“ג פטור</w:t>
      </w:r>
      <w:r>
        <w:rPr>
          <w:rFonts w:cs="Noto Rashi Hebrew"/>
          <w:rtl w:val="true"/>
        </w:rPr>
        <w:t xml:space="preserve">; </w:t>
      </w:r>
      <w:r>
        <w:rPr>
          <w:rFonts w:cs="Noto Rashi Hebrew"/>
          <w:rtl w:val="true"/>
        </w:rPr>
        <w:t>אולי לפי ירושלמי צ“ל שזה היה אשה רשאונה שלו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והיה כבר מלמד לתלמידים קודם שנשא אשה</w:t>
      </w:r>
      <w:r>
        <w:rPr>
          <w:rFonts w:cs="Noto Rashi Hebrew"/>
          <w:rtl w:val="true"/>
        </w:rPr>
        <w:t>.)</w:t>
      </w:r>
    </w:p>
  </w:footnote>
  <w:footnote w:id="7">
    <w:p>
      <w:pPr>
        <w:pStyle w:val="FootnoteText"/>
        <w:bidi w:val="1"/>
        <w:jc w:val="star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  <w:t>ואם תאמר הרי ירושלמי אומר שהפוטר מדבר ועושהו נקרא הדיוט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תי’ שם שקבלת מלכות שמים שאני</w:t>
      </w:r>
      <w:r>
        <w:rPr>
          <w:rFonts w:cs="Noto Rashi Hebrew"/>
          <w:rtl w:val="true"/>
        </w:rPr>
        <w:t>. (</w:t>
      </w:r>
      <w:r>
        <w:rPr>
          <w:rFonts w:cs="Noto Rashi Hebrew"/>
          <w:rtl w:val="true"/>
        </w:rPr>
        <w:t>כן מפרש פני משה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וע“ש במפרשי ירושלמי</w:t>
      </w:r>
      <w:r>
        <w:rPr>
          <w:rFonts w:cs="Noto Rashi Hebrew"/>
          <w:rtl w:val="true"/>
        </w:rPr>
        <w:t>.)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"/>
      <w:lvlJc w:val="end"/>
      <w:pPr>
        <w:tabs>
          <w:tab w:val="num" w:pos="0"/>
        </w:tabs>
        <w:ind w:start="700" w:hanging="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end"/>
      <w:pPr>
        <w:tabs>
          <w:tab w:val="num" w:pos="0"/>
        </w:tabs>
        <w:ind w:start="1060" w:hanging="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end"/>
      <w:pPr>
        <w:tabs>
          <w:tab w:val="num" w:pos="0"/>
        </w:tabs>
        <w:ind w:start="1420" w:hanging="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end"/>
      <w:pPr>
        <w:tabs>
          <w:tab w:val="num" w:pos="0"/>
        </w:tabs>
        <w:ind w:start="1780" w:hanging="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end"/>
      <w:pPr>
        <w:tabs>
          <w:tab w:val="num" w:pos="0"/>
        </w:tabs>
        <w:ind w:start="2140" w:hanging="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end"/>
      <w:pPr>
        <w:tabs>
          <w:tab w:val="num" w:pos="0"/>
        </w:tabs>
        <w:ind w:start="2500" w:hanging="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end"/>
      <w:pPr>
        <w:tabs>
          <w:tab w:val="num" w:pos="0"/>
        </w:tabs>
        <w:ind w:start="2860" w:hanging="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end"/>
      <w:pPr>
        <w:tabs>
          <w:tab w:val="num" w:pos="0"/>
        </w:tabs>
        <w:ind w:start="3220" w:hanging="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end"/>
      <w:pPr>
        <w:tabs>
          <w:tab w:val="num" w:pos="0"/>
        </w:tabs>
        <w:ind w:start="3580" w:hanging="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Unifont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Unifont" w:cs="FreeSans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Times New Roman"/>
      <w:b/>
      <w:bCs/>
      <w:szCs w:val="28"/>
    </w:rPr>
  </w:style>
  <w:style w:type="character" w:styleId="LineNumber">
    <w:name w:val="line number"/>
    <w:rPr/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Unifont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LibreOffice/25.8.2.2$Linux_X86_64 LibreOffice_project/580$Build-2</Application>
  <AppVersion>15.0000</AppVersion>
  <Pages>1</Pages>
  <Words>418</Words>
  <Characters>1717</Characters>
  <CharactersWithSpaces>2122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2026-03-09T14:02:21Z</dcterms:created>
  <dc:creator/>
  <dc:description/>
  <dc:language>en-US</dc:language>
  <cp:lastModifiedBy/>
  <dcterms:modified xsi:type="dcterms:W3CDTF">2026-03-09T14:10:34Z</dcterms:modified>
  <cp:revision>4</cp:revision>
  <dc:subject/>
  <dc:title/>
</cp:coreProperties>
</file>