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1"/>
        <w:spacing w:before="40" w:after="0"/>
        <w:jc w:val="start"/>
        <w:rPr>
          <w:rFonts w:cs="DejaVu Serif"/>
        </w:rPr>
      </w:pPr>
      <w:r>
        <w:rPr>
          <w:rFonts w:cs="DejaVu Serif"/>
          <w:rtl w:val="true"/>
        </w:rPr>
        <w:t>משנה ד</w:t>
      </w:r>
      <w:r>
        <w:rPr>
          <w:rStyle w:val="FootnoteReference"/>
          <w:rFonts w:cs="DejaVu Serif"/>
          <w:sz w:val="28"/>
          <w:sz w:val="28"/>
          <w:rtl w:val="true"/>
        </w:rPr>
        <w:footnoteReference w:id="2"/>
      </w:r>
    </w:p>
    <w:p>
      <w:pPr>
        <w:pStyle w:val="Normal"/>
        <w:bidi w:val="1"/>
        <w:jc w:val="start"/>
        <w:rPr>
          <w:sz w:val="28"/>
          <w:szCs w:val="28"/>
        </w:rPr>
      </w:pP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3"/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 xml:space="preserve">הָאֻמָּנִין </w:t>
      </w:r>
      <w:r>
        <w:rPr>
          <w:rFonts w:cs="DejaVu Serif"/>
          <w:b w:val="false"/>
          <w:bCs w:val="false"/>
          <w:sz w:val="28"/>
          <w:szCs w:val="28"/>
          <w:rtl w:val="true"/>
        </w:rPr>
        <w:t>[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ב</w:t>
      </w:r>
      <w:r>
        <w:rPr>
          <w:rFonts w:cs="DejaVu Serif"/>
          <w:b w:val="false"/>
          <w:bCs w:val="false"/>
          <w:sz w:val="28"/>
          <w:szCs w:val="28"/>
          <w:rtl w:val="true"/>
        </w:rPr>
        <w:t xml:space="preserve">] 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קוֹרִין</w:t>
      </w:r>
      <w:r>
        <w:rPr>
          <w:rFonts w:cs="DejaVu Serif"/>
          <w:b w:val="false"/>
          <w:bCs w:val="false"/>
          <w:sz w:val="28"/>
          <w:szCs w:val="28"/>
          <w:rtl w:val="true"/>
        </w:rPr>
        <w:t>[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ג</w:t>
      </w:r>
      <w:r>
        <w:rPr>
          <w:rFonts w:cs="DejaVu Serif"/>
          <w:b w:val="false"/>
          <w:bCs w:val="false"/>
          <w:sz w:val="28"/>
          <w:szCs w:val="28"/>
          <w:rtl w:val="true"/>
        </w:rPr>
        <w:t xml:space="preserve">] 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בְּרֹאשׁ הָאִילָן אוֹ בְרֹאשׁ הַנִּדְבָּךְ</w:t>
      </w:r>
      <w:r>
        <w:rPr>
          <w:rStyle w:val="FootnoteReference"/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footnoteReference w:id="4"/>
      </w:r>
      <w:r>
        <w:rPr>
          <w:rStyle w:val="FootnoteReference"/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footnoteReference w:id="5"/>
      </w:r>
      <w:r>
        <w:rPr>
          <w:rFonts w:cs="DejaVu Serif"/>
          <w:b w:val="false"/>
          <w:bCs w:val="false"/>
          <w:sz w:val="28"/>
          <w:szCs w:val="28"/>
          <w:rtl w:val="true"/>
        </w:rPr>
        <w:t xml:space="preserve">, 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 xml:space="preserve">מַה שֶּׁאֵינָן רַשָּׁאִין לַעֲשׂוֹת כֵּן בַּתְּפִלָּה </w:t>
      </w:r>
      <w:r>
        <w:rPr>
          <w:rFonts w:cs="DejaVu Serif"/>
          <w:b w:val="false"/>
          <w:bCs w:val="false"/>
          <w:sz w:val="28"/>
          <w:szCs w:val="28"/>
          <w:rtl w:val="true"/>
        </w:rPr>
        <w:t>[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ה</w:t>
      </w:r>
      <w:r>
        <w:rPr>
          <w:rFonts w:cs="DejaVu Serif"/>
          <w:b w:val="false"/>
          <w:bCs w:val="false"/>
          <w:sz w:val="28"/>
          <w:szCs w:val="28"/>
          <w:rtl w:val="true"/>
        </w:rPr>
        <w:t>]</w:t>
      </w: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6"/>
      </w: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7"/>
      </w:r>
      <w:r>
        <w:rPr>
          <w:rFonts w:cs="DejaVu Serif"/>
          <w:b w:val="false"/>
          <w:bCs w:val="false"/>
          <w:sz w:val="28"/>
          <w:szCs w:val="28"/>
          <w:rtl w:val="true"/>
        </w:rPr>
        <w:t>:</w:t>
      </w: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8"/>
      </w:r>
      <w:r>
        <w:rPr>
          <w:rFonts w:cs="DejaVu Serif"/>
          <w:sz w:val="28"/>
          <w:szCs w:val="28"/>
          <w:rtl w:val="true"/>
        </w:rPr>
        <w:t xml:space="preserve"> </w:t>
      </w:r>
    </w:p>
    <w:p>
      <w:pPr>
        <w:pStyle w:val="Normal"/>
        <w:bidi w:val="1"/>
        <w:jc w:val="start"/>
        <w:rPr>
          <w:sz w:val="28"/>
          <w:szCs w:val="28"/>
        </w:rPr>
      </w:pPr>
      <w:r>
        <w:rPr>
          <w:sz w:val="28"/>
          <w:szCs w:val="28"/>
          <w:rtl w:val="true"/>
        </w:rPr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bidi w:val="1"/>
        <w:jc w:val="start"/>
        <w:rPr>
          <w:b/>
          <w:bCs/>
        </w:rPr>
      </w:pPr>
      <w:r>
        <w:rPr>
          <w:rStyle w:val="FootnoteCharacters"/>
        </w:rPr>
        <w:footnoteRef/>
      </w:r>
      <w:r>
        <w:rPr>
          <w:rStyle w:val="FootnoteCharactersuser"/>
          <w:rtl w:val="true"/>
        </w:rPr>
        <w:tab/>
        <w:t xml:space="preserve"> </w:t>
      </w:r>
      <w:r>
        <w:rPr>
          <w:rFonts w:cs="Noto Rashi Hebrew"/>
          <w:b/>
          <w:b/>
          <w:bCs/>
          <w:rtl w:val="true"/>
        </w:rPr>
        <w:t>משנה ד</w:t>
      </w:r>
      <w:r>
        <w:rPr>
          <w:rFonts w:cs="Noto Rashi Hebrew"/>
          <w:b/>
          <w:bCs/>
          <w:rtl w:val="true"/>
        </w:rPr>
        <w:t>:</w:t>
      </w:r>
    </w:p>
  </w:footnote>
  <w:footnote w:id="3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b/>
          <w:b/>
          <w:bCs/>
          <w:rtl w:val="true"/>
        </w:rPr>
        <w:t>הקדמה</w:t>
      </w:r>
      <w:r>
        <w:rPr>
          <w:rFonts w:cs="Noto Rashi Hebrew"/>
          <w:b/>
          <w:bCs/>
          <w:rtl w:val="true"/>
        </w:rPr>
        <w:t>:</w:t>
      </w:r>
    </w:p>
    <w:p>
      <w:pPr>
        <w:pStyle w:val="FootnoteText"/>
        <w:bidi w:val="1"/>
        <w:jc w:val="star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יש חלקים מקריאת שמע שצריכים כוונה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לכן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אדם חייב לקרוא קריאת שמע במקום שיכול לכוון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משנה זה מזכיר יוצא מכלל זה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והוא שפועלים יכולים לקרוא במקום עבודתם</w:t>
      </w:r>
      <w:r>
        <w:rPr>
          <w:rFonts w:cs="Noto Rashi Hebrew"/>
          <w:rtl w:val="true"/>
        </w:rPr>
        <w:t>. [</w:t>
      </w:r>
      <w:r>
        <w:rPr>
          <w:rFonts w:cs="Noto Rashi Hebrew"/>
          <w:rtl w:val="true"/>
        </w:rPr>
        <w:t>א</w:t>
      </w:r>
      <w:r>
        <w:rPr>
          <w:rFonts w:cs="Noto Rashi Hebrew"/>
          <w:rtl w:val="true"/>
        </w:rPr>
        <w:t>]</w:t>
      </w:r>
    </w:p>
  </w:footnote>
  <w:footnote w:id="4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נדבך הוא בנין של אבנים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רש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י</w:t>
      </w:r>
      <w:r>
        <w:rPr>
          <w:rFonts w:cs="Noto Rashi Hebrew"/>
          <w:b w:val="false"/>
          <w:b w:val="false"/>
          <w:bCs w:val="false"/>
          <w:rtl w:val="true"/>
        </w:rPr>
        <w:t xml:space="preserve"> טז</w:t>
      </w:r>
      <w:r>
        <w:rPr>
          <w:rFonts w:cs="Noto Rashi Hebrew"/>
          <w:b w:val="false"/>
          <w:bCs w:val="false"/>
          <w:rtl w:val="true"/>
        </w:rPr>
        <w:t>.</w:t>
      </w:r>
      <w:r>
        <w:rPr>
          <w:rFonts w:cs="Noto Rashi Hebrew"/>
          <w:rtl w:val="true"/>
        </w:rPr>
        <w:t>).</w:t>
      </w:r>
    </w:p>
  </w:footnote>
  <w:footnote w:id="5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מפרש גמרא </w:t>
      </w:r>
      <w:r>
        <w:rPr>
          <w:rFonts w:cs="Noto Rashi Hebrew"/>
          <w:b/>
          <w:bCs/>
          <w:u w:val="single"/>
          <w:rtl w:val="true"/>
        </w:rPr>
        <w:t>(</w:t>
      </w:r>
      <w:r>
        <w:rPr>
          <w:rFonts w:cs="Noto Rashi Hebrew"/>
          <w:b/>
          <w:b/>
          <w:bCs/>
          <w:u w:val="single"/>
          <w:rtl w:val="true"/>
        </w:rPr>
        <w:t>טז</w:t>
      </w:r>
      <w:r>
        <w:rPr>
          <w:rFonts w:cs="Noto Rashi Hebrew"/>
          <w:b/>
          <w:bCs/>
          <w:u w:val="single"/>
          <w:rtl w:val="true"/>
        </w:rPr>
        <w:t>.</w:t>
      </w:r>
      <w:r>
        <w:rPr>
          <w:rFonts w:cs="Noto Rashi Hebrew"/>
          <w:b/>
          <w:bCs/>
          <w:rtl w:val="true"/>
        </w:rPr>
        <w:t>)</w:t>
      </w:r>
      <w:r>
        <w:rPr>
          <w:rFonts w:cs="Noto Rashi Hebrew"/>
          <w:rtl w:val="true"/>
        </w:rPr>
        <w:t xml:space="preserve"> </w:t>
      </w:r>
      <w:r>
        <w:rPr>
          <w:rFonts w:cs="Noto Rashi Hebrew"/>
          <w:rtl w:val="true"/>
        </w:rPr>
        <w:t>שלא עובדים כשאומרים חלק מק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 שצ’ כוונה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עומדים שם בראש האילן וקוראים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ועובדים כשקוראים שאר חלקי קריאת שמע</w:t>
      </w:r>
      <w:r>
        <w:rPr>
          <w:rFonts w:cs="Noto Rashi Hebrew"/>
          <w:rtl w:val="true"/>
        </w:rPr>
        <w:t>.</w:t>
      </w:r>
    </w:p>
  </w:footnote>
  <w:footnote w:id="6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רש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י מפרש שהוא מפני שהוא רחמים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ולכן צריך כוונה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רש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 xml:space="preserve">י </w:t>
      </w:r>
      <w:r>
        <w:rPr>
          <w:rFonts w:cs="Noto Rashi Hebrew"/>
          <w:b/>
          <w:b/>
          <w:bCs/>
          <w:rtl w:val="true"/>
        </w:rPr>
        <w:t>טז</w:t>
      </w:r>
      <w:r>
        <w:rPr>
          <w:rFonts w:cs="Noto Rashi Hebrew"/>
          <w:b/>
          <w:bCs/>
          <w:rtl w:val="true"/>
        </w:rPr>
        <w:t>.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לא יכול לכוון שם כיון שדואג שמא יפול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ואם תאמר שיש חלקים מק“ש שצריכים כוונה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בירושלמי מבאר שכיון שהם מועטים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יכול לכוון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אף באילן</w:t>
      </w:r>
      <w:r>
        <w:rPr>
          <w:rFonts w:cs="Noto Rashi Hebrew"/>
          <w:rtl w:val="true"/>
        </w:rPr>
        <w:t>.) [</w:t>
      </w:r>
      <w:r>
        <w:rPr>
          <w:rFonts w:cs="Noto Rashi Hebrew"/>
          <w:rtl w:val="true"/>
        </w:rPr>
        <w:t>ד</w:t>
      </w:r>
      <w:r>
        <w:rPr>
          <w:rFonts w:cs="Noto Rashi Hebrew"/>
          <w:rtl w:val="true"/>
        </w:rPr>
        <w:t>]</w:t>
      </w:r>
    </w:p>
  </w:footnote>
  <w:footnote w:id="7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גמ’ </w:t>
      </w:r>
      <w:r>
        <w:rPr>
          <w:rFonts w:cs="Noto Rashi Hebrew"/>
          <w:b/>
          <w:bCs/>
          <w:u w:val="single"/>
          <w:rtl w:val="true"/>
        </w:rPr>
        <w:t>(</w:t>
      </w:r>
      <w:r>
        <w:rPr>
          <w:rFonts w:cs="Noto Rashi Hebrew"/>
          <w:b/>
          <w:b/>
          <w:bCs/>
          <w:u w:val="single"/>
          <w:rtl w:val="true"/>
        </w:rPr>
        <w:t>טז</w:t>
      </w:r>
      <w:r>
        <w:rPr>
          <w:rFonts w:cs="Noto Rashi Hebrew"/>
          <w:b/>
          <w:bCs/>
          <w:u w:val="single"/>
          <w:rtl w:val="true"/>
        </w:rPr>
        <w:t>.)</w:t>
      </w:r>
      <w:r>
        <w:rPr>
          <w:rFonts w:cs="Noto Rashi Hebrew"/>
          <w:b w:val="false"/>
          <w:bCs w:val="false"/>
          <w:u w:val="none"/>
          <w:rtl w:val="true"/>
        </w:rPr>
        <w:t xml:space="preserve"> </w:t>
      </w:r>
      <w:r>
        <w:rPr>
          <w:rFonts w:cs="Noto Rashi Hebrew"/>
          <w:b w:val="false"/>
          <w:b w:val="false"/>
          <w:bCs w:val="false"/>
          <w:u w:val="none"/>
          <w:rtl w:val="true"/>
        </w:rPr>
        <w:t>מזכיר יוצא מכלל זה</w:t>
      </w:r>
      <w:r>
        <w:rPr>
          <w:rFonts w:cs="Noto Rashi Hebrew"/>
          <w:b w:val="false"/>
          <w:bCs w:val="false"/>
          <w:u w:val="non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u w:val="none"/>
          <w:rtl w:val="true"/>
        </w:rPr>
        <w:t>והוא</w:t>
      </w:r>
      <w:r>
        <w:rPr>
          <w:rFonts w:cs="Noto Rashi Hebrew"/>
          <w:rtl w:val="true"/>
        </w:rPr>
        <w:t xml:space="preserve"> שאם עובדים על אילן זית או תאנה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אז גם מתפללים שם</w:t>
      </w:r>
      <w:r>
        <w:rPr>
          <w:rFonts w:cs="Noto Rashi Hebrew"/>
          <w:rtl w:val="true"/>
        </w:rPr>
        <w:t>. [</w:t>
      </w:r>
      <w:r>
        <w:rPr>
          <w:rFonts w:cs="Noto Rashi Hebrew"/>
          <w:rtl w:val="true"/>
        </w:rPr>
        <w:t>ו</w:t>
      </w:r>
      <w:r>
        <w:rPr>
          <w:rFonts w:cs="Noto Rashi Hebrew"/>
          <w:rtl w:val="true"/>
        </w:rPr>
        <w:t>]</w:t>
      </w:r>
    </w:p>
  </w:footnote>
  <w:footnote w:id="8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b/>
          <w:b/>
          <w:bCs/>
          <w:rtl w:val="true"/>
        </w:rPr>
        <w:t>דינים היוצאים מן המשנה</w:t>
      </w:r>
      <w:r>
        <w:rPr>
          <w:rFonts w:cs="Noto Rashi Hebrew"/>
          <w:b/>
          <w:bCs/>
          <w:rtl w:val="true"/>
        </w:rPr>
        <w:t>:</w:t>
      </w:r>
    </w:p>
    <w:p>
      <w:pPr>
        <w:pStyle w:val="FootnoteText"/>
        <w:numPr>
          <w:ilvl w:val="0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 xml:space="preserve">פועל שהוא בראש אילן </w:t>
      </w:r>
      <w:r>
        <w:rPr>
          <w:rFonts w:cs="Noto Rashi Hebrew"/>
          <w:b w:val="false"/>
          <w:bCs w:val="false"/>
          <w:rtl w:val="true"/>
        </w:rPr>
        <w:t>-</w:t>
      </w:r>
    </w:p>
    <w:p>
      <w:pPr>
        <w:pStyle w:val="FootnoteText"/>
        <w:numPr>
          <w:ilvl w:val="1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 xml:space="preserve">קריאת שמע </w:t>
      </w:r>
      <w:r>
        <w:rPr>
          <w:rFonts w:cs="Noto Rashi Hebrew"/>
          <w:b w:val="false"/>
          <w:bCs w:val="false"/>
          <w:rtl w:val="true"/>
        </w:rPr>
        <w:t>-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חלקים שלא צריכים כוונה – יכול לקרוא כשעובד בראש האילן</w:t>
      </w:r>
      <w:r>
        <w:rPr>
          <w:rFonts w:cs="Noto Rashi Hebrew"/>
          <w:b w:val="false"/>
          <w:bCs w:val="false"/>
          <w:rtl w:val="true"/>
        </w:rPr>
        <w:t>.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חלקים שצריכים כוונה – יכול לקרוא כשעומד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ולא עובד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בראש האילן</w:t>
      </w:r>
      <w:r>
        <w:rPr>
          <w:rFonts w:cs="Noto Rashi Hebrew"/>
          <w:b w:val="false"/>
          <w:bCs w:val="false"/>
          <w:rtl w:val="true"/>
        </w:rPr>
        <w:t>.</w:t>
      </w:r>
    </w:p>
    <w:p>
      <w:pPr>
        <w:pStyle w:val="FootnoteText"/>
        <w:numPr>
          <w:ilvl w:val="1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 xml:space="preserve">תפילה </w:t>
      </w:r>
      <w:r>
        <w:rPr>
          <w:rFonts w:cs="Noto Rashi Hebrew"/>
          <w:b w:val="false"/>
          <w:bCs w:val="false"/>
          <w:rtl w:val="true"/>
        </w:rPr>
        <w:t>-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אם האילן הוא זית או תאנה – יכול להתפלל</w:t>
      </w:r>
      <w:r>
        <w:rPr>
          <w:rFonts w:cs="Noto Rashi Hebrew"/>
          <w:b w:val="false"/>
          <w:bCs w:val="false"/>
          <w:rtl w:val="true"/>
        </w:rPr>
        <w:t>. (</w:t>
      </w:r>
      <w:r>
        <w:rPr>
          <w:rFonts w:cs="Noto Rashi Hebrew"/>
          <w:b w:val="false"/>
          <w:b w:val="false"/>
          <w:bCs w:val="false"/>
          <w:rtl w:val="true"/>
        </w:rPr>
        <w:t>אבל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רק פועל יכול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ולא בעל הבית</w:t>
      </w:r>
      <w:r>
        <w:rPr>
          <w:rFonts w:cs="Noto Rashi Hebrew"/>
          <w:b w:val="false"/>
          <w:bCs w:val="false"/>
          <w:rtl w:val="true"/>
        </w:rPr>
        <w:t>.)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אם האילן הוא ממין אחר – לא יכול להתפלל</w:t>
      </w:r>
      <w:r>
        <w:rPr>
          <w:rFonts w:cs="Noto Rashi Hebrew"/>
          <w:b w:val="false"/>
          <w:bCs w:val="false"/>
          <w:rtl w:val="true"/>
        </w:rPr>
        <w:t>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end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end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end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end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end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end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end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end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end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Times New Roman"/>
      <w:b/>
      <w:bCs/>
      <w:szCs w:val="28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LibreOffice/25.8.2.2$Linux_X86_64 LibreOffice_project/580$Build-2</Application>
  <AppVersion>15.0000</AppVersion>
  <Pages>1</Pages>
  <Words>195</Words>
  <Characters>827</Characters>
  <CharactersWithSpaces>1012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2026-03-08T12:29:42Z</dcterms:created>
  <dc:creator/>
  <dc:description/>
  <dc:language>en-US</dc:language>
  <cp:lastModifiedBy/>
  <dcterms:modified xsi:type="dcterms:W3CDTF">2026-03-12T13:33:03Z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