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1"/>
        <w:spacing w:before="58" w:after="58"/>
        <w:ind w:hanging="0" w:left="58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משנה א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א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widowControl/>
        <w:suppressAutoHyphens w:val="true"/>
        <w:bidi w:val="1"/>
        <w:spacing w:before="58" w:after="58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כן היה נראה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שאין סברה לחלק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להעיר שלקמן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במשנה ב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מבארת המשנה איפה יש 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בין הפרקים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.”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מבאור שדן בקריאת שמע של שחר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שאומר שהוא בין 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ויאמר לאמת ויציב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.”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ממה שמזכיר 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אמת ויציב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,”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וממה שלא מזכיר בין שני ברכות אחרונות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רואים שמדבר בקריאת שמע של בקר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ולא בשל ערב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BodyText"/>
        <w:widowControl/>
        <w:suppressAutoHyphens w:val="true"/>
        <w:bidi w:val="1"/>
        <w:spacing w:before="58" w:after="58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אבל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לדון אם זה דווקא או לאו דווקא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מסברה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היה נראה לומר שכמו שאין להפסיק בשל יום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כך אין להפסיק בשל לילה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אז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אולי המשנה רק נקט ציור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</w:p>
    <w:p>
      <w:pPr>
        <w:pStyle w:val="BodyText"/>
        <w:widowControl/>
        <w:suppressAutoHyphens w:val="true"/>
        <w:bidi w:val="1"/>
        <w:spacing w:before="58" w:after="58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אבל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אז יש שני דברים שצריכים לדון בהם 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(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וקצת קשה שהמשנה לא ידון בהם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):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1"/>
        <w:spacing w:before="58" w:after="58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יש לדון אם רבי יהודה סובר שאין להפסיק בין 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ויאמר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"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אמת ואמונה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.”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נראה שמסתבר שיודה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שגמ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'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אומר שמקור של רבי יהודה הוא ממה שכתיב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, “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'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אלקיכם אמת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,”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שכיון שכתוב כן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רוצים לרמז לזה בקריאת שמע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אבל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עדיין 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ק 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 מזכיר אותו במשנה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1"/>
        <w:spacing w:before="58" w:after="58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לדון אם בין ברכה ראשונה שלאחר 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 של ערבית ובין ברכה שנית שלאחר 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 של ערבית נחשבת בין הפרקים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לכאו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',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מסתבר שנחשב בין הפרקים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שיהיה כמו בין כל ברכה וברכה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אולי לא מזכיר אותו מפני שהוא פשוט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אבל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לאידך גיסא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נראה לי יותר שלא יכול להפסיק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שצריך לסמוך גאולה 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(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שנאמר בברכה ראשונה שלאחר קריאת שמע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)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לתפילה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אבל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דע שזה עצמו מחלקת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ואז אין לומר שהמשנה לא הזכיר אותו כיון שהוא פשוט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אבל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אולי לא היה מזכיר את זה כיון שאינו מאותו הדין של השאר הפסקות בקריאת שמע 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(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לא מטעם שצריך לסמוך בשאר מקומות צריך לסמוך כאן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).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לדון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שמזכיר שיטת רבי יהודה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אף שהוא מטעם אחר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ויש לדון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שאולי לפי רבי יהודה נחשב באמצע הפרק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מה שאין כן כאן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שאינו באמצע פרק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אלא שיש טעם אחר שלא להפסיק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ותחשב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BodyText"/>
        <w:widowControl/>
        <w:suppressAutoHyphens w:val="true"/>
        <w:bidi w:val="1"/>
        <w:spacing w:before="58" w:after="58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אבל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לאידך גיסא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אין סיבה לחלק בין יום ולילה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וגם לא רואים במשנה לחלק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שלא אומר שהוא רק ביום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אז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צריך לחשוב על זה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ב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גמרא אומר שצריך שיכוון את לבו לקרוא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זה משמע שאף שלא צריך לכוון לצאת מצווה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צריך כוונה על עשיית מעשה מצווה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אם הוא רק מגיה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ולא מכוון לקרוא</w:t>
      </w:r>
      <w:r>
        <w:rPr>
          <w:rStyle w:val="FootnoteReference"/>
          <w:rFonts w:ascii="DejaVu Serif" w:hAnsi="DejaVu Serif" w:cs="DejaVu Serif"/>
          <w:sz w:val="24"/>
          <w:sz w:val="24"/>
          <w:szCs w:val="24"/>
          <w:rtl w:val="true"/>
        </w:rPr>
        <w:footnoteReference w:id="2"/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BodyText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אפשר לומר שכיון שהוא קורא להגיה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צריך שיכוון לקרוא כיון שבלא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חוששים שלא יקרא את כולו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למי שסובר שמצוות לא צריכות כוונה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מצוות לא צריכות שום כוונה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BodyText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אחרי שגמ</w:t>
      </w:r>
      <w:r>
        <w:rPr>
          <w:rFonts w:cs="DejaVu Serif" w:ascii="DejaVu Serif" w:hAnsi="DejaVu Serif"/>
          <w:sz w:val="24"/>
          <w:szCs w:val="24"/>
          <w:rtl w:val="true"/>
        </w:rPr>
        <w:t xml:space="preserve">'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אומר שהמשנה אומר שצריך שיכוון לבו לקרוא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מקשה</w:t>
      </w:r>
      <w:r>
        <w:rPr>
          <w:rFonts w:cs="DejaVu Serif" w:ascii="DejaVu Serif" w:hAnsi="DejaVu Serif"/>
          <w:sz w:val="24"/>
          <w:szCs w:val="24"/>
          <w:rtl w:val="true"/>
        </w:rPr>
        <w:t>: “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והא קא קרי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לפי פירוש הראשון שכתבנו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קושיית גמרא הוא שפשוט שהוא מכוון את לבו לקרוא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שהרי הוא קורא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אינו מקשה שלא נצטרך שיכוון את לבו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שממילא זה יקרה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ולא צריכים שהמשנה יאמר</w:t>
      </w:r>
      <w:r>
        <w:rPr>
          <w:rFonts w:cs="DejaVu Serif" w:ascii="DejaVu Serif" w:hAnsi="DejaVu Serif"/>
          <w:sz w:val="24"/>
          <w:szCs w:val="24"/>
          <w:rtl w:val="true"/>
        </w:rPr>
        <w:t>, “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ובלבד שיכוון את לבו לקרוא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שזה קורה ממילא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לפי פירוש שני שכתבנו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קושיית הגמרא הוא שכיון שהוא קורא אותו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למה צריך שיכוון לקרוא אותו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שהרי הוא קורא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ובזה יוצא המצווה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מקשה שלא צריך כוונה לקרוא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ג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עיין בירושלמי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שמביא מחלקת עד כמה צריך לכוון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מזכיר ארבע שיטות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numPr>
          <w:ilvl w:val="0"/>
          <w:numId w:val="3"/>
        </w:numPr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כולו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BodyText"/>
        <w:numPr>
          <w:ilvl w:val="0"/>
          <w:numId w:val="3"/>
        </w:numPr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פרשה ראשונה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BodyText"/>
        <w:numPr>
          <w:ilvl w:val="0"/>
          <w:numId w:val="3"/>
        </w:numPr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שלשה פסוקים ראשונים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BodyText"/>
        <w:numPr>
          <w:ilvl w:val="0"/>
          <w:numId w:val="3"/>
        </w:numPr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פסוק ראשון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BodyText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יש להעיר שגמרא שלנו מביא צדדים כאלו</w:t>
      </w:r>
      <w:r>
        <w:rPr>
          <w:rStyle w:val="FootnoteReference"/>
          <w:rFonts w:ascii="DejaVu Serif" w:hAnsi="DejaVu Serif" w:cs="DejaVu Serif"/>
          <w:sz w:val="24"/>
          <w:sz w:val="24"/>
          <w:szCs w:val="24"/>
          <w:rtl w:val="true"/>
        </w:rPr>
        <w:footnoteReference w:id="3"/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 בביאור כמה צריך כוונה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בפשטות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הגמרא דן באיזה דבר צריך כוונה לביאור מילים</w:t>
      </w:r>
      <w:r>
        <w:rPr>
          <w:rFonts w:cs="DejaVu Serif" w:ascii="DejaVu Serif" w:hAnsi="DejaVu Serif"/>
          <w:sz w:val="24"/>
          <w:szCs w:val="24"/>
          <w:rtl w:val="true"/>
        </w:rPr>
        <w:t>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כן נראה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שלא נראה שיהיה כוונה שדן בו במשנה נוגע רק שם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שזה כוונה בקיום מצווה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ויצטרך בכל מקום שצריך קיום המצווה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לדון אם ירושלמי סובר כאחד משני צדדי גמרא בביאור המשנה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ושונה עליו מחלקת אמוראים זה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במקום מחלקת על כוונה</w:t>
      </w:r>
      <w:r>
        <w:rPr>
          <w:rStyle w:val="FootnoteReference"/>
          <w:rFonts w:ascii="DejaVu Serif" w:hAnsi="DejaVu Serif" w:cs="DejaVu Serif"/>
          <w:sz w:val="24"/>
          <w:sz w:val="24"/>
          <w:szCs w:val="24"/>
          <w:rtl w:val="true"/>
        </w:rPr>
        <w:footnoteReference w:id="4"/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 אם נפרש שירושלמי סובר שהמשנה מדבר בכוונת לבו לפירוש המילים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צד שני נראה לי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;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וצריך ביאור למה לא מבאר גמרא כצד שני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לומר שכוונת לב שבמשנה רצה לומר כוונת לב לביאור מילים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ד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יש להעיר שעם כל מה שאמרנו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עדיין אפשר לומר שיש חילוק גדול בין מי שיכול לשאול בשלומו ומי שיכול להשיב לו שלום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אפשר שכשאומר ששואלים מפני הכבוד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מדובר במי שכבוד מחייב אותו</w:t>
      </w:r>
      <w:r>
        <w:rPr>
          <w:rStyle w:val="FootnoteReference"/>
          <w:rFonts w:ascii="DejaVu Serif" w:hAnsi="DejaVu Serif" w:cs="DejaVu Serif"/>
          <w:sz w:val="24"/>
          <w:sz w:val="24"/>
          <w:szCs w:val="24"/>
          <w:rtl w:val="true"/>
        </w:rPr>
        <w:footnoteReference w:id="5"/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 לשאול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כשאומר שמשיבים מפני הכבוד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מדובר במי שכבודו מחייב אותו להשיב לו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אין כבודו יכול לחייב אותו לשאול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ותו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ת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ה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נמצא שכיון שמוסיף מילים 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ואין צריך לומר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"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במשנה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קשה שאומר דבר שהוא פשוט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נראה שהביאור הוא שבדר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 לא מניחים שהוא אומר דבר פשוט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יאמר אותו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שכיון שלא מניחים שהוא אומר אותו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ננסה ללמוד ממנו דבר</w:t>
      </w:r>
      <w:r>
        <w:rPr>
          <w:rFonts w:cs="DejaVu Serif" w:ascii="DejaVu Serif" w:hAnsi="DejaVu Serif"/>
          <w:sz w:val="24"/>
          <w:szCs w:val="24"/>
          <w:rtl w:val="true"/>
        </w:rPr>
        <w:t>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מפני זה גופא לא אומר דברים פשוטים – כדי שנדע ללמוד ממנו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כיון שאומר שהוא פשוט – שאומר שאין צריך לומר אותו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יודעים שלא ללמוד ממנו</w:t>
      </w:r>
      <w:r>
        <w:rPr>
          <w:rFonts w:cs="DejaVu Serif" w:ascii="DejaVu Serif" w:hAnsi="DejaVu Serif"/>
          <w:sz w:val="24"/>
          <w:szCs w:val="24"/>
          <w:rtl w:val="true"/>
        </w:rPr>
        <w:t>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ת למה אמר אותו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ויש לומר שאף שפשוט הוא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כל כך קל לכל בני אדם לדעת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ואז יש תועלת באמירתו</w:t>
      </w:r>
      <w:r>
        <w:rPr>
          <w:rFonts w:cs="DejaVu Serif" w:ascii="DejaVu Serif" w:hAnsi="DejaVu Serif"/>
          <w:sz w:val="24"/>
          <w:szCs w:val="24"/>
          <w:rtl w:val="true"/>
        </w:rPr>
        <w:t>.)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ו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widowControl/>
        <w:suppressAutoHyphens w:val="true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לדון מהו החילוק בין אמצע הפרק לבין הפרקים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לכאו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',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הענין שיש יותר צורך שייחסו זה לזה באמצע הפרק משייחסו זה לזה בין הפרקים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ותחשב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גם יש לומר שאינו כל כך הפסק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שחלק מן ההפסק הוא שמשנה ממה שהיה עושה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הרי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בין פרק לפרק הוא בין כך ובין כך משנה ממה שהיה אומר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ואז נמצא שאין כל כך הפסק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אולי הענין הוא שאינו מוסיף כל כך הפסק ואולי הענין הוא שכיון שהיחס גופא הוא של שינוי מזה לזה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וממילא שינוי אינו הפסק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ז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נראה שלא מדובר שמי שממש ירא שלא יהרוג אותו אם לא משיב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לי שני ראיות לזה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BodyText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ראיה ראשונה היא שא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 הדין פשוט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שפקוח נפש דוחה כל איסור שבתורה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לדון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שאפשר לומר שקריאת שמע הוא קבלת מלכות שמים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ובו עצמו אומר שצריך לאהוב את 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'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אפילו הוא נוטל את נפשך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עדיין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 יהיה כן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רק בפרק ראשון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 רק בתחילתו</w:t>
      </w:r>
      <w:r>
        <w:rPr>
          <w:rFonts w:cs="DejaVu Serif" w:ascii="DejaVu Serif" w:hAnsi="DejaVu Serif"/>
          <w:sz w:val="24"/>
          <w:szCs w:val="24"/>
          <w:rtl w:val="true"/>
        </w:rPr>
        <w:t>).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אין זה קשה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שאולי משנה אומר אותו מחמת החידוש שיש שם</w:t>
      </w:r>
      <w:r>
        <w:rPr>
          <w:rFonts w:cs="DejaVu Serif" w:ascii="DejaVu Serif" w:hAnsi="DejaVu Serif"/>
          <w:sz w:val="24"/>
          <w:szCs w:val="24"/>
          <w:rtl w:val="true"/>
        </w:rPr>
        <w:t>.)</w:t>
      </w:r>
    </w:p>
    <w:p>
      <w:pPr>
        <w:pStyle w:val="BodyText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ראיה שנית הוא שכך הוא הדין בתפילה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ושם אומר לשון אחר – “אפילו המלך שואל בשלומו…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רואים שזהו הדין ממה שמחלק שם בין נחש לעקרב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ודחוק לומר שאומר שם שלסכנה קטנה צריך להכניס את עצמו ולסכנה גדולה לא יכניס את עצמו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). </w:t>
      </w:r>
    </w:p>
    <w:p>
      <w:pPr>
        <w:pStyle w:val="BodyText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צריכים לדחוק בפירוש רש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אפשר לומר שאינו יראה ממשית – דהיינו שלא ממש חושב שכך יקרה – אלא שהוא רק ירא מזה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אפשר לומר שהוא ירא שמא יהרוג אותו בדר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 לא בדווקא מפני שלא משיב לו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למשל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אם בא לו מי שיכול לפסוק עליו דין הריגה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משיב לו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אף שלא חושב שמחמת שלא השיב לו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יפסוק עליו דין הריגה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1"/>
        <w:numPr>
          <w:ilvl w:val="0"/>
          <w:numId w:val="2"/>
        </w:numPr>
        <w:bidi w:val="1"/>
        <w:ind w:hanging="0" w:left="58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משנה ב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א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bidi w:val="1"/>
        <w:spacing w:before="58" w:after="86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יש להעיר שלכאו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'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רואים מזה ש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ויאמר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"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הוא חלק מקריאת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בפשטות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היה אפשר לומר שיש שני חיובים – יש חיוב לומר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ויש חיוב להזכיר יציאת מצרים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על ידי פרק 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ויאמר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").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באמת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 היה אפשר לומר שחיוב לומר פרק ראשון וחיוב לומר פרק שני הם חיובים שונים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שם מסתבר לומר שנחשבים אחד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כיון שהם דומים מאד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חידוש לומר שפרק שלישי הוא חלק מקריאת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ממה שאין להפסיק ביניהם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רואים שהוא חלק מקריאת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</w:p>
    <w:p>
      <w:pPr>
        <w:pStyle w:val="BodyText"/>
        <w:bidi w:val="1"/>
        <w:spacing w:before="58" w:after="86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יש לדון למה יהיה חלק ממקריאת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אםשר שהוא מחמת סברה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דהיינו שאחרי שהתורה צוותה לנו לקרוא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וגם צוותה לנו להזכיר יציאת מצרים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מסתבר שחיוב אחד הוא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לומר אותם ביחד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  <w:r>
        <w:rPr>
          <w:rStyle w:val="FootnoteReference"/>
          <w:rFonts w:cs="DejaVu Serif" w:ascii="DejaVu Serif" w:hAnsi="DejaVu Serif"/>
          <w:sz w:val="24"/>
          <w:szCs w:val="24"/>
          <w:rtl w:val="true"/>
        </w:rPr>
        <w:footnoteReference w:id="6"/>
      </w:r>
      <w:r>
        <w:rPr>
          <w:rFonts w:cs="DejaVu Serif" w:ascii="DejaVu Serif" w:hAnsi="DejaVu Serif"/>
          <w:sz w:val="24"/>
          <w:szCs w:val="24"/>
          <w:rtl w:val="true"/>
        </w:rPr>
        <w:t xml:space="preserve">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אפשר שהוא דין דרבנן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שרבנן רצו לסמוך אותם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מפני שאחד מהנה לחברו או אולי כדי שאמרית אחד יזכור לו לומר את חברו</w:t>
      </w:r>
      <w:r>
        <w:rPr>
          <w:rFonts w:cs="DejaVu Serif" w:ascii="DejaVu Serif" w:hAnsi="DejaVu Serif"/>
          <w:sz w:val="24"/>
          <w:szCs w:val="24"/>
          <w:rtl w:val="true"/>
        </w:rPr>
        <w:t>).</w:t>
      </w:r>
    </w:p>
    <w:p>
      <w:pPr>
        <w:pStyle w:val="BodyText"/>
        <w:bidi w:val="1"/>
        <w:spacing w:before="58" w:after="86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נראה שיכולים לדחות שהבעיה כאן אינו להפסיק בין פרק ראשון ושני לפרק שלישי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אלא הענין הוא להפסיק בין פרק שני וברכות שבסוף או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ואולי הוא שניהם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להפסיק בין ברכות שבתחילה לפרק שלישי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במילים אחרים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הברכות הם ברכות של כל הפרקים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ולכן אי אפשר להפסיק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אילו לא היה חיוב ברכות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היה בעיה בהפסק בין פרקי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כיון שיש ברכות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וצריכים להיות סמוכים לכל הפרקים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ממילא אי אפשר להפסיק בין הפרקים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BodyText"/>
        <w:bidi w:val="1"/>
        <w:spacing w:before="58" w:after="86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וא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ת אם הברכות מיוחסות לשניהם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למה לא רק נאמר שהם מיוחסות זה לזה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לומר שיש דמיונים ויחסים מפרק לפרק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 לא מספיק לעשות אותם אחד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מספיק לתת להם ברכה אחת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יותר מזה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הברכה מייחד אותם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שהברכה מזכיר את היחס ומבאר את היחס יותר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על פי דרך זה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אפשר לומר גם כן שהברכה צריך להיות מיוחס לפרק ראשון שני ושלישי ביחד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אף שאין צורך שיהיו אחד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מצד עצמם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BodyText"/>
        <w:bidi w:val="1"/>
        <w:spacing w:before="58" w:after="86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עיין בגמ</w:t>
      </w:r>
      <w:r>
        <w:rPr>
          <w:rFonts w:cs="DejaVu Serif" w:ascii="DejaVu Serif" w:hAnsi="DejaVu Serif"/>
          <w:sz w:val="24"/>
          <w:szCs w:val="24"/>
          <w:rtl w:val="true"/>
        </w:rPr>
        <w:t>'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יד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שאומר שקריאת שמע דאו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'.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לדון אם רצה לומר שהאמירה דאו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'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 שמה שאין מספיקים הוא דאו</w:t>
      </w:r>
      <w:r>
        <w:rPr>
          <w:rFonts w:cs="DejaVu Serif" w:ascii="DejaVu Serif" w:hAnsi="DejaVu Serif"/>
          <w:sz w:val="24"/>
          <w:szCs w:val="24"/>
          <w:rtl w:val="true"/>
        </w:rPr>
        <w:t>'.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ב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bidi w:val="1"/>
        <w:spacing w:before="58" w:after="86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לכאו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',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הביאור הוא שיש לבסמוך אותם כדי לומר 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'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אליקיכם אמת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רואים שזה דבר חשוב לומר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כיון שיש פסוק שאומר כן</w:t>
      </w:r>
      <w:r>
        <w:rPr>
          <w:rFonts w:cs="DejaVu Serif" w:ascii="DejaVu Serif" w:hAnsi="DejaVu Serif"/>
          <w:sz w:val="24"/>
          <w:szCs w:val="24"/>
          <w:rtl w:val="true"/>
        </w:rPr>
        <w:t>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אם כן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רואים שאינו נחשב אמצע פרק</w:t>
      </w:r>
      <w:r>
        <w:rPr>
          <w:rFonts w:cs="DejaVu Serif" w:ascii="DejaVu Serif" w:hAnsi="DejaVu Serif"/>
          <w:sz w:val="24"/>
          <w:szCs w:val="24"/>
          <w:rtl w:val="true"/>
        </w:rPr>
        <w:t xml:space="preserve">;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עיין לקמן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כמו כן נראה משאלת גמרא אם כופל ואומר “אמת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שיש לפרש שגופא בזה חלקים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.).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ג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widowControl/>
        <w:suppressAutoHyphens w:val="true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לדון בביאור שיטת רבי יהודה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אם רבי יהודה בא לומר</w:t>
      </w:r>
      <w:r>
        <w:rPr>
          <w:rStyle w:val="FootnoteReference"/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footnoteReference w:id="7"/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 שבין ויאמר לאמת ויציב נחשב אמצע הפרק או שיש סיבה אחרת שלא להפסיק שם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צריך לחשוב מה יהיה אותו ביאור אחר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 (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ודע שכל זמן שצריך ליחס דבר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לדון אם הוא מפני שבלי זה היחס חלוש או מפני שצריך יחס חזק או מפני שיש כל כך צורך ליחס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.)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ד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widowControl/>
        <w:suppressAutoHyphens w:val="true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לדון מי תיקן את הסדר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אם הוא דין דאו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' (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איני יודע מקור לו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ואולי הוא סברה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)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או דרבנן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ה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widowControl/>
        <w:suppressAutoHyphens w:val="true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מעניין שאומר 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קבלת מל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,”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ולא 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הזכרת קבלת מלכות שמים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.”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אולי הוא מפני שכשאומרו מקבל עליו מלכות שמים 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(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לכאו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'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מפני שמניחים שבאמירתו יכוון לקבל עליו עול מלכות שמים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)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או שרצה לומר שכיון שקבלה בא ראשון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כך מצוותה בא ראשון</w:t>
      </w:r>
      <w:r>
        <w:rPr>
          <w:rStyle w:val="FootnoteReference"/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footnoteReference w:id="8"/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לשון המשנה מאד לא משמע כצד שני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BodyText"/>
        <w:widowControl/>
        <w:suppressAutoHyphens w:val="true"/>
        <w:bidi w:val="1"/>
        <w:spacing w:before="58" w:after="86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אבל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 xml:space="preserve">עיין לקמן בגמרא 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(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יד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:)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שאומר שרב הניח תפילין אחרי קריאת שמע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ומבאר שסובר כריב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והקדים קבלת עול מלכות שמים לקיום מצוות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מקשה גמ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'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שריב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ק רק אומר להקדים קריאה לקריאה ולא קריאה לעשיייה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משמע שזה רק קריאת קבלת עומ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ולא עשייתו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 (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היה אפשר לגמ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'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לחלק בין עשיית מצווה לקבלת עשיית מצווה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אבל לשונו לא משמע שזהו החילוק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אלא החילוק הוא שזה רק קריאה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ותחשב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.)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ו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widowControl/>
        <w:suppressAutoHyphens w:val="true"/>
        <w:bidi w:val="1"/>
        <w:spacing w:before="58" w:after="86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להעיר שגמרא אומר שני סיבות למה סדר הפרשיות הוא כמו שהוא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אבל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יש להעיר שהאמת היא כמו שכתבנו ב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"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דינים היוצאים מן המשנה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,”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שלכאו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'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אין סיבה לתלות חלק אחד מסיבה אחת בחלק האחר ממנו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 xml:space="preserve">. </w:t>
      </w:r>
      <w:r>
        <w:rPr>
          <w:rFonts w:ascii="DejaVu Serif" w:hAnsi="DejaVu Serif" w:eastAsia="Unifont" w:cs="DejaVu Serif"/>
          <w:color w:val="auto"/>
          <w:kern w:val="2"/>
          <w:sz w:val="24"/>
          <w:sz w:val="24"/>
          <w:szCs w:val="24"/>
          <w:rtl w:val="true"/>
          <w:lang w:val="en-US" w:eastAsia="zh-CN" w:bidi="hi-IN"/>
        </w:rPr>
        <w:t>ותחשב על זה ותבין</w:t>
      </w:r>
      <w:r>
        <w:rPr>
          <w:rFonts w:eastAsia="Unifont" w:cs="DejaVu Serif" w:ascii="DejaVu Serif" w:hAnsi="DejaVu Serif"/>
          <w:color w:val="auto"/>
          <w:kern w:val="2"/>
          <w:sz w:val="24"/>
          <w:szCs w:val="24"/>
          <w:rtl w:val="true"/>
          <w:lang w:val="en-US" w:eastAsia="zh-CN" w:bidi="hi-IN"/>
        </w:rPr>
        <w:t>.</w:t>
      </w:r>
    </w:p>
    <w:p>
      <w:pPr>
        <w:pStyle w:val="Heading1"/>
        <w:numPr>
          <w:ilvl w:val="0"/>
          <w:numId w:val="2"/>
        </w:numPr>
        <w:bidi w:val="1"/>
        <w:ind w:hanging="0" w:left="58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משנה ג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א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גמרא מבאר שיש שיטה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רבי יוסי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שפוסל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בקורא ולא השמיע לאזנו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לדון מה סובר אותו שיטה ומהו מקורו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גמרא מביא שני שיטות בזה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שיטה ראשונה הוא שלא צריך להשמיע לאזנו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ואף לכתחילה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גמרא מביא שיטה זה בשם רבי מאיר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רבי מאיר בפיורש דורש אותו מן הקרא </w:t>
      </w:r>
      <w:r>
        <w:rPr>
          <w:rFonts w:cs="DejaVu Serif" w:ascii="DejaVu Serif" w:hAnsi="DejaVu Serif"/>
          <w:sz w:val="24"/>
          <w:szCs w:val="24"/>
          <w:rtl w:val="true"/>
        </w:rPr>
        <w:t xml:space="preserve">-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אותו קרא הוא 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על לבבך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זה אומר שרק צריך להיות על הלב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ולא צריך להיות נשמע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מצדד גמרא שרבי יהודה סובר כן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מביא מקור לדברי רבי יהודה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לכאורה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יכול להיות שני מקורות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;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אחד הוא שדורש ממקורו של רבי מאיר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ואחד הוא שלא צריך מקור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שאין לו מקור שצריך להשמיע לאזנו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יותר מסתבר לומר שסובר כרבי מאיר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שלא נראה לברוא מחדש מחלקת בזה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ListParagraph"/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שיטה שניה הוא שמהני בדיעיבד אם קרא ולא השמיע לאזנו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כך שיטת ר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 בשם ראב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וזהו שיטת תנא קמא במשנתינו</w:t>
      </w:r>
      <w:r>
        <w:rPr>
          <w:rStyle w:val="FootnoteReference"/>
          <w:rFonts w:ascii="DejaVu Serif" w:hAnsi="DejaVu Serif" w:cs="DejaVu Serif"/>
          <w:sz w:val="24"/>
          <w:sz w:val="24"/>
          <w:szCs w:val="24"/>
          <w:rtl w:val="true"/>
        </w:rPr>
        <w:footnoteReference w:id="9"/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שיטה זה אומר בפירוש שדורש כן מ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שמע ישראל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שאומר שצריך לשמוע מה שאומרים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לשאול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 מעכב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אפשר שסובר שאין קרא זה מעכב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ק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ק למה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שבדרך כלל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דינים דאורייתא מעכבים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גי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 שאף דורש קרא של רבי מאיר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לומר שלא מעכב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ListParagraph"/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גמרא כאן אומר ששיטה זו לא דורש מ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שדורש ממנו דבר אחר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לדון אם זה אומר שלא דורש ממנו כלל או שכיון שהוא גם לדבר אחר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דורש ממנו עיכוב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ת למה צריך זה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כיון שכבר כתיב</w:t>
      </w:r>
      <w:r>
        <w:rPr>
          <w:rFonts w:cs="DejaVu Serif" w:ascii="DejaVu Serif" w:hAnsi="DejaVu Serif"/>
          <w:sz w:val="24"/>
          <w:szCs w:val="24"/>
          <w:rtl w:val="true"/>
        </w:rPr>
        <w:t>, “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על לבבך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ויש לומר ששיטה של משנתינו לא דורש מ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על לבבך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אפשר לומר שצריך שניהם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ListParagraph"/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עכשיו יש לדון מה הם השיטות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לדון מה צריך אם לא צריך להשמיע לאזנו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לכאורה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שלש גדרים שאפשרים לומר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: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אפשר שצריך דיבור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אף שלא נשמע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ואפשר שאף לא צריך דיבור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רק רחישת שפתים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ואפשר שלא צריך שום דבר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רק יחשוב את המילים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לכאורה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המקור לומר שצריך דיבור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ויהיה כצד ראשון או כצד שני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הוא שאומר קרא</w:t>
      </w:r>
      <w:r>
        <w:rPr>
          <w:rFonts w:cs="DejaVu Serif" w:ascii="DejaVu Serif" w:hAnsi="DejaVu Serif"/>
          <w:sz w:val="24"/>
          <w:szCs w:val="24"/>
          <w:rtl w:val="true"/>
        </w:rPr>
        <w:t>, “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ודברת בם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.” 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ר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 דורש דין זה מ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על לבבך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לכאורה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זה משמע שלא צריך להיות על פיו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על לבבו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רק לא צריך להשמיע לאזנו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לא צריך אף להוציא אותו בפיו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כצד שלישי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אפשר לדחות שלא ממעט על פיך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ממעט על אזנך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שלא צריך להיות נשמע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בלבבך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שתדע מה שאתה אומר מלבבך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ולא משמיעתך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ויש לדון איך נדע למעט רק שמיעה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ולא אף דיבור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הוא רק מפני שכן מסתבר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מסתבר כן כיון שכ’</w:t>
      </w:r>
      <w:r>
        <w:rPr>
          <w:rFonts w:cs="DejaVu Serif" w:ascii="DejaVu Serif" w:hAnsi="DejaVu Serif"/>
          <w:sz w:val="24"/>
          <w:szCs w:val="24"/>
          <w:rtl w:val="true"/>
        </w:rPr>
        <w:t>, “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ודברת בם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גי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 שדורש מ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"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שצריך להיות דבר שראוי להישמע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והוא דיבור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לדון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שגמרא מפרש שיש דורשים מ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משע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"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דרשות אחרים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כל דרשות אלו כוללים אף דרשה זה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ותו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אם לא היינו דורשים כן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מפני שאין קרא אומר שצריך לשמוע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 יש לומר שצריך דיבור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כיון שכתיב</w:t>
      </w:r>
      <w:r>
        <w:rPr>
          <w:rFonts w:cs="DejaVu Serif" w:ascii="DejaVu Serif" w:hAnsi="DejaVu Serif"/>
          <w:sz w:val="24"/>
          <w:szCs w:val="24"/>
          <w:rtl w:val="true"/>
        </w:rPr>
        <w:t>, “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ודברת בם</w:t>
      </w:r>
      <w:r>
        <w:rPr>
          <w:rFonts w:cs="DejaVu Serif" w:ascii="DejaVu Serif" w:hAnsi="DejaVu Serif"/>
          <w:sz w:val="24"/>
          <w:szCs w:val="24"/>
          <w:rtl w:val="true"/>
        </w:rPr>
        <w:t>.”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עיין לקמן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פרק שלישי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שחלקו אמוראים אם הרהור כדיבור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לכאורה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זה נוגע לכאן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וצריך לעיין שם ולראות באיזה דברים דן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וצריך לחשוב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גם צריך לעיין מה הגדר של 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הרהור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"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של שם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אם רצה לומר הרהור ממש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 אם רצה לומר מין דיבור בלי שישמע לאזנים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ב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בירושלמי מביא שני מקורות לזה </w:t>
      </w:r>
      <w:r>
        <w:rPr>
          <w:rFonts w:cs="DejaVu Serif" w:ascii="DejaVu Serif" w:hAnsi="DejaVu Serif"/>
          <w:sz w:val="24"/>
          <w:szCs w:val="24"/>
          <w:rtl w:val="true"/>
        </w:rPr>
        <w:t>- 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שמע</w:t>
      </w:r>
      <w:r>
        <w:rPr>
          <w:rFonts w:cs="DejaVu Serif" w:ascii="DejaVu Serif" w:hAnsi="DejaVu Serif"/>
          <w:sz w:val="24"/>
          <w:szCs w:val="24"/>
          <w:rtl w:val="true"/>
        </w:rPr>
        <w:t>"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כמו הבבלי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ו“והאזנת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.“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מבאר שיש נפק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 ביניהם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והוא אם נוהג רק בק“ש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ששם כ’ 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 אף בשאר מצוות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בבבלי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נראה שמניח שנוהג בשאר מצוות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אף שדורש אותו מק“ש</w:t>
      </w:r>
      <w:r>
        <w:rPr>
          <w:rFonts w:cs="DejaVu Serif" w:ascii="DejaVu Serif" w:hAnsi="DejaVu Serif"/>
          <w:sz w:val="24"/>
          <w:szCs w:val="24"/>
          <w:rtl w:val="true"/>
        </w:rPr>
        <w:t>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יל“ד מהי“ת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שאי אפשר ללמוד במה מצינו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שיש בק“ש קבלת מלכות שמים</w:t>
      </w:r>
      <w:r>
        <w:rPr>
          <w:rFonts w:cs="DejaVu Serif" w:ascii="DejaVu Serif" w:hAnsi="DejaVu Serif"/>
          <w:sz w:val="24"/>
          <w:szCs w:val="24"/>
          <w:rtl w:val="true"/>
        </w:rPr>
        <w:t>.)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ג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ירושלמי מביא ציורים של זה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-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הדביק שני מילים ביחד או עשה שהעיי“נים שלו נשמעים כמו אל“ף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וכדומה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עיין בגמרא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שמשמע שמפרש שהוא נתינת רווח בין הדבקים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רצה לומר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שעשה שני מילים לאחד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כיון שתחילת זה דומה לסוף זה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כן משמע ממה שדן בזה כאן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וממה שלאחר שדן בו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אומר דין ב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מדקדק באותיות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שמשמע שזהו דיקדוק אותיות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שהוא כמעט לשון המשנה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ד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מן הגמרא משמע שכולם מודים שצריך לדקדק באותיות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ורק חולקים אם מעכב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נראה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שחולקים אם דורשים פסוק זה לומר עיכוב או לומר חיוב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ויש לדון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שיש לומר שכו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 מודים שאם היינו דורשים אותו מן הקרא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היה מעכב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ומי שסובר שהוא חיוב רק סובר שממה שצריך לומר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מובן שיש חיוב לומר אותו באמירה מדוקדקת</w:t>
      </w:r>
      <w:r>
        <w:rPr>
          <w:rFonts w:cs="DejaVu Serif" w:ascii="DejaVu Serif" w:hAnsi="DejaVu Serif"/>
          <w:sz w:val="24"/>
          <w:szCs w:val="24"/>
          <w:rtl w:val="true"/>
        </w:rPr>
        <w:t>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אפשר לומר להיפך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שמי שסובר שמעכב סובר שהוא חלק מקריאה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ומי שסובר שלא מעכב סובר שהוא רק פסוק אחר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ואותו פסוק אולי לא מעכב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.)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ה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מן הגמרא יש יוצא אחד מן הכלל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גמרא אומר שאם פתח ב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למען ירבו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אין דין זה נוהג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חולקים ראשונים מה זה אומר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numPr>
          <w:ilvl w:val="1"/>
          <w:numId w:val="7"/>
        </w:numPr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רש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 אומר שרצה לומר שאם יודע שכבר אמר</w:t>
      </w:r>
      <w:r>
        <w:rPr>
          <w:rFonts w:cs="DejaVu Serif" w:ascii="DejaVu Serif" w:hAnsi="DejaVu Serif"/>
          <w:sz w:val="24"/>
          <w:szCs w:val="24"/>
          <w:rtl w:val="true"/>
        </w:rPr>
        <w:t>, “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למען ירבו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לא מסתבר שטעה עד 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אמת ויציב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שאין אדם טועה שם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אם נאבד לו מקומו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רק צריך לחזור ל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אמת ויציב</w:t>
      </w:r>
      <w:r>
        <w:rPr>
          <w:rFonts w:cs="DejaVu Serif" w:ascii="DejaVu Serif" w:hAnsi="DejaVu Serif"/>
          <w:sz w:val="24"/>
          <w:szCs w:val="24"/>
          <w:rtl w:val="true"/>
        </w:rPr>
        <w:t>.”</w:t>
      </w:r>
    </w:p>
    <w:p>
      <w:pPr>
        <w:pStyle w:val="Normal"/>
        <w:numPr>
          <w:ilvl w:val="1"/>
          <w:numId w:val="7"/>
        </w:numPr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יש ראשונים שמפרשים שאם פה שלו נמשך לומר</w:t>
      </w:r>
      <w:r>
        <w:rPr>
          <w:rFonts w:cs="DejaVu Serif" w:ascii="DejaVu Serif" w:hAnsi="DejaVu Serif"/>
          <w:sz w:val="24"/>
          <w:szCs w:val="24"/>
          <w:rtl w:val="true"/>
        </w:rPr>
        <w:t>, “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למען ירבו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יכול להניח שהוא עומד שם בקריאת שמע</w:t>
      </w:r>
      <w:r>
        <w:rPr>
          <w:rFonts w:cs="DejaVu Serif" w:ascii="DejaVu Serif" w:hAnsi="DejaVu Serif"/>
          <w:sz w:val="24"/>
          <w:szCs w:val="24"/>
          <w:rtl w:val="true"/>
        </w:rPr>
        <w:t>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אם כן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זה נוהג גם במק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 בקריאת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במילים אחרים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זאת אומרת שאם פיו יודע איפה הוא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יכול לסמוך עליו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אף שאין מוח שלו יודע איפה הוא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1"/>
        <w:numPr>
          <w:ilvl w:val="0"/>
          <w:numId w:val="2"/>
        </w:numPr>
        <w:bidi w:val="1"/>
        <w:ind w:hanging="0" w:left="58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משנה ד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Heading2"/>
        <w:numPr>
          <w:ilvl w:val="1"/>
          <w:numId w:val="2"/>
        </w:numPr>
        <w:ind w:hanging="0" w:left="0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א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BodyText"/>
        <w:bidi w:val="1"/>
        <w:ind w:hanging="0" w:left="58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יש להעיר שלשון המשנה מוזר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הרי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המשנה לא הודיע לנו כבר שצריך כוונה בקריאת שמע</w:t>
      </w:r>
      <w:r>
        <w:rPr>
          <w:rFonts w:cs="DejaVu Serif" w:ascii="DejaVu Serif" w:hAnsi="DejaVu Serif"/>
          <w:sz w:val="24"/>
          <w:szCs w:val="24"/>
          <w:rtl w:val="true"/>
        </w:rPr>
        <w:t>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לעיל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המשנה אמר שצריך שיכוון דעתו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 לאיזה סיבה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גמרא לא פירש שזה מדבר בכוונה של פירוש המילים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אם כן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ק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ק שלא יתחיל בדין זה – שצריך כוונה – קודם שיאמר דין שהוא חידוש רק מחמתו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bidi w:val="1"/>
        <w:ind w:hanging="0" w:left="0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ב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יש לדון אם 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אומנים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"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שקוראים קריאת שמע בראש אילן ונדבך דווקא או שגם בעל הבית יכול לקרוא שם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גמרא אומר שיש מיני אילן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זית ותאנה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שעליהם מתפללים פועלים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על דין זה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אומר גמרא שהוא דווקא בפועל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 בעל הבית צריך לרדת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מצאנו שיש כבר חילוק בין פועל לבעל הבית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אף לענין זה יש חילוק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לא נראה לדייק ממה שמשנה נקט פועלים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שאפשר שרק נקט דבר שמצוי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שבדרך כלל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אין בעל הבית עולה על ראש האילן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יש לדחות שנקט פועל כדי לחדש שלא יכול להתפלל בראש אילן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ולא לחדש שרק הוא יכול לקרוא על אילן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היה אפשר לומר שפועל דווקא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-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אבל רק באילן או רק בנדבך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איני יודע איזה יותר חזק וקל לעמוד עליו</w:t>
      </w:r>
      <w:r>
        <w:rPr>
          <w:rFonts w:cs="DejaVu Serif" w:ascii="DejaVu Serif" w:hAnsi="DejaVu Serif"/>
          <w:sz w:val="24"/>
          <w:szCs w:val="24"/>
          <w:rtl w:val="true"/>
        </w:rPr>
        <w:t>).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אז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עדיין יש להסתפק אם יכול בעל הבית לקרוא קריאת שמע על אילן ונדבך</w:t>
      </w:r>
      <w:r>
        <w:rPr>
          <w:rFonts w:cs="DejaVu Serif" w:ascii="DejaVu Serif" w:hAnsi="DejaVu Serif"/>
          <w:sz w:val="24"/>
          <w:szCs w:val="24"/>
          <w:rtl w:val="true"/>
        </w:rPr>
        <w:t>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כמו כן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לדון אם עכ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פ יכול לקרוא על עץ זית ותאנה</w:t>
      </w:r>
      <w:r>
        <w:rPr>
          <w:rFonts w:cs="DejaVu Serif" w:ascii="DejaVu Serif" w:hAnsi="DejaVu Serif"/>
          <w:sz w:val="24"/>
          <w:szCs w:val="24"/>
          <w:rtl w:val="true"/>
        </w:rPr>
        <w:t>.)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וא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ת מה יהיה ההיתר לבעל הבית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ויש לומר שהוא דומה להיתר של פועלים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כמו שפועלים יכולים לעבוד שם מפני שחסים על עבודה לבעל הבית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כך בעל הבית יוכל לעבוד שם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שחסים על עבודה שלו לו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  <w:r>
        <w:rPr>
          <w:rStyle w:val="FootnoteReference"/>
          <w:rFonts w:cs="DejaVu Serif" w:ascii="DejaVu Serif" w:hAnsi="DejaVu Serif"/>
          <w:sz w:val="24"/>
          <w:szCs w:val="24"/>
          <w:rtl w:val="true"/>
        </w:rPr>
        <w:footnoteReference w:id="10"/>
      </w:r>
      <w:r>
        <w:rPr>
          <w:rFonts w:cs="DejaVu Serif" w:ascii="DejaVu Serif" w:hAnsi="DejaVu Serif"/>
          <w:sz w:val="24"/>
          <w:szCs w:val="24"/>
          <w:rtl w:val="true"/>
        </w:rPr>
        <w:t xml:space="preserve">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יש לומר שאינו צריך היתר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שכל אדם יכול לקרוא שם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שכל אדם יכול לכוון כשיעור שצריך כוונה בקריאת שמע שם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כמו כן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יש לדון גם כן מתי הותר לפועל – אם לא ירד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לולי לקריאת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עד סוף זמן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 אף אם ירד לפני סוף זמן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שרוצה לקרוא עכשיו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ind w:hanging="0" w:left="0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ג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המשנה אומר שקוראים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וזה מכוון לומר שקוראים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מזה לא רק רואים חידוש איך קוראים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גם רואים חידוש שקוראים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לדון אם גם מברכים ברכות קריאת שמע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  <w:r>
        <w:rPr>
          <w:rStyle w:val="FootnoteReference"/>
          <w:rFonts w:cs="DejaVu Serif" w:ascii="DejaVu Serif" w:hAnsi="DejaVu Serif"/>
          <w:sz w:val="24"/>
          <w:szCs w:val="24"/>
          <w:rtl w:val="true"/>
        </w:rPr>
        <w:footnoteReference w:id="11"/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גמרא מזכיר שיש שני מיני פועלים לענין עשיית מצוות בשעת עבודתם </w:t>
      </w:r>
      <w:r>
        <w:rPr>
          <w:rFonts w:cs="DejaVu Serif" w:ascii="DejaVu Serif" w:hAnsi="DejaVu Serif"/>
          <w:sz w:val="24"/>
          <w:szCs w:val="24"/>
          <w:rtl w:val="true"/>
        </w:rPr>
        <w:t xml:space="preserve">-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יש עובד לשכר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ויש עובד לסעודה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עובד לשכר הוא מי שעובד כדי שיתנו לו שכר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עובד לסעודה הוא מי שלא עובד כדי שיתנו לו ממון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כדי שיתנו לו סעודתו בזמן שעובד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השני לא עובד לכל כך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ולכן יכול להפסיק ליותר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יודעים דין של מי שעובד לסעודתו לענין ברכת קריאת שמע </w:t>
      </w:r>
      <w:r>
        <w:rPr>
          <w:rFonts w:cs="DejaVu Serif" w:ascii="DejaVu Serif" w:hAnsi="DejaVu Serif"/>
          <w:sz w:val="24"/>
          <w:szCs w:val="24"/>
          <w:rtl w:val="true"/>
        </w:rPr>
        <w:t xml:space="preserve">-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מברך את כולם ככל אדם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יודעים דין של עובד לשכרו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יודעים שיש חילוקים ביניהם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שיש חילוקים בענין איזה מין שמ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 מתפלל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ואיך מברך על מזון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יודעים אם יש חילוק לענין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כשמזכיר דין קריאת שמע גבי עובד בשכרו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רק אומר 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קורין ק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,”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ולא אומר שמברכים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משמע שרק קוראים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 לא מברכים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 קל לדחות שאף מברכים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וזה נכלל במה שאומר שקוראים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כמו שנדחה במשנה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ind w:hanging="0" w:left="0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ד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כן אומר רש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ת הרי רק ברכה ראשונה של קריאת שמע צריך כוונה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ויש לומר שרק שם כוונה מעכבת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 כולו צריך כוונה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יש לומר שיש יותר ענין כוונה בכולו משיש בקריאת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יש לומר שאדם יותר זוכה בזכות הכוונה בתפילה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שצריך כוונה כדי שתפילתו ישתמע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מה שאין כן בקריאת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שלא זוכה כל כך שיכוון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ind w:hanging="0" w:left="0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ה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יש לדון אם רצה לומר שצריך לרדת או שאם אין לו זמן לרדת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לא יתפלל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שהוא בזיון לתפילה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שלא יוכל לכוון</w:t>
      </w:r>
      <w:r>
        <w:rPr>
          <w:rFonts w:cs="DejaVu Serif" w:ascii="DejaVu Serif" w:hAnsi="DejaVu Serif"/>
          <w:sz w:val="24"/>
          <w:szCs w:val="24"/>
          <w:rtl w:val="true"/>
        </w:rPr>
        <w:t>).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כמו כן יש לדון בזה בהיתר של זית ותאנה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.)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נראה כראשון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ind w:hanging="0" w:left="0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ו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רש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 מבאר שהוא מפני שיש הרבה עצים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ולא ירא שמא יפול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ואז יכול לכוון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בירושלמי נראה שאומר שהטעם הוא שיש הרבה עצים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ואז טורח גדול הוא לרדת ולעלות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1"/>
        <w:numPr>
          <w:ilvl w:val="0"/>
          <w:numId w:val="2"/>
        </w:numPr>
        <w:spacing w:before="58" w:after="58"/>
        <w:ind w:hanging="0" w:left="58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משנה ה</w:t>
      </w:r>
      <w:r>
        <w:rPr>
          <w:rFonts w:cs="DejaVu Serif" w:ascii="DejaVu Serif" w:hAnsi="DejaVu Serif"/>
          <w:sz w:val="24"/>
          <w:szCs w:val="24"/>
          <w:rtl w:val="true"/>
        </w:rPr>
        <w:t>:</w:t>
      </w:r>
    </w:p>
    <w:p>
      <w:pPr>
        <w:pStyle w:val="Heading2"/>
        <w:numPr>
          <w:ilvl w:val="1"/>
          <w:numId w:val="2"/>
        </w:numPr>
        <w:ind w:hanging="0" w:left="0"/>
        <w:rPr>
          <w:sz w:val="24"/>
          <w:szCs w:val="24"/>
        </w:rPr>
      </w:pPr>
      <w:r>
        <w:rPr>
          <w:sz w:val="24"/>
          <w:sz w:val="24"/>
          <w:szCs w:val="24"/>
          <w:rtl w:val="true"/>
        </w:rPr>
        <w:t>א</w:t>
      </w:r>
      <w:r>
        <w:rPr>
          <w:sz w:val="24"/>
          <w:szCs w:val="24"/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נמצא ש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רבן גמליאל היה נשיא ורב כשלא היה נשוי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  <w:r>
        <w:rPr>
          <w:rStyle w:val="FootnoteReference"/>
          <w:rFonts w:cs="DejaVu Serif" w:ascii="DejaVu Serif" w:hAnsi="DejaVu Serif"/>
          <w:sz w:val="24"/>
          <w:szCs w:val="24"/>
          <w:rtl w:val="true"/>
        </w:rPr>
        <w:footnoteReference w:id="12"/>
      </w:r>
      <w:r>
        <w:rPr>
          <w:rFonts w:cs="DejaVu Serif" w:ascii="DejaVu Serif" w:hAnsi="DejaVu Serif"/>
          <w:sz w:val="24"/>
          <w:szCs w:val="24"/>
          <w:rtl w:val="true"/>
        </w:rPr>
        <w:t xml:space="preserve">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אין זה קשה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 זה מעניין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דע שאפשר לבאר שזה מפני שירש את נשיאותו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יש להוסיף על זה שיודעים שאביו מת כשלא היה זקן </w:t>
      </w:r>
      <w:r>
        <w:rPr>
          <w:rFonts w:cs="DejaVu Serif" w:ascii="DejaVu Serif" w:hAnsi="DejaVu Serif"/>
          <w:sz w:val="24"/>
          <w:szCs w:val="24"/>
          <w:rtl w:val="true"/>
        </w:rPr>
        <w:t>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שנהרג ע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י רומיים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),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ור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 לא היה גדול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וריב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ז נעשה נשיא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מיד כשהיה ראוי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ריב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ז החזיר לו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אפשר לומר בקל שאשתו מתה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ונשא עוד אחרת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גם אפשר לומר שנשא שני נשים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וזה היתה השני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>
          <w:rtl w:val="true"/>
        </w:rPr>
        <w:t>ב</w:t>
      </w:r>
      <w:r>
        <w:rPr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כן מסיק הבבלי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עיין בירושלמי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שכ</w:t>
      </w:r>
      <w:r>
        <w:rPr>
          <w:rFonts w:cs="DejaVu Serif" w:ascii="DejaVu Serif" w:hAnsi="DejaVu Serif"/>
          <w:sz w:val="24"/>
          <w:szCs w:val="24"/>
          <w:rtl w:val="true"/>
        </w:rPr>
        <w:t xml:space="preserve">'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שאף מי שנושא את האלמנה פטורה מקריאת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שחושש מא יכרוך נימא על אמתו ויעשה אותו כרות שפכה</w:t>
      </w:r>
      <w:r>
        <w:rPr>
          <w:rFonts w:cs="DejaVu Serif" w:ascii="DejaVu Serif" w:hAnsi="DejaVu Serif"/>
          <w:sz w:val="24"/>
          <w:szCs w:val="24"/>
          <w:rtl w:val="true"/>
        </w:rPr>
        <w:t>. (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וא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ת אם כן יפטור כל לילה שיכול לבעול אותה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ולא רק בתחילה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עיין לקמן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שבע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ה נבאר את זה</w:t>
      </w:r>
      <w:r>
        <w:rPr>
          <w:rFonts w:cs="DejaVu Serif" w:ascii="DejaVu Serif" w:hAnsi="DejaVu Serif"/>
          <w:sz w:val="24"/>
          <w:szCs w:val="24"/>
          <w:rtl w:val="true"/>
        </w:rPr>
        <w:t>.)</w:t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>
          <w:rtl w:val="true"/>
        </w:rPr>
        <w:t>ג</w:t>
      </w:r>
      <w:r>
        <w:rPr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</w:rPr>
      </w:pPr>
      <w:r>
        <w:rPr>
          <w:rFonts w:ascii="DejaVu Serif" w:hAnsi="DejaVu Serif" w:cs="DejaVu Serif"/>
          <w:rtl w:val="true"/>
        </w:rPr>
        <w:t>עיין לעיל שהזכרנו חשש של הירושלמי</w:t>
      </w:r>
      <w:r>
        <w:rPr>
          <w:rFonts w:cs="DejaVu Serif" w:ascii="DejaVu Serif" w:hAnsi="DejaVu Serif"/>
          <w:rtl w:val="true"/>
        </w:rPr>
        <w:t xml:space="preserve">. </w:t>
      </w:r>
      <w:r>
        <w:rPr>
          <w:rFonts w:ascii="DejaVu Serif" w:hAnsi="DejaVu Serif" w:cs="DejaVu Serif"/>
          <w:rtl w:val="true"/>
        </w:rPr>
        <w:t>לפי זה</w:t>
      </w:r>
      <w:r>
        <w:rPr>
          <w:rFonts w:cs="DejaVu Serif" w:ascii="DejaVu Serif" w:hAnsi="DejaVu Serif"/>
          <w:rtl w:val="true"/>
        </w:rPr>
        <w:t xml:space="preserve">, </w:t>
      </w:r>
      <w:r>
        <w:rPr>
          <w:rFonts w:ascii="DejaVu Serif" w:hAnsi="DejaVu Serif" w:cs="DejaVu Serif"/>
          <w:rtl w:val="true"/>
        </w:rPr>
        <w:t>קשה להבין למה חייב אחר שבעל אותה</w:t>
      </w:r>
      <w:r>
        <w:rPr>
          <w:rFonts w:cs="DejaVu Serif" w:ascii="DejaVu Serif" w:hAnsi="DejaVu Serif"/>
          <w:rtl w:val="true"/>
        </w:rPr>
        <w:t xml:space="preserve">. </w:t>
      </w:r>
      <w:r>
        <w:rPr>
          <w:rFonts w:ascii="DejaVu Serif" w:hAnsi="DejaVu Serif" w:cs="DejaVu Serif"/>
          <w:rtl w:val="true"/>
        </w:rPr>
        <w:t>צריך לומר שאז לא טרוד עוד</w:t>
      </w:r>
      <w:r>
        <w:rPr>
          <w:rFonts w:cs="DejaVu Serif" w:ascii="DejaVu Serif" w:hAnsi="DejaVu Serif"/>
          <w:rtl w:val="true"/>
        </w:rPr>
        <w:t xml:space="preserve">, </w:t>
      </w:r>
      <w:r>
        <w:rPr>
          <w:rFonts w:ascii="DejaVu Serif" w:hAnsi="DejaVu Serif" w:cs="DejaVu Serif"/>
          <w:rtl w:val="true"/>
        </w:rPr>
        <w:t>שכבר ראה שלא נעשה כרות שפכה</w:t>
      </w:r>
      <w:r>
        <w:rPr>
          <w:rFonts w:cs="DejaVu Serif" w:ascii="DejaVu Serif" w:hAnsi="DejaVu Serif"/>
          <w:rtl w:val="true"/>
        </w:rPr>
        <w:t xml:space="preserve">, </w:t>
      </w:r>
      <w:r>
        <w:rPr>
          <w:rFonts w:ascii="DejaVu Serif" w:hAnsi="DejaVu Serif" w:cs="DejaVu Serif"/>
          <w:rtl w:val="true"/>
        </w:rPr>
        <w:t>וכמו שלא נעשה בפעם ראשונה</w:t>
      </w:r>
      <w:r>
        <w:rPr>
          <w:rFonts w:cs="DejaVu Serif" w:ascii="DejaVu Serif" w:hAnsi="DejaVu Serif"/>
          <w:rtl w:val="true"/>
        </w:rPr>
        <w:t xml:space="preserve">, </w:t>
      </w:r>
      <w:r>
        <w:rPr>
          <w:rFonts w:ascii="DejaVu Serif" w:hAnsi="DejaVu Serif" w:cs="DejaVu Serif"/>
          <w:rtl w:val="true"/>
        </w:rPr>
        <w:t>לא ייעשה בפעם שנית</w:t>
      </w:r>
      <w:r>
        <w:rPr>
          <w:rFonts w:cs="DejaVu Serif" w:ascii="DejaVu Serif" w:hAnsi="DejaVu Serif"/>
          <w:rtl w:val="true"/>
        </w:rPr>
        <w:t>.</w:t>
      </w:r>
      <w:r>
        <w:rPr>
          <w:rStyle w:val="FootnoteReference"/>
          <w:rFonts w:cs="DejaVu Serif" w:ascii="DejaVu Serif" w:hAnsi="DejaVu Serif"/>
          <w:rtl w:val="true"/>
        </w:rPr>
        <w:footnoteReference w:id="13"/>
      </w:r>
      <w:r>
        <w:rPr>
          <w:rFonts w:cs="DejaVu Serif" w:ascii="DejaVu Serif" w:hAnsi="DejaVu Serif"/>
          <w:rtl w:val="true"/>
        </w:rPr>
        <w:t xml:space="preserve"> </w:t>
      </w:r>
    </w:p>
    <w:p>
      <w:pPr>
        <w:pStyle w:val="Normal"/>
        <w:bidi w:val="1"/>
        <w:jc w:val="left"/>
        <w:rPr>
          <w:rFonts w:ascii="DejaVu Serif" w:hAnsi="DejaVu Serif" w:cs="DejaVu Serif"/>
        </w:rPr>
      </w:pPr>
      <w:r>
        <w:rPr>
          <w:rFonts w:ascii="DejaVu Serif" w:hAnsi="DejaVu Serif" w:cs="DejaVu Serif"/>
          <w:rtl w:val="true"/>
        </w:rPr>
        <w:t>יש לדון אם זה גם יחייב כל מי שכבר בעל אשה</w:t>
      </w:r>
      <w:r>
        <w:rPr>
          <w:rFonts w:cs="DejaVu Serif" w:ascii="DejaVu Serif" w:hAnsi="DejaVu Serif"/>
          <w:rtl w:val="true"/>
        </w:rPr>
        <w:t xml:space="preserve">, </w:t>
      </w:r>
      <w:r>
        <w:rPr>
          <w:rFonts w:ascii="DejaVu Serif" w:hAnsi="DejaVu Serif" w:cs="DejaVu Serif"/>
          <w:rtl w:val="true"/>
        </w:rPr>
        <w:t xml:space="preserve">או שנאמר שחושש שאולי אשה אחת לא תעשה אותו כרות שפכה ואשה אחרת תעשה אותו כרות שפכה </w:t>
      </w:r>
      <w:r>
        <w:rPr>
          <w:rFonts w:cs="DejaVu Serif" w:ascii="DejaVu Serif" w:hAnsi="DejaVu Serif"/>
          <w:rtl w:val="true"/>
        </w:rPr>
        <w:t>(</w:t>
      </w:r>
      <w:r>
        <w:rPr>
          <w:rFonts w:ascii="DejaVu Serif" w:hAnsi="DejaVu Serif" w:cs="DejaVu Serif"/>
          <w:rtl w:val="true"/>
        </w:rPr>
        <w:t>אף שלא חושש שלפעמים אשה אחת לא תעשה אותו כרות שפכה ולפעמים תעשה</w:t>
      </w:r>
      <w:r>
        <w:rPr>
          <w:rFonts w:cs="DejaVu Serif" w:ascii="DejaVu Serif" w:hAnsi="DejaVu Serif"/>
          <w:rtl w:val="true"/>
        </w:rPr>
        <w:t>).</w:t>
      </w:r>
    </w:p>
    <w:p>
      <w:pPr>
        <w:pStyle w:val="Normal"/>
        <w:bidi w:val="1"/>
        <w:jc w:val="left"/>
        <w:rPr>
          <w:rFonts w:ascii="DejaVu Serif" w:hAnsi="DejaVu Serif" w:cs="DejaVu Serif"/>
        </w:rPr>
      </w:pPr>
      <w:r>
        <w:rPr>
          <w:rFonts w:ascii="DejaVu Serif" w:hAnsi="DejaVu Serif" w:cs="DejaVu Serif"/>
          <w:rtl w:val="true"/>
        </w:rPr>
        <w:t>אפשר לומר</w:t>
      </w:r>
      <w:r>
        <w:rPr>
          <w:rFonts w:cs="DejaVu Serif" w:ascii="DejaVu Serif" w:hAnsi="DejaVu Serif"/>
          <w:rtl w:val="true"/>
        </w:rPr>
        <w:t xml:space="preserve">, </w:t>
      </w:r>
      <w:r>
        <w:rPr>
          <w:rFonts w:ascii="DejaVu Serif" w:hAnsi="DejaVu Serif" w:cs="DejaVu Serif"/>
          <w:rtl w:val="true"/>
        </w:rPr>
        <w:t>אז</w:t>
      </w:r>
      <w:r>
        <w:rPr>
          <w:rFonts w:cs="DejaVu Serif" w:ascii="DejaVu Serif" w:hAnsi="DejaVu Serif"/>
          <w:rtl w:val="true"/>
        </w:rPr>
        <w:t xml:space="preserve">, </w:t>
      </w:r>
      <w:r>
        <w:rPr>
          <w:rFonts w:ascii="DejaVu Serif" w:hAnsi="DejaVu Serif" w:cs="DejaVu Serif"/>
          <w:rtl w:val="true"/>
        </w:rPr>
        <w:t>שלפי הירושלמי</w:t>
      </w:r>
      <w:r>
        <w:rPr>
          <w:rFonts w:cs="DejaVu Serif" w:ascii="DejaVu Serif" w:hAnsi="DejaVu Serif"/>
          <w:rtl w:val="true"/>
        </w:rPr>
        <w:t xml:space="preserve">, </w:t>
      </w:r>
      <w:r>
        <w:rPr>
          <w:rFonts w:ascii="DejaVu Serif" w:hAnsi="DejaVu Serif" w:cs="DejaVu Serif"/>
          <w:rtl w:val="true"/>
        </w:rPr>
        <w:t>רבן גמליאל היה נושא את האשה ראשונה שלו</w:t>
      </w:r>
      <w:r>
        <w:rPr>
          <w:rFonts w:cs="DejaVu Serif" w:ascii="DejaVu Serif" w:hAnsi="DejaVu Serif"/>
          <w:rtl w:val="true"/>
        </w:rPr>
        <w:t xml:space="preserve">, </w:t>
      </w:r>
      <w:r>
        <w:rPr>
          <w:rFonts w:ascii="DejaVu Serif" w:hAnsi="DejaVu Serif" w:cs="DejaVu Serif"/>
          <w:rtl w:val="true"/>
        </w:rPr>
        <w:t>שאם כבר בא על אשה</w:t>
      </w:r>
      <w:r>
        <w:rPr>
          <w:rFonts w:cs="DejaVu Serif" w:ascii="DejaVu Serif" w:hAnsi="DejaVu Serif"/>
          <w:rtl w:val="true"/>
        </w:rPr>
        <w:t xml:space="preserve">, </w:t>
      </w:r>
      <w:r>
        <w:rPr>
          <w:rFonts w:ascii="DejaVu Serif" w:hAnsi="DejaVu Serif" w:cs="DejaVu Serif"/>
          <w:rtl w:val="true"/>
        </w:rPr>
        <w:t>היה חייב בקריאת שמע</w:t>
      </w:r>
      <w:r>
        <w:rPr>
          <w:rFonts w:cs="DejaVu Serif" w:ascii="DejaVu Serif" w:hAnsi="DejaVu Serif"/>
          <w:rtl w:val="true"/>
        </w:rPr>
        <w:t>.</w:t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>
          <w:rtl w:val="true"/>
        </w:rPr>
        <w:t>ד</w:t>
      </w:r>
      <w:r>
        <w:rPr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צריך ביאור מה היתה קושייתם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שלא קל לומר ש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עשה אף בלי חיוב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כמו שהרבה נשים קוראות קריאת שמע בלי חיוב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סברו שאין ל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קרוא קריאת שמע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 xml:space="preserve"> בלי כוונה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נראה כן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שגמ</w:t>
      </w:r>
      <w:r>
        <w:rPr>
          <w:rFonts w:cs="DejaVu Serif" w:ascii="DejaVu Serif" w:hAnsi="DejaVu Serif"/>
          <w:sz w:val="24"/>
          <w:szCs w:val="24"/>
          <w:rtl w:val="true"/>
        </w:rPr>
        <w:t xml:space="preserve">'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מזכיר את זה לסיבה שלא לקרוא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אולי סברו שיוהרא הוא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כמו שאומר גמרא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אבל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נראה שיהיה יוהרא לר</w:t>
      </w:r>
      <w:r>
        <w:rPr>
          <w:rFonts w:cs="DejaVu Serif" w:ascii="DejaVu Serif" w:hAnsi="DejaVu Serif"/>
          <w:sz w:val="24"/>
          <w:szCs w:val="24"/>
          <w:rtl w:val="true"/>
        </w:rPr>
        <w:t>"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ג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שידוע להיות גדול הדור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שהיה נשיא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אפשר לדחוק שסברו שהיה לו להראות להם את הדין שחתן פטור מקריאת שמע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p>
      <w:pPr>
        <w:pStyle w:val="Heading2"/>
        <w:numPr>
          <w:ilvl w:val="1"/>
          <w:numId w:val="2"/>
        </w:numPr>
        <w:ind w:hanging="0" w:left="0"/>
        <w:rPr/>
      </w:pPr>
      <w:r>
        <w:rPr>
          <w:rtl w:val="true"/>
        </w:rPr>
        <w:t>ה</w:t>
      </w:r>
      <w:r>
        <w:rPr>
          <w:rtl w:val="true"/>
        </w:rPr>
        <w:t>:</w:t>
      </w:r>
    </w:p>
    <w:p>
      <w:pPr>
        <w:pStyle w:val="Normal"/>
        <w:bidi w:val="1"/>
        <w:jc w:val="left"/>
        <w:rPr>
          <w:rFonts w:ascii="DejaVu Serif" w:hAnsi="DejaVu Serif" w:cs="DejaVu Serif"/>
          <w:sz w:val="24"/>
          <w:szCs w:val="24"/>
        </w:rPr>
      </w:pPr>
      <w:r>
        <w:rPr>
          <w:rFonts w:ascii="DejaVu Serif" w:hAnsi="DejaVu Serif" w:cs="DejaVu Serif"/>
          <w:sz w:val="24"/>
          <w:sz w:val="24"/>
          <w:szCs w:val="24"/>
          <w:rtl w:val="true"/>
        </w:rPr>
        <w:t>לא פשוט מהו תשובתו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באמת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השיב להם כלום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אלא אמר שלא ימנע מלומר קריאת שמע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תשובתו תלויה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בוודאי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בקושייתם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;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לעיל</w:t>
      </w:r>
      <w:r>
        <w:rPr>
          <w:rFonts w:cs="DejaVu Serif" w:ascii="DejaVu Serif" w:hAnsi="DejaVu Serif"/>
          <w:sz w:val="24"/>
          <w:szCs w:val="24"/>
          <w:rtl w:val="true"/>
        </w:rPr>
        <w:t xml:space="preserve">,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לא היה פשוט לנו מה היתה קושייה שלהם</w:t>
      </w:r>
      <w:r>
        <w:rPr>
          <w:rFonts w:cs="DejaVu Serif" w:ascii="DejaVu Serif" w:hAnsi="DejaVu Serif"/>
          <w:sz w:val="24"/>
          <w:szCs w:val="24"/>
          <w:rtl w:val="true"/>
        </w:rPr>
        <w:t xml:space="preserve">. </w:t>
      </w:r>
      <w:r>
        <w:rPr>
          <w:rFonts w:ascii="DejaVu Serif" w:hAnsi="DejaVu Serif" w:cs="DejaVu Serif"/>
          <w:sz w:val="24"/>
          <w:sz w:val="24"/>
          <w:szCs w:val="24"/>
          <w:rtl w:val="true"/>
        </w:rPr>
        <w:t>ותחשב</w:t>
      </w:r>
      <w:r>
        <w:rPr>
          <w:rFonts w:cs="DejaVu Serif" w:ascii="DejaVu Serif" w:hAnsi="DejaVu Serif"/>
          <w:sz w:val="24"/>
          <w:szCs w:val="24"/>
          <w:rtl w:val="true"/>
        </w:rPr>
        <w:t>.</w:t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93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alibri Light">
    <w:charset w:val="01"/>
    <w:family w:val="roman"/>
    <w:pitch w:val="variable"/>
  </w:font>
  <w:font w:name="Shofar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ejaVu Serif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בביאור כוונה לקרוא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נראה לומר שני צדדים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הראשון הוא שמחשיב מעשה הקריאה שלו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והשני הוא שעושה אותו בכוונה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ולא רק שהוא דבר שקורא ממילא כשהוא בודק ספר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ותחשב</w:t>
      </w:r>
      <w:r>
        <w:rPr>
          <w:rFonts w:cs="Noto Rashi Hebrew"/>
          <w:rtl w:val="true"/>
        </w:rPr>
        <w:t>.</w:t>
      </w:r>
    </w:p>
  </w:footnote>
  <w:footnote w:id="3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עיין בגמרא שלנו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שמביא צד שצריך לכוון עד 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הדברים האלה</w:t>
      </w:r>
      <w:r>
        <w:rPr>
          <w:rFonts w:cs="Noto Rashi Hebrew"/>
          <w:rtl w:val="true"/>
        </w:rPr>
        <w:t xml:space="preserve">.” </w:t>
      </w:r>
      <w:r>
        <w:rPr>
          <w:rFonts w:cs="Noto Rashi Hebrew"/>
          <w:rtl w:val="true"/>
        </w:rPr>
        <w:t>בפשטות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יש שלשה דרכים לבאר את זה</w:t>
      </w:r>
      <w:r>
        <w:rPr>
          <w:rFonts w:cs="Noto Rashi Hebrew"/>
          <w:rtl w:val="true"/>
        </w:rPr>
        <w:t>:</w:t>
      </w:r>
    </w:p>
    <w:p>
      <w:pPr>
        <w:pStyle w:val="FootnoteText"/>
        <w:numPr>
          <w:ilvl w:val="0"/>
          <w:numId w:val="4"/>
        </w:numPr>
        <w:rPr>
          <w:rFonts w:cs="Noto Rashi Hebrew"/>
        </w:rPr>
      </w:pPr>
      <w:r>
        <w:rPr>
          <w:rFonts w:cs="Noto Rashi Hebrew"/>
          <w:rtl w:val="true"/>
        </w:rPr>
        <w:t xml:space="preserve">צריך לכוון עד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ויש לדון אם הוא עד ועד בכלל</w:t>
      </w:r>
      <w:r>
        <w:rPr>
          <w:rFonts w:cs="Noto Rashi Hebrew"/>
          <w:rtl w:val="true"/>
        </w:rPr>
        <w:t xml:space="preserve">) </w:t>
      </w:r>
      <w:r>
        <w:rPr>
          <w:rFonts w:cs="Noto Rashi Hebrew"/>
          <w:rtl w:val="true"/>
        </w:rPr>
        <w:t>אותם מילים</w:t>
      </w:r>
      <w:r>
        <w:rPr>
          <w:rFonts w:cs="Noto Rashi Hebrew"/>
          <w:rtl w:val="true"/>
        </w:rPr>
        <w:t>.</w:t>
      </w:r>
    </w:p>
    <w:p>
      <w:pPr>
        <w:pStyle w:val="FootnoteText"/>
        <w:numPr>
          <w:ilvl w:val="0"/>
          <w:numId w:val="4"/>
        </w:numPr>
        <w:rPr>
          <w:rFonts w:cs="Noto Rashi Hebrew"/>
        </w:rPr>
      </w:pPr>
      <w:r>
        <w:rPr>
          <w:rFonts w:cs="Noto Rashi Hebrew"/>
          <w:rtl w:val="true"/>
        </w:rPr>
        <w:t>צריך לכוון עד אותם מילים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ובוודאי לא צריך כוונה בחצי פסוק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ואז מוכרח שצריך כוונה בכל הפסוק</w:t>
      </w:r>
      <w:r>
        <w:rPr>
          <w:rFonts w:cs="Noto Rashi Hebrew"/>
          <w:rtl w:val="true"/>
        </w:rPr>
        <w:t>.</w:t>
      </w:r>
    </w:p>
    <w:p>
      <w:pPr>
        <w:pStyle w:val="FootnoteText"/>
        <w:numPr>
          <w:ilvl w:val="0"/>
          <w:numId w:val="4"/>
        </w:numPr>
        <w:rPr>
          <w:rFonts w:cs="Noto Rashi Hebrew"/>
        </w:rPr>
      </w:pPr>
      <w:r>
        <w:rPr>
          <w:rFonts w:cs="Noto Rashi Hebrew"/>
          <w:rtl w:val="true"/>
        </w:rPr>
        <w:t>צריך לכוון עד אותם מילים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ובוודאי לא צריך כוונה בחצי פסוק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ואז מוכרח שכל אותה הפסוק לא צריך כוונה</w:t>
      </w:r>
      <w:r>
        <w:rPr>
          <w:rFonts w:cs="Noto Rashi Hebrew"/>
          <w:rtl w:val="true"/>
        </w:rPr>
        <w:t>.</w:t>
      </w:r>
    </w:p>
    <w:p>
      <w:pPr>
        <w:pStyle w:val="FootnoteText"/>
        <w:rPr>
          <w:rFonts w:cs="Noto Rashi Hebrew"/>
        </w:rPr>
      </w:pP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עיין בתוס</w:t>
      </w:r>
      <w:r>
        <w:rPr>
          <w:rFonts w:cs="Noto Rashi Hebrew"/>
          <w:rtl w:val="true"/>
        </w:rPr>
        <w:t xml:space="preserve">' </w:t>
      </w:r>
      <w:r>
        <w:rPr>
          <w:rFonts w:cs="Noto Rashi Hebrew"/>
          <w:rtl w:val="true"/>
        </w:rPr>
        <w:t>שנראה שמפרש כשלישי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 xml:space="preserve">הירושלמי שמשמע שמפרש כשני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ואולי אפשר לדחוק שרצה לומר כראשון</w:t>
      </w:r>
      <w:r>
        <w:rPr>
          <w:rFonts w:cs="Noto Rashi Hebrew"/>
          <w:rtl w:val="true"/>
        </w:rPr>
        <w:t>).</w:t>
      </w:r>
    </w:p>
  </w:footnote>
  <w:footnote w:id="4">
    <w:p>
      <w:pPr>
        <w:pStyle w:val="FootnoteText"/>
        <w:rPr>
          <w:rFonts w:cs="Noto Rashi Hebrew"/>
          <w:sz w:val="20"/>
          <w:szCs w:val="20"/>
        </w:rPr>
      </w:pPr>
      <w:r>
        <w:rPr>
          <w:rStyle w:val="FootnoteCharacters"/>
        </w:rPr>
        <w:footnoteRef/>
      </w:r>
      <w:r>
        <w:rPr>
          <w:rFonts w:cs="Noto Rashi Hebrew"/>
          <w:sz w:val="20"/>
          <w:szCs w:val="20"/>
          <w:rtl w:val="true"/>
        </w:rPr>
        <w:tab/>
      </w:r>
      <w:r>
        <w:rPr>
          <w:rFonts w:cs="Noto Rashi Hebrew"/>
          <w:sz w:val="20"/>
          <w:sz w:val="20"/>
          <w:szCs w:val="20"/>
          <w:rtl w:val="true"/>
        </w:rPr>
        <w:t>אבל</w:t>
      </w:r>
      <w:r>
        <w:rPr>
          <w:rFonts w:cs="Noto Rashi Hebrew"/>
          <w:sz w:val="20"/>
          <w:szCs w:val="20"/>
          <w:rtl w:val="true"/>
        </w:rPr>
        <w:t xml:space="preserve">, </w:t>
      </w:r>
      <w:r>
        <w:rPr>
          <w:rFonts w:cs="Noto Rashi Hebrew"/>
          <w:sz w:val="20"/>
          <w:sz w:val="20"/>
          <w:szCs w:val="20"/>
          <w:rtl w:val="true"/>
        </w:rPr>
        <w:t>יש להעיר</w:t>
      </w:r>
      <w:r>
        <w:rPr>
          <w:rFonts w:cs="Noto Rashi Hebrew"/>
          <w:sz w:val="20"/>
          <w:szCs w:val="20"/>
          <w:rtl w:val="true"/>
        </w:rPr>
        <w:t xml:space="preserve">, </w:t>
      </w:r>
      <w:r>
        <w:rPr>
          <w:rFonts w:cs="Noto Rashi Hebrew"/>
          <w:sz w:val="20"/>
          <w:sz w:val="20"/>
          <w:szCs w:val="20"/>
          <w:rtl w:val="true"/>
        </w:rPr>
        <w:t>שכמו שכתבנו</w:t>
      </w:r>
      <w:r>
        <w:rPr>
          <w:rFonts w:cs="Noto Rashi Hebrew"/>
          <w:sz w:val="20"/>
          <w:szCs w:val="20"/>
          <w:rtl w:val="true"/>
        </w:rPr>
        <w:t xml:space="preserve">, </w:t>
      </w:r>
      <w:r>
        <w:rPr>
          <w:rFonts w:cs="Noto Rashi Hebrew"/>
          <w:sz w:val="20"/>
          <w:sz w:val="20"/>
          <w:szCs w:val="20"/>
          <w:rtl w:val="true"/>
        </w:rPr>
        <w:t>אין זה כל כך מסתבר</w:t>
      </w:r>
      <w:r>
        <w:rPr>
          <w:rFonts w:cs="Noto Rashi Hebrew"/>
          <w:sz w:val="20"/>
          <w:szCs w:val="20"/>
          <w:rtl w:val="true"/>
        </w:rPr>
        <w:t xml:space="preserve">, </w:t>
      </w:r>
      <w:r>
        <w:rPr>
          <w:rFonts w:cs="Noto Rashi Hebrew"/>
          <w:sz w:val="20"/>
          <w:sz w:val="20"/>
          <w:szCs w:val="20"/>
          <w:rtl w:val="true"/>
        </w:rPr>
        <w:t>שאם צריך כוונה מחמת קיום מצווה</w:t>
      </w:r>
      <w:r>
        <w:rPr>
          <w:rFonts w:cs="Noto Rashi Hebrew"/>
          <w:sz w:val="20"/>
          <w:szCs w:val="20"/>
          <w:rtl w:val="true"/>
        </w:rPr>
        <w:t xml:space="preserve">, </w:t>
      </w:r>
      <w:r>
        <w:rPr>
          <w:rFonts w:cs="Noto Rashi Hebrew"/>
          <w:sz w:val="20"/>
          <w:sz w:val="20"/>
          <w:szCs w:val="20"/>
          <w:rtl w:val="true"/>
        </w:rPr>
        <w:t>יצטרך אותה כוונה על כל קריאת שמע</w:t>
      </w:r>
      <w:r>
        <w:rPr>
          <w:rFonts w:cs="Noto Rashi Hebrew"/>
          <w:sz w:val="20"/>
          <w:szCs w:val="20"/>
          <w:rtl w:val="true"/>
        </w:rPr>
        <w:t>. (</w:t>
      </w:r>
      <w:r>
        <w:rPr>
          <w:rFonts w:cs="Noto Rashi Hebrew"/>
          <w:sz w:val="20"/>
          <w:sz w:val="20"/>
          <w:szCs w:val="20"/>
          <w:rtl w:val="true"/>
        </w:rPr>
        <w:t>ודע שאם נדחה את זה</w:t>
      </w:r>
      <w:r>
        <w:rPr>
          <w:rFonts w:cs="Noto Rashi Hebrew"/>
          <w:sz w:val="20"/>
          <w:szCs w:val="20"/>
          <w:rtl w:val="true"/>
        </w:rPr>
        <w:t xml:space="preserve">, </w:t>
      </w:r>
      <w:r>
        <w:rPr>
          <w:rFonts w:cs="Noto Rashi Hebrew"/>
          <w:sz w:val="20"/>
          <w:sz w:val="20"/>
          <w:szCs w:val="20"/>
          <w:rtl w:val="true"/>
        </w:rPr>
        <w:t>נוכל לומר שאף גמרא שלנו סובר כמו שכותבים עכשיו בירושלמי</w:t>
      </w:r>
      <w:r>
        <w:rPr>
          <w:rFonts w:cs="Noto Rashi Hebrew"/>
          <w:sz w:val="20"/>
          <w:szCs w:val="20"/>
          <w:rtl w:val="true"/>
        </w:rPr>
        <w:t xml:space="preserve">.) </w:t>
      </w:r>
      <w:r>
        <w:rPr>
          <w:rFonts w:cs="Noto Rashi Hebrew"/>
          <w:sz w:val="20"/>
          <w:sz w:val="20"/>
          <w:szCs w:val="20"/>
          <w:rtl w:val="true"/>
        </w:rPr>
        <w:t>אבל</w:t>
      </w:r>
      <w:r>
        <w:rPr>
          <w:rFonts w:cs="Noto Rashi Hebrew"/>
          <w:sz w:val="20"/>
          <w:szCs w:val="20"/>
          <w:rtl w:val="true"/>
        </w:rPr>
        <w:t xml:space="preserve">, </w:t>
      </w:r>
      <w:r>
        <w:rPr>
          <w:rFonts w:cs="Noto Rashi Hebrew"/>
          <w:sz w:val="20"/>
          <w:sz w:val="20"/>
          <w:szCs w:val="20"/>
          <w:rtl w:val="true"/>
        </w:rPr>
        <w:t>דע שלהלכה בוודאי לא מניחים כן</w:t>
      </w:r>
      <w:r>
        <w:rPr>
          <w:rFonts w:cs="Noto Rashi Hebrew"/>
          <w:sz w:val="20"/>
          <w:szCs w:val="20"/>
          <w:rtl w:val="true"/>
        </w:rPr>
        <w:t>.</w:t>
      </w:r>
    </w:p>
  </w:footnote>
  <w:footnote w:id="5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אולי לא מחייב אותו מתורת דין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אלא שכך מורה לו הכבוד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מחמת דרך בני אדם</w:t>
      </w:r>
      <w:r>
        <w:rPr>
          <w:rFonts w:cs="Noto Rashi Hebrew"/>
          <w:rtl w:val="true"/>
        </w:rPr>
        <w:t>.</w:t>
      </w:r>
    </w:p>
  </w:footnote>
  <w:footnote w:id="6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באמת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יש שני דרכים לומר את זה</w:t>
      </w:r>
      <w:r>
        <w:rPr>
          <w:rFonts w:cs="Noto Rashi Hebrew"/>
          <w:rtl w:val="true"/>
        </w:rPr>
        <w:t>:</w:t>
      </w:r>
    </w:p>
    <w:p>
      <w:pPr>
        <w:pStyle w:val="FootnoteText"/>
        <w:numPr>
          <w:ilvl w:val="0"/>
          <w:numId w:val="5"/>
        </w:numPr>
        <w:rPr>
          <w:rFonts w:cs="Noto Rashi Hebrew"/>
        </w:rPr>
      </w:pPr>
      <w:r>
        <w:rPr>
          <w:rFonts w:cs="Noto Rashi Hebrew"/>
          <w:rtl w:val="true"/>
        </w:rPr>
        <w:t>אפשר לומר שמסברה יודעים שהם נאמרים ביחד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שמחמת דמיונם טוב לסמוך אותם זה לזה</w:t>
      </w:r>
      <w:r>
        <w:rPr>
          <w:rFonts w:cs="Noto Rashi Hebrew"/>
          <w:rtl w:val="true"/>
        </w:rPr>
        <w:t>.</w:t>
      </w:r>
    </w:p>
    <w:p>
      <w:pPr>
        <w:pStyle w:val="FootnoteText"/>
        <w:numPr>
          <w:ilvl w:val="0"/>
          <w:numId w:val="5"/>
        </w:numPr>
        <w:rPr>
          <w:rFonts w:cs="Noto Rashi Hebrew"/>
        </w:rPr>
      </w:pPr>
      <w:r>
        <w:rPr>
          <w:rFonts w:cs="Noto Rashi Hebrew"/>
          <w:rtl w:val="true"/>
        </w:rPr>
        <w:t>אפשר לומר שמסברה יודעים שהם חלק מחיוב אחד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במילים אחרים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אין חיוב לומר פרק ראשון ופרק שני ופרק שלישי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אלא יש חיוב אחד לקרוא קריאת שמע</w:t>
      </w:r>
      <w:r>
        <w:rPr>
          <w:rFonts w:cs="Noto Rashi Hebrew"/>
          <w:rtl w:val="true"/>
        </w:rPr>
        <w:t>. (</w:t>
      </w:r>
      <w:r>
        <w:rPr>
          <w:rFonts w:cs="Noto Rashi Hebrew"/>
          <w:rtl w:val="true"/>
        </w:rPr>
        <w:t>כשמדברים על חיוב אחד ושני חיובים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אין הענין איך נאמר החיוב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שיודעים איך נאמר החיוב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אבל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זה תלוי באם מה שכתוב בתורה הוא מה שאמר ה</w:t>
      </w:r>
      <w:r>
        <w:rPr>
          <w:rFonts w:cs="Noto Rashi Hebrew"/>
          <w:rtl w:val="true"/>
        </w:rPr>
        <w:t xml:space="preserve">' </w:t>
      </w:r>
      <w:r>
        <w:rPr>
          <w:rFonts w:cs="Noto Rashi Hebrew"/>
          <w:rtl w:val="true"/>
        </w:rPr>
        <w:t>או שמראה לנו שה</w:t>
      </w:r>
      <w:r>
        <w:rPr>
          <w:rFonts w:cs="Noto Rashi Hebrew"/>
          <w:rtl w:val="true"/>
        </w:rPr>
        <w:t xml:space="preserve">' </w:t>
      </w:r>
      <w:r>
        <w:rPr>
          <w:rFonts w:cs="Noto Rashi Hebrew"/>
          <w:rtl w:val="true"/>
        </w:rPr>
        <w:t>ציווה לנו בדברים אלו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ולא יודעים איך צווה לנו ה</w:t>
      </w:r>
      <w:r>
        <w:rPr>
          <w:rFonts w:cs="Noto Rashi Hebrew"/>
          <w:rtl w:val="true"/>
        </w:rPr>
        <w:t xml:space="preserve">'), </w:t>
      </w:r>
      <w:r>
        <w:rPr>
          <w:rFonts w:cs="Noto Rashi Hebrew"/>
          <w:rtl w:val="true"/>
        </w:rPr>
        <w:t>אלא בביאור הטובות שנעשים והטובות שרצה ה</w:t>
      </w:r>
      <w:r>
        <w:rPr>
          <w:rFonts w:cs="Noto Rashi Hebrew"/>
          <w:rtl w:val="true"/>
        </w:rPr>
        <w:t xml:space="preserve">'. </w:t>
      </w:r>
      <w:r>
        <w:rPr>
          <w:rFonts w:cs="Noto Rashi Hebrew"/>
          <w:rtl w:val="true"/>
        </w:rPr>
        <w:t>ותחשב</w:t>
      </w:r>
      <w:r>
        <w:rPr>
          <w:rFonts w:cs="Noto Rashi Hebrew"/>
          <w:rtl w:val="true"/>
        </w:rPr>
        <w:t>.)</w:t>
      </w:r>
    </w:p>
  </w:footnote>
  <w:footnote w:id="7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באמת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יש שני דיונים כאן – מה אומר רבי יהודה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ומהו הלומדות של רבי יהודה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אני באתי לבאר את הלומדות כאן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אבל לא נראה שהם תלויים זה בזה</w:t>
      </w:r>
      <w:r>
        <w:rPr>
          <w:rFonts w:cs="Noto Rashi Hebrew"/>
          <w:rtl w:val="true"/>
        </w:rPr>
        <w:t>.</w:t>
      </w:r>
    </w:p>
  </w:footnote>
  <w:footnote w:id="8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צריכים לבאר את זה יותר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הענין הוא שיש לדון למה זה סיבה להקדים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הביאור הפשוט הוא שהוא מפני שקבלת מלכות שמים יותר חשוב מקבלת מצוות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אם כן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גם הזכרתה תהיה יותר חשובה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אבל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גם אפשר לפרש שהוא מפני שבהכרח אדם צריך לקבל מלכות שמים קודם שמקבל עליו עול מצוות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אם כן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לא פשוט שהקדמתו תקדים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ואז גמרא יאמר שכיון שקבלתו קודמת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כך קריאתו קודמת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ותחשב על זה</w:t>
      </w:r>
      <w:r>
        <w:rPr>
          <w:rFonts w:cs="Noto Rashi Hebrew"/>
          <w:rtl w:val="true"/>
        </w:rPr>
        <w:t>.</w:t>
      </w:r>
    </w:p>
  </w:footnote>
  <w:footnote w:id="9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כן נראה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שלשון של המשנה הוא שמדבר בבדיעבד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וגם שמסתבר שאין שיטת ת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ק כל כך רחוק משיטת רבי יוסי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ורבי יוסי סובר שמעכב</w:t>
      </w:r>
      <w:r>
        <w:rPr>
          <w:rFonts w:cs="Noto Rashi Hebrew"/>
          <w:rtl w:val="true"/>
        </w:rPr>
        <w:t>. (</w:t>
      </w:r>
      <w:r>
        <w:rPr>
          <w:rFonts w:cs="Noto Rashi Hebrew"/>
          <w:rtl w:val="true"/>
        </w:rPr>
        <w:t>ודע שיכול להיות שכשגמ</w:t>
      </w:r>
      <w:r>
        <w:rPr>
          <w:rFonts w:cs="Noto Rashi Hebrew"/>
          <w:rtl w:val="true"/>
        </w:rPr>
        <w:t xml:space="preserve">' </w:t>
      </w:r>
      <w:r>
        <w:rPr>
          <w:rFonts w:cs="Noto Rashi Hebrew"/>
          <w:rtl w:val="true"/>
        </w:rPr>
        <w:t>מבאר שיטת המשנה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ואומר שלא דורש מ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שמע</w:t>
      </w:r>
      <w:r>
        <w:rPr>
          <w:rFonts w:cs="Noto Rashi Hebrew"/>
          <w:rtl w:val="true"/>
        </w:rPr>
        <w:t xml:space="preserve">,” </w:t>
      </w:r>
      <w:r>
        <w:rPr>
          <w:rFonts w:cs="Noto Rashi Hebrew"/>
          <w:rtl w:val="true"/>
        </w:rPr>
        <w:t>יכול להיות שלא ידע שאוסר לכתחילה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ורק אומר שיצא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ותחשב</w:t>
      </w:r>
      <w:r>
        <w:rPr>
          <w:rFonts w:cs="Noto Rashi Hebrew"/>
          <w:rtl w:val="true"/>
        </w:rPr>
        <w:t xml:space="preserve">.) </w:t>
      </w:r>
      <w:r>
        <w:rPr>
          <w:rFonts w:cs="Noto Rashi Hebrew"/>
          <w:rtl w:val="true"/>
        </w:rPr>
        <w:t>עיין בירושלמי שאומר ששיטת המשנה הוא שיטת רבי מאיר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ותו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ת</w:t>
      </w:r>
      <w:r>
        <w:rPr>
          <w:rFonts w:cs="Noto Rashi Hebrew"/>
          <w:rtl w:val="true"/>
        </w:rPr>
        <w:t>.</w:t>
      </w:r>
    </w:p>
  </w:footnote>
  <w:footnote w:id="10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כאן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דנינו בזה רק מתורת דחייה – שאף שלא יכול לכוון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יכול לקרוא כיון שיש צורך גדול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אבל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דע שיש אולי גם ענין היתר כאן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שפועל רגיל להיות על אילן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ויכול לכוון קצת אף שם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אבל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יש לדון אם חילוק זה יכול לחלק ביניהם כאן</w:t>
      </w:r>
      <w:r>
        <w:rPr>
          <w:rFonts w:cs="Noto Rashi Hebrew"/>
          <w:rtl w:val="true"/>
        </w:rPr>
        <w:t>. (</w:t>
      </w:r>
      <w:r>
        <w:rPr>
          <w:rFonts w:cs="Noto Rashi Hebrew"/>
          <w:rtl w:val="true"/>
        </w:rPr>
        <w:t>ודע שאפשר לומר שזה החילוק היחידי בין בעה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ב לפועל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וזה הסיבה שאינו מתפלל בראש זית ותאנה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ותחשב</w:t>
      </w:r>
      <w:r>
        <w:rPr>
          <w:rFonts w:cs="Noto Rashi Hebrew"/>
          <w:rtl w:val="true"/>
        </w:rPr>
        <w:t>.)</w:t>
      </w:r>
    </w:p>
    <w:p>
      <w:pPr>
        <w:pStyle w:val="FootnoteText"/>
        <w:rPr>
          <w:rFonts w:cs="Noto Rashi Hebrew"/>
        </w:rPr>
      </w:pP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וא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ת חוץ מזה איזה חילוק יש בין בעה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ב לפועל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ויש לומר שפועל עושה דבר שיותר חשוב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והראיה והא שהשכיר פועל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גם יש לומר שפועל עושה אותו יותר טוב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שהוא פועל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גם יש לומר שלא קשה לבעל הבית לחזור ולעשות את המלאכה בזמן אחר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ואין בעיה כל כך בביטול זמן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אבל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לא פשוט שפועל יחזור למחר להשלים אותו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ואף אם חוזר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צריך לשלם לו יותר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וזה חסרון יותר גדול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ותחשב</w:t>
      </w:r>
      <w:r>
        <w:rPr>
          <w:rFonts w:cs="Noto Rashi Hebrew"/>
          <w:rtl w:val="true"/>
        </w:rPr>
        <w:t>.</w:t>
      </w:r>
    </w:p>
  </w:footnote>
  <w:footnote w:id="11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לא נראה להביא ראיה ממה שרק אומר</w:t>
      </w:r>
      <w:r>
        <w:rPr>
          <w:rFonts w:cs="Noto Rashi Hebrew"/>
          <w:rtl w:val="true"/>
        </w:rPr>
        <w:t>, “</w:t>
      </w:r>
      <w:r>
        <w:rPr>
          <w:rFonts w:cs="Noto Rashi Hebrew"/>
          <w:rtl w:val="true"/>
        </w:rPr>
        <w:t>קוראים</w:t>
      </w:r>
      <w:r>
        <w:rPr>
          <w:rFonts w:cs="Noto Rashi Hebrew"/>
          <w:rtl w:val="true"/>
        </w:rPr>
        <w:t xml:space="preserve">,” </w:t>
      </w:r>
      <w:r>
        <w:rPr>
          <w:rFonts w:cs="Noto Rashi Hebrew"/>
          <w:rtl w:val="true"/>
        </w:rPr>
        <w:t>שכולו נקרא על שם עיקרו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שהוא קריאת שמע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גם יש לומר שנקט קריאת שמע לומר שאף בקריאת שמע לא צריך לרדת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אבל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יל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ד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שאולי היה לו לנקוט שניהם</w:t>
      </w:r>
      <w:r>
        <w:rPr>
          <w:rFonts w:cs="Noto Rashi Hebrew"/>
          <w:rtl w:val="true"/>
        </w:rPr>
        <w:t xml:space="preserve">. </w:t>
      </w:r>
      <w:r>
        <w:rPr>
          <w:rFonts w:cs="Noto Rashi Hebrew"/>
          <w:rtl w:val="true"/>
        </w:rPr>
        <w:t>אז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נראה שדחיה ראשונה יותר נכונה</w:t>
      </w:r>
      <w:r>
        <w:rPr>
          <w:rFonts w:cs="Noto Rashi Hebrew"/>
          <w:rtl w:val="true"/>
        </w:rPr>
        <w:t>.</w:t>
      </w:r>
    </w:p>
  </w:footnote>
  <w:footnote w:id="12">
    <w:p>
      <w:pPr>
        <w:pStyle w:val="FootnoteText"/>
        <w:rPr>
          <w:rFonts w:cs="Noto Rashi Hebrew"/>
        </w:rPr>
      </w:pPr>
      <w:r>
        <w:rPr>
          <w:rStyle w:val="FootnoteCharacters"/>
        </w:rPr>
        <w:footnoteRef/>
      </w:r>
      <w:r>
        <w:rPr>
          <w:rFonts w:cs="Noto Rashi Hebrew"/>
          <w:rtl w:val="true"/>
        </w:rPr>
        <w:tab/>
      </w:r>
      <w:r>
        <w:rPr>
          <w:rFonts w:cs="Noto Rashi Hebrew"/>
          <w:rtl w:val="true"/>
        </w:rPr>
        <w:t>רואים שהיה רב ממה שהיו לו תלמידים</w:t>
      </w:r>
      <w:r>
        <w:rPr>
          <w:rFonts w:cs="Noto Rashi Hebrew"/>
          <w:rtl w:val="true"/>
        </w:rPr>
        <w:t>. (</w:t>
      </w:r>
      <w:r>
        <w:rPr>
          <w:rFonts w:cs="Noto Rashi Hebrew"/>
          <w:rtl w:val="true"/>
        </w:rPr>
        <w:t>דחוק לומר שתלמידים שלו שאלו לאחר זמן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שמשמע ששאלו לו אז</w:t>
      </w:r>
      <w:r>
        <w:rPr>
          <w:rFonts w:cs="Noto Rashi Hebrew"/>
          <w:rtl w:val="true"/>
        </w:rPr>
        <w:t xml:space="preserve">.) </w:t>
      </w:r>
      <w:r>
        <w:rPr>
          <w:rFonts w:cs="Noto Rashi Hebrew"/>
          <w:rtl w:val="true"/>
        </w:rPr>
        <w:t xml:space="preserve">רואים שהיה נשיא ממה שהמשנה קורא לו 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רבן גמליאל</w:t>
      </w:r>
      <w:r>
        <w:rPr>
          <w:rFonts w:cs="Noto Rashi Hebrew"/>
          <w:rtl w:val="true"/>
        </w:rPr>
        <w:t xml:space="preserve">.” </w:t>
      </w:r>
      <w:r>
        <w:rPr>
          <w:rFonts w:cs="Noto Rashi Hebrew"/>
          <w:rtl w:val="true"/>
        </w:rPr>
        <w:t>אבל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>יש לדון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שיש לדחות שקרא לו כן על שם עתיד </w:t>
      </w:r>
      <w:r>
        <w:rPr>
          <w:rFonts w:cs="Noto Rashi Hebrew"/>
          <w:rtl w:val="true"/>
        </w:rPr>
        <w:t>(</w:t>
      </w:r>
      <w:r>
        <w:rPr>
          <w:rFonts w:cs="Noto Rashi Hebrew"/>
          <w:rtl w:val="true"/>
        </w:rPr>
        <w:t>דהיינו</w:t>
      </w:r>
      <w:r>
        <w:rPr>
          <w:rFonts w:cs="Noto Rashi Hebrew"/>
          <w:rtl w:val="true"/>
        </w:rPr>
        <w:t xml:space="preserve">, </w:t>
      </w:r>
      <w:r>
        <w:rPr>
          <w:rFonts w:cs="Noto Rashi Hebrew"/>
          <w:rtl w:val="true"/>
        </w:rPr>
        <w:t xml:space="preserve">שהתנא חי אחרי שכבר נקרא </w:t>
      </w:r>
      <w:r>
        <w:rPr>
          <w:rFonts w:cs="Noto Rashi Hebrew"/>
          <w:rtl w:val="true"/>
        </w:rPr>
        <w:t>"</w:t>
      </w:r>
      <w:r>
        <w:rPr>
          <w:rFonts w:cs="Noto Rashi Hebrew"/>
          <w:rtl w:val="true"/>
        </w:rPr>
        <w:t>רבן גמליאל</w:t>
      </w:r>
      <w:r>
        <w:rPr>
          <w:rFonts w:cs="Noto Rashi Hebrew"/>
          <w:rtl w:val="true"/>
        </w:rPr>
        <w:t xml:space="preserve">,” </w:t>
      </w:r>
      <w:r>
        <w:rPr>
          <w:rFonts w:cs="Noto Rashi Hebrew"/>
          <w:rtl w:val="true"/>
        </w:rPr>
        <w:t>ועל שם כך קרא לו כן</w:t>
      </w:r>
      <w:r>
        <w:rPr>
          <w:rFonts w:cs="Noto Rashi Hebrew"/>
          <w:rtl w:val="true"/>
        </w:rPr>
        <w:t>.)</w:t>
      </w:r>
    </w:p>
  </w:footnote>
  <w:footnote w:id="13">
    <w:p>
      <w:pPr>
        <w:pStyle w:val="FootnoteText"/>
        <w:rPr>
          <w:rFonts w:cs="Noto Rashi Hebrew"/>
          <w:sz w:val="20"/>
          <w:szCs w:val="20"/>
        </w:rPr>
      </w:pPr>
      <w:r>
        <w:rPr>
          <w:rStyle w:val="FootnoteCharacters"/>
        </w:rPr>
        <w:footnoteRef/>
      </w:r>
      <w:r>
        <w:rPr>
          <w:rFonts w:cs="Noto Rashi Hebrew"/>
          <w:sz w:val="20"/>
          <w:szCs w:val="20"/>
          <w:rtl w:val="true"/>
        </w:rPr>
        <w:tab/>
      </w:r>
      <w:r>
        <w:rPr>
          <w:rFonts w:cs="Noto Rashi Hebrew"/>
          <w:sz w:val="20"/>
          <w:sz w:val="20"/>
          <w:szCs w:val="20"/>
          <w:rtl w:val="true"/>
        </w:rPr>
        <w:t>יש להעיר שלא צריך להיות שלא טרוד עוד</w:t>
      </w:r>
      <w:r>
        <w:rPr>
          <w:rFonts w:cs="Noto Rashi Hebrew"/>
          <w:sz w:val="20"/>
          <w:szCs w:val="20"/>
          <w:rtl w:val="true"/>
        </w:rPr>
        <w:t xml:space="preserve">, </w:t>
      </w:r>
      <w:r>
        <w:rPr>
          <w:rFonts w:cs="Noto Rashi Hebrew"/>
          <w:sz w:val="20"/>
          <w:sz w:val="20"/>
          <w:szCs w:val="20"/>
          <w:rtl w:val="true"/>
        </w:rPr>
        <w:t>אלא לא רצתה תורה לפטור אותו</w:t>
      </w:r>
      <w:r>
        <w:rPr>
          <w:rFonts w:cs="Noto Rashi Hebrew"/>
          <w:sz w:val="20"/>
          <w:szCs w:val="20"/>
          <w:rtl w:val="true"/>
        </w:rPr>
        <w:t xml:space="preserve">, </w:t>
      </w:r>
      <w:r>
        <w:rPr>
          <w:rFonts w:cs="Noto Rashi Hebrew"/>
          <w:sz w:val="20"/>
          <w:sz w:val="20"/>
          <w:szCs w:val="20"/>
          <w:rtl w:val="true"/>
        </w:rPr>
        <w:t>שאז לעולם יהיה פטור</w:t>
      </w:r>
      <w:r>
        <w:rPr>
          <w:rFonts w:cs="Noto Rashi Hebrew"/>
          <w:sz w:val="20"/>
          <w:szCs w:val="20"/>
          <w:rtl w:val="true"/>
        </w:rPr>
        <w:t xml:space="preserve">. </w:t>
      </w:r>
      <w:r>
        <w:rPr>
          <w:rFonts w:cs="Noto Rashi Hebrew"/>
          <w:sz w:val="20"/>
          <w:sz w:val="20"/>
          <w:szCs w:val="20"/>
          <w:rtl w:val="true"/>
        </w:rPr>
        <w:t>אז</w:t>
      </w:r>
      <w:r>
        <w:rPr>
          <w:rFonts w:cs="Noto Rashi Hebrew"/>
          <w:sz w:val="20"/>
          <w:szCs w:val="20"/>
          <w:rtl w:val="true"/>
        </w:rPr>
        <w:t xml:space="preserve">, </w:t>
      </w:r>
      <w:r>
        <w:rPr>
          <w:rFonts w:cs="Noto Rashi Hebrew"/>
          <w:sz w:val="20"/>
          <w:sz w:val="20"/>
          <w:szCs w:val="20"/>
          <w:rtl w:val="true"/>
        </w:rPr>
        <w:t>כיון שאינו כל כך טרוד</w:t>
      </w:r>
      <w:r>
        <w:rPr>
          <w:rFonts w:cs="Noto Rashi Hebrew"/>
          <w:sz w:val="20"/>
          <w:szCs w:val="20"/>
          <w:rtl w:val="true"/>
        </w:rPr>
        <w:t xml:space="preserve">, </w:t>
      </w:r>
      <w:r>
        <w:rPr>
          <w:rFonts w:cs="Noto Rashi Hebrew"/>
          <w:sz w:val="20"/>
          <w:sz w:val="20"/>
          <w:szCs w:val="20"/>
          <w:rtl w:val="true"/>
        </w:rPr>
        <w:t>חייב</w:t>
      </w:r>
      <w:r>
        <w:rPr>
          <w:rFonts w:cs="Noto Rashi Hebrew"/>
          <w:sz w:val="20"/>
          <w:szCs w:val="20"/>
          <w:rtl w:val="true"/>
        </w:rPr>
        <w:t xml:space="preserve">. </w:t>
      </w:r>
      <w:r>
        <w:rPr>
          <w:rFonts w:cs="Noto Rashi Hebrew"/>
          <w:sz w:val="20"/>
          <w:sz w:val="20"/>
          <w:szCs w:val="20"/>
          <w:rtl w:val="true"/>
        </w:rPr>
        <w:t>ותו</w:t>
      </w:r>
      <w:r>
        <w:rPr>
          <w:rFonts w:cs="Noto Rashi Hebrew"/>
          <w:sz w:val="20"/>
          <w:szCs w:val="20"/>
          <w:rtl w:val="true"/>
        </w:rPr>
        <w:t>"</w:t>
      </w:r>
      <w:r>
        <w:rPr>
          <w:rFonts w:cs="Noto Rashi Hebrew"/>
          <w:sz w:val="20"/>
          <w:sz w:val="20"/>
          <w:szCs w:val="20"/>
          <w:rtl w:val="true"/>
        </w:rPr>
        <w:t>ת</w:t>
      </w:r>
      <w:r>
        <w:rPr>
          <w:rFonts w:cs="Noto Rashi Hebrew"/>
          <w:sz w:val="20"/>
          <w:szCs w:val="20"/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78"/>
        </w:tabs>
        <w:ind w:left="778" w:hanging="360"/>
      </w:pPr>
      <w:rPr/>
    </w:lvl>
    <w:lvl w:ilvl="1">
      <w:start w:val="1"/>
      <w:numFmt w:val="decimal"/>
      <w:lvlText w:val="%2."/>
      <w:lvlJc w:val="right"/>
      <w:pPr>
        <w:tabs>
          <w:tab w:val="num" w:pos="1138"/>
        </w:tabs>
        <w:ind w:left="1138" w:hanging="360"/>
      </w:pPr>
      <w:rPr/>
    </w:lvl>
    <w:lvl w:ilvl="2">
      <w:start w:val="1"/>
      <w:numFmt w:val="decimal"/>
      <w:lvlText w:val="%3."/>
      <w:lvlJc w:val="right"/>
      <w:pPr>
        <w:tabs>
          <w:tab w:val="num" w:pos="1498"/>
        </w:tabs>
        <w:ind w:left="1498" w:hanging="360"/>
      </w:pPr>
      <w:rPr/>
    </w:lvl>
    <w:lvl w:ilvl="3">
      <w:start w:val="1"/>
      <w:numFmt w:val="decimal"/>
      <w:lvlText w:val="%4."/>
      <w:lvlJc w:val="right"/>
      <w:pPr>
        <w:tabs>
          <w:tab w:val="num" w:pos="1858"/>
        </w:tabs>
        <w:ind w:left="1858" w:hanging="360"/>
      </w:pPr>
      <w:rPr/>
    </w:lvl>
    <w:lvl w:ilvl="4">
      <w:start w:val="1"/>
      <w:numFmt w:val="decimal"/>
      <w:lvlText w:val="%5."/>
      <w:lvlJc w:val="right"/>
      <w:pPr>
        <w:tabs>
          <w:tab w:val="num" w:pos="2218"/>
        </w:tabs>
        <w:ind w:left="2218" w:hanging="360"/>
      </w:pPr>
      <w:rPr/>
    </w:lvl>
    <w:lvl w:ilvl="5">
      <w:start w:val="1"/>
      <w:numFmt w:val="decimal"/>
      <w:lvlText w:val="%6."/>
      <w:lvlJc w:val="right"/>
      <w:pPr>
        <w:tabs>
          <w:tab w:val="num" w:pos="2578"/>
        </w:tabs>
        <w:ind w:left="2578" w:hanging="360"/>
      </w:pPr>
      <w:rPr/>
    </w:lvl>
    <w:lvl w:ilvl="6">
      <w:start w:val="1"/>
      <w:numFmt w:val="decimal"/>
      <w:lvlText w:val="%7."/>
      <w:lvlJc w:val="right"/>
      <w:pPr>
        <w:tabs>
          <w:tab w:val="num" w:pos="2938"/>
        </w:tabs>
        <w:ind w:left="2938" w:hanging="360"/>
      </w:pPr>
      <w:rPr/>
    </w:lvl>
    <w:lvl w:ilvl="7">
      <w:start w:val="1"/>
      <w:numFmt w:val="decimal"/>
      <w:lvlText w:val="%8."/>
      <w:lvlJc w:val="right"/>
      <w:pPr>
        <w:tabs>
          <w:tab w:val="num" w:pos="3298"/>
        </w:tabs>
        <w:ind w:left="3298" w:hanging="360"/>
      </w:pPr>
      <w:rPr/>
    </w:lvl>
    <w:lvl w:ilvl="8">
      <w:start w:val="1"/>
      <w:numFmt w:val="decimal"/>
      <w:lvlText w:val="%9."/>
      <w:lvlJc w:val="right"/>
      <w:pPr>
        <w:tabs>
          <w:tab w:val="num" w:pos="3658"/>
        </w:tabs>
        <w:ind w:left="3658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Unifont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Unifont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bidi w:val="1"/>
      <w:spacing w:before="58" w:after="58"/>
      <w:ind w:left="58"/>
      <w:jc w:val="left"/>
      <w:outlineLvl w:val="0"/>
    </w:pPr>
    <w:rPr>
      <w:rFonts w:cs="DejaVu Serif"/>
      <w:b/>
      <w:bCs/>
      <w:sz w:val="24"/>
      <w:szCs w:val="24"/>
    </w:rPr>
  </w:style>
  <w:style w:type="paragraph" w:styleId="Heading2">
    <w:name w:val="heading 2"/>
    <w:basedOn w:val="Heading"/>
    <w:next w:val="BodyText"/>
    <w:qFormat/>
    <w:pPr>
      <w:numPr>
        <w:ilvl w:val="1"/>
        <w:numId w:val="2"/>
      </w:numPr>
      <w:bidi w:val="1"/>
      <w:spacing w:before="58" w:after="58"/>
      <w:jc w:val="left"/>
      <w:outlineLvl w:val="1"/>
    </w:pPr>
    <w:rPr>
      <w:rFonts w:cs="DejaVu Serif"/>
      <w:b/>
      <w:bCs/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TextChar">
    <w:name w:val="Footnote Text Char"/>
    <w:qFormat/>
    <w:rPr>
      <w:sz w:val="20"/>
      <w:szCs w:val="20"/>
    </w:rPr>
  </w:style>
  <w:style w:type="character" w:styleId="Heading2Char">
    <w:name w:val="Heading 2 Char"/>
    <w:qFormat/>
    <w:rPr>
      <w:rFonts w:ascii="Calibri Light" w:hAnsi="Calibri Light" w:eastAsia="Times New Roman"/>
      <w:b/>
      <w:bCs/>
      <w:szCs w:val="28"/>
    </w:rPr>
  </w:style>
  <w:style w:type="character" w:styleId="BodyTextChar">
    <w:name w:val="Body Text Char"/>
    <w:qFormat/>
    <w:rPr/>
  </w:style>
  <w:style w:type="character" w:styleId="Heading1Char">
    <w:name w:val="Heading 1 Char"/>
    <w:qFormat/>
    <w:rPr>
      <w:rFonts w:ascii="Shofar" w:hAnsi="Shofar" w:eastAsia="Times New Roman"/>
      <w:b/>
      <w:bCs/>
      <w:sz w:val="28"/>
      <w:szCs w:val="28"/>
    </w:rPr>
  </w:style>
  <w:style w:type="character" w:styleId="EndnoteReference1">
    <w:name w:val="Endnote Reference1"/>
    <w:qFormat/>
    <w:rPr>
      <w:vertAlign w:val="superscript"/>
    </w:rPr>
  </w:style>
  <w:style w:type="character" w:styleId="FootnoteReference1">
    <w:name w:val="Footnote Reference1"/>
    <w:qFormat/>
    <w:rPr>
      <w:vertAlign w:val="superscript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bidi w:val="1"/>
      <w:spacing w:lineRule="auto" w:line="240" w:before="58" w:after="86"/>
      <w:jc w:val="left"/>
    </w:pPr>
    <w:rPr>
      <w:rFonts w:eastAsia="DejaVu Serif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uppressLineNumbers/>
      <w:bidi w:val="1"/>
      <w:ind w:hanging="340" w:left="340"/>
      <w:jc w:val="left"/>
    </w:pPr>
    <w:rPr>
      <w:rFonts w:eastAsia="Noto Rashi Hebrew"/>
      <w:sz w:val="20"/>
      <w:szCs w:val="20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282</TotalTime>
  <Application>LibreOffice/25.8.2.2$Linux_X86_64 LibreOffice_project/580$Build-2</Application>
  <AppVersion>15.0000</AppVersion>
  <Pages>7</Pages>
  <Words>3863</Words>
  <Characters>15866</Characters>
  <CharactersWithSpaces>19632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2026-02-20T11:03:52Z</dcterms:created>
  <dc:creator/>
  <dc:description/>
  <dc:language>en-US</dc:language>
  <cp:lastModifiedBy/>
  <dcterms:modified xsi:type="dcterms:W3CDTF">2026-03-12T14:09:40Z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