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7EF46" w14:textId="77777777" w:rsidR="00D43134" w:rsidRDefault="00D43134">
      <w:pPr>
        <w:spacing w:before="280" w:after="280"/>
        <w:rPr>
          <w:rFonts w:cs="Gveret Levin AlefAlefAlef"/>
          <w:b/>
          <w:bCs/>
          <w:rtl/>
          <w:lang w:bidi="he-IL"/>
        </w:rPr>
      </w:pPr>
      <w:r>
        <w:rPr>
          <w:rFonts w:cs="Gveret Levin AlefAlefAlef" w:hint="cs"/>
          <w:b/>
          <w:bCs/>
          <w:rtl/>
          <w:lang w:bidi="he-IL"/>
        </w:rPr>
        <w:t>משנה:</w:t>
      </w:r>
    </w:p>
    <w:p w14:paraId="2BFE8102" w14:textId="304C4320" w:rsidR="006F5D1B" w:rsidRDefault="001C572B">
      <w:pPr>
        <w:spacing w:before="280" w:after="280"/>
        <w:rPr>
          <w:rFonts w:cs="Gveret Levin AlefAlefAlef"/>
          <w:b/>
          <w:bCs/>
        </w:rPr>
      </w:pPr>
      <w:r>
        <w:rPr>
          <w:rFonts w:cs="Gveret Levin AlefAlefAlef"/>
          <w:b/>
          <w:bCs/>
          <w:rtl/>
        </w:rPr>
        <w:t xml:space="preserve">חולקים </w:t>
      </w:r>
      <w:r>
        <w:rPr>
          <w:rFonts w:cs="Gveret Levin AlefAlefAlef"/>
          <w:b/>
          <w:bCs/>
          <w:rtl/>
          <w:lang w:bidi="he-IL"/>
        </w:rPr>
        <w:t xml:space="preserve">שמאי והלל באשה שבדקה ומצאה את עצמה נדה. שמאי אומר שלא מטמאה למפרע, והלל אומר שמטמאה למפרע. (חכמים גם חולקים, אבל עכשיו אין אנחנו צריכים שיטתם.) גמ' מבאר במה חולקים הלל ושמאי. </w:t>
      </w:r>
    </w:p>
    <w:p w14:paraId="1D120E85" w14:textId="77777777" w:rsidR="00D43134" w:rsidRDefault="00D43134">
      <w:pPr>
        <w:spacing w:before="280" w:after="280"/>
        <w:rPr>
          <w:rFonts w:cs="Gveret Levin AlefAlefAlef"/>
          <w:b/>
          <w:bCs/>
          <w:rtl/>
          <w:lang w:bidi="he-IL"/>
        </w:rPr>
      </w:pPr>
      <w:r>
        <w:rPr>
          <w:rFonts w:cs="Gveret Levin AlefAlefAlef" w:hint="cs"/>
          <w:b/>
          <w:bCs/>
          <w:rtl/>
          <w:lang w:bidi="he-IL"/>
        </w:rPr>
        <w:t>ביאור ראשון של גמ':</w:t>
      </w:r>
    </w:p>
    <w:p w14:paraId="5DA7ED89" w14:textId="7D28B0C2" w:rsidR="006F5D1B" w:rsidRPr="00D43134" w:rsidRDefault="001C572B">
      <w:pPr>
        <w:spacing w:before="280" w:after="280"/>
        <w:rPr>
          <w:rFonts w:cs="Gveret Levin AlefAlefAlef"/>
        </w:rPr>
      </w:pPr>
      <w:r w:rsidRPr="00D43134">
        <w:rPr>
          <w:rFonts w:cs="Gveret Levin AlefAlefAlef"/>
          <w:rtl/>
          <w:lang w:bidi="he-IL"/>
        </w:rPr>
        <w:t xml:space="preserve">ביאור ראשון של גמ' הוא ששמאי סובר שהיא טהורה כיון שמעמידים אשה על חזקתה. כיון שהיתה טהורה, מניחים שהיא עוד טהורה. הלל דוחה שלא מעמידים אותה על חזקתה כיון שיש ריעותא מגופה,שמגוף שלה רואה. </w:t>
      </w:r>
    </w:p>
    <w:p w14:paraId="0E50895F" w14:textId="77777777" w:rsidR="006F5D1B" w:rsidRDefault="001C572B">
      <w:pPr>
        <w:spacing w:before="280" w:after="280"/>
        <w:rPr>
          <w:rFonts w:cs="Gveret Levin AlefAlefAlef"/>
        </w:rPr>
      </w:pPr>
      <w:r>
        <w:rPr>
          <w:rFonts w:cs="Gveret Levin AlefAlefAlef"/>
          <w:rtl/>
          <w:lang w:bidi="he-IL"/>
        </w:rPr>
        <w:t>ביאור ריעותא מגופה- רש"י פי' שהלל דוחה שכיון שמועדת לראות דם מגוף שלה, אין בזה חזקה. במילים אחרים, חזקה רק אומר שדברים שלא כל כך מצויים לא קרים. אבל, דברים מצויים לא נדחים מחמת חזקה. (יש להוסיף על זהשכיון שהיא עומדת לראות, לא נוכל לומר שלא רואה, שיש לה כבר קצת שם של רואה. בכל כעןי זה, יש לדון אם חזקה נדחה או הותר.) לולי רש"י, לא הייתי מפרש כן, שלפי זה, לשון "ריעותא מגופא" ו"מגופה קחזיא" קשה, שמה שמגוף שלה רואה לא שייך. ויש להוסיף על רשי שיש לדון אם הסיבה שנדחה החזקה הוא שחזקה שעומד להתרע לא חזק או שחזקה לא יכול להגיד לנו שדבר מצוי לא יקרה. הנפ"מ יהיה אם יש חשש שנטמא באופפן שלא רגיל להיות נטמא. (ויש לדון, שאולי נאמר שיש לה חזקה שלא להיות טמאה בכעין זה. ותחשב.) גם יש לדון אם הסיבה שנדחה החזקה הוא שיודעים שדרך אשה לראות או מפני שחזקה זו- שכיון שהיא טהורה, נשארת טהורה- נדחה כבר לפני זמן.</w:t>
      </w:r>
    </w:p>
    <w:p w14:paraId="42B2CADE" w14:textId="5D5829EC" w:rsidR="006F5D1B" w:rsidRDefault="001C572B">
      <w:pPr>
        <w:spacing w:before="280" w:after="280"/>
        <w:rPr>
          <w:rFonts w:cs="Gveret Levin AlefAlefAlef"/>
          <w:rtl/>
          <w:lang w:bidi="he-IL"/>
        </w:rPr>
      </w:pPr>
      <w:r>
        <w:rPr>
          <w:rFonts w:cs="Gveret Levin AlefAlefAlef"/>
          <w:rtl/>
          <w:lang w:bidi="he-IL"/>
        </w:rPr>
        <w:t>גם אפשר לפרש שיש ריעותא על החזקה, שהחזקה אומר שלא רואה ולא טמאה, אבל עכשיו היא רואה והיא טמאה. כיון שחזקה נדחה, לא יכול לומר לנו כלום. יש לדון אם הענין הוא שאינו יותר טוב, על פי חזקה, לומר שראתה בזמן יותר מאוחר, או שכיון שרואים שחזקה זו נדחה, כל חזקה זו אין לה כוח. (לפי זה, אולי יש לפרש לשון הגוף. אילו היתה חזקה נדחית על דבר אחר, לא היתה נדחית על זה. אף שחזקה שאשה אחת לא ראתה נדחית, אולי חזקה שאשה אחרת קיימת. ותחשב.)</w:t>
      </w:r>
      <w:r w:rsidR="00DD38FA">
        <w:rPr>
          <w:rFonts w:cs="Gveret Levin AlefAlefAlef" w:hint="cs"/>
          <w:rtl/>
          <w:lang w:bidi="he-IL"/>
        </w:rPr>
        <w:t xml:space="preserve"> גם אפשר שרצה לומר שיש גם חזקה למפרע (שממה שטמאה עכשיו, תמיד היתה טמאה), וכל חזקה דוחה (עושה ריעותא) על חזקה אחרת.</w:t>
      </w:r>
    </w:p>
    <w:p w14:paraId="17935DC8" w14:textId="1394F556" w:rsidR="00DD38FA" w:rsidRDefault="00DD38FA">
      <w:pPr>
        <w:spacing w:before="280" w:after="280"/>
        <w:rPr>
          <w:rFonts w:cs="Gveret Levin AlefAlefAlef"/>
        </w:rPr>
      </w:pPr>
      <w:r>
        <w:rPr>
          <w:rFonts w:cs="Gveret Levin AlefAlefAlef" w:hint="cs"/>
          <w:rtl/>
          <w:lang w:bidi="he-IL"/>
        </w:rPr>
        <w:t>היה אפשר לפרש שהענין הוא שחזקה הוא ששם בא ממה שהיתה למה שהיא. הרי, שם שהיתה לה הוא "טהור ועומד להיות טמא," כיון שמגופה קחזיא, ואז אין שם כזה גורם שנניח שם טוהר לאחר זמן. אולי לזה צריך להיות בגוף שלה, כיון שרק אז הוא קרק' חשוב עד שנכנס לשם שלה. יש להוסיף על זה שאולי אינו רק מפני שעומד להשתנות, אלא שעומד להשתנות ולחזור למה שהיה. אז, אין לו שם חשוב בכלל. (עיין לקמן, שיהיה קשה לומר כן.)</w:t>
      </w:r>
    </w:p>
    <w:p w14:paraId="1399FACB" w14:textId="6990BD85" w:rsidR="00DD38FA" w:rsidRDefault="001C572B" w:rsidP="00DD38FA">
      <w:pPr>
        <w:spacing w:before="280" w:after="280"/>
        <w:rPr>
          <w:rFonts w:cs="Gveret Levin AlefAlefAlef"/>
          <w:lang w:bidi="he-IL"/>
        </w:rPr>
      </w:pPr>
      <w:r>
        <w:rPr>
          <w:rFonts w:cs="Gveret Levin AlefAlefAlef"/>
          <w:rtl/>
          <w:lang w:bidi="he-IL"/>
        </w:rPr>
        <w:t>קצת קשה למה לא אומרים שהוא ספק, והולכים בתר חזקת טהרה של מה שנגעה.</w:t>
      </w:r>
    </w:p>
    <w:p w14:paraId="65D73897" w14:textId="77777777" w:rsidR="006F5D1B" w:rsidRDefault="001C572B">
      <w:pPr>
        <w:spacing w:after="280"/>
        <w:rPr>
          <w:rFonts w:cs="Gveret Levin AlefAlefAlef"/>
        </w:rPr>
      </w:pPr>
      <w:r>
        <w:rPr>
          <w:rFonts w:cs="Gveret Levin AlefAlefAlef"/>
          <w:b/>
          <w:bCs/>
          <w:rtl/>
          <w:lang w:bidi="he-IL"/>
        </w:rPr>
        <w:lastRenderedPageBreak/>
        <w:t>מקשה גמ' למה חלוק הוא מדין מקוה. הרי, שנינו בבריי' שמקווה שמדד ונמצא חסר, כל טהרות שנעשו על גביו אינם טהורות (למפרע). הרי, רואים שכיון שמצאנו שנשתנה, אין חזקה אומרת לנו שנתשנה יותר מאוחר.</w:t>
      </w:r>
      <w:r>
        <w:rPr>
          <w:rStyle w:val="FootnoteReference"/>
          <w:rFonts w:cs="Gveret Levin AlefAlefAlef"/>
          <w:b/>
          <w:bCs/>
          <w:rtl/>
          <w:lang w:bidi="he-IL"/>
        </w:rPr>
        <w:footnoteReference w:id="1"/>
      </w:r>
      <w:r>
        <w:rPr>
          <w:rFonts w:cs="Gveret Levin AlefAlefAlef"/>
          <w:b/>
          <w:bCs/>
          <w:rtl/>
          <w:lang w:bidi="he-IL"/>
        </w:rPr>
        <w:t xml:space="preserve"> (לכאו’, ק"ק ל"ל הק’ שכאן אף אין דיחוי של הלל, שלא מצוי שיתחסר. ויל"ד, שאולי מצוי הוא.) תי' גמ' ששם יש לטובל חזקת טומאה (שהיה טמא קודם לכן) שדוחה חזקת טהרה של המקווה. אבל, כאן, אין למה שנוגעת חזקת טומאה קודם לכן, אלא, להיפך, יש להם חזקת טהרה קודם לכן. נמצא, אז, שבדרך כלל, חזקה אומר לנו שנשתנה בסוף, אלא אם כן יש חזקה נגד זה. מקשה גמ’ שנסמוך על חזקת המקווה (שהיתה כשרה). אז, יש חזקה שאומר לנו לטמא וחזקה שאומר לנו לטהר. אי אפשר לחלק, אז, על פי חזקות. קשה למה לא, שבנדה יש חזקת כשרות, וכאן אין שום חזקה. (עיין לקמן בגמ’, שיתרץ על פי זה. אבל, צריך ביאור למה אינו פשוט.) אז, תי’ גמ’ שבמקוה אין אף חזקה לטהר, אבל באשה יש חזקה לטהר. (לכאו’, אז, לא צריכים חזקת טומאה עוד, ולא משתמשים בה.) הסיבה שאין חזקה במקווה הוא שרואים שהוא חסר. כבר בארנו לעיל שני מהלכים למה זה דוחה חזקה. (אולי הוא שאין חזקה אומר שקרה דבר יותר מוקדם או שיש ריעותא בחזקה, שנדחה בה.) מק’ גמ’ שאז נאמר כן גם באשה. (לכאו’, שקלא וטריא זה קצת מוזר, שלכאו’ כשהקשה גמ’ ממקווה, ממה שלא רק הקשה איך אפשר שדין מקווה כן, רואים שחשב שאין חזקה מהני. אז, כשאומר כן עכשיו, הרי כבר ידע כן בתחילה. אשפר לומר שחוזר לקושיה וכופל אותו, ורצה לומר: אלא מאי, צריך לומר שהרי חסר לפניך, ואז אף כאן נאמר כן. ותחשב.) גמ’ דוחה ש"השתא הוא דחזאי.”</w:t>
      </w:r>
    </w:p>
    <w:p w14:paraId="0CA2E7C1" w14:textId="77777777" w:rsidR="006F5D1B" w:rsidRDefault="001C572B">
      <w:pPr>
        <w:spacing w:after="280"/>
        <w:rPr>
          <w:rFonts w:cs="Gveret Levin AlefAlefAlef"/>
        </w:rPr>
      </w:pPr>
      <w:r>
        <w:rPr>
          <w:rFonts w:cs="Gveret Levin AlefAlefAlef"/>
          <w:rtl/>
          <w:lang w:bidi="he-IL"/>
        </w:rPr>
        <w:t xml:space="preserve">ביאור השתא הוא דחזאי- לכאו’, כוונת הגמ’ הוא לומר שחזקה אומר לנו שיותר מסתבר שהשתא הוא שראתה, ולא קודם לכן. בנוט"ס שלנו על הנייר, בארנו צדדים למה. אם מק’ שיש ריעותא, אולי הדיחוי הוא שאין זה ריעותא (כיון שחזקה רק אומר לנו מה להניח כשלא נודע, והרי זה נודע, ועליו אין חזקה אומר לנו כלום, אף שהיה אומר אילו לא נודע) או שאין ריעותא בחזקה (שמה שלא תמיד אומר לנו האמת אינו סיבה להניח שבדר"כ לא אומר לנו האמת; יש להוסיף על זה שכיון שחזקה אינו סיבה ראשיאנאלי לומר לנו מה לחשוב, אלא איך יש לנהוג, אולי לא מסתבר בו ריעותא). </w:t>
      </w:r>
    </w:p>
    <w:p w14:paraId="6D68C517" w14:textId="77777777" w:rsidR="00193C3C" w:rsidRDefault="001C572B">
      <w:pPr>
        <w:spacing w:after="280"/>
        <w:rPr>
          <w:rFonts w:cs="Gveret Levin AlefAlefAlef"/>
          <w:b/>
          <w:bCs/>
          <w:rtl/>
          <w:lang w:bidi="he-IL"/>
        </w:rPr>
      </w:pPr>
      <w:r>
        <w:rPr>
          <w:rFonts w:cs="Gveret Levin AlefAlefAlef"/>
          <w:b/>
          <w:bCs/>
          <w:rtl/>
          <w:lang w:bidi="he-IL"/>
        </w:rPr>
        <w:t>אז, מקשה גמ’ שנאמר כן גם במקווה, שחזקה יאמר לנו שרק השתא הוא חסר, אבל לפני כן, היה טהור.</w:t>
      </w:r>
    </w:p>
    <w:p w14:paraId="194E9E38" w14:textId="137BF906" w:rsidR="00193C3C" w:rsidRPr="00193C3C" w:rsidRDefault="00193C3C">
      <w:pPr>
        <w:spacing w:after="280"/>
        <w:rPr>
          <w:rFonts w:cs="Gveret Levin AlefAlefAlef"/>
          <w:rtl/>
          <w:lang w:bidi="he-IL"/>
        </w:rPr>
      </w:pPr>
      <w:r>
        <w:rPr>
          <w:rFonts w:cs="Gveret Levin AlefAlefAlef" w:hint="cs"/>
          <w:rtl/>
          <w:lang w:bidi="he-IL"/>
        </w:rPr>
        <w:t>צריך לומר שמקווה גם כן יש לה ריעותא מגופה, שאם לא כן, לא יוכל גמ' להקשות. יש לדון בזה.</w:t>
      </w:r>
    </w:p>
    <w:p w14:paraId="60A183FE" w14:textId="11EACC93" w:rsidR="006F5D1B" w:rsidRDefault="001C572B">
      <w:pPr>
        <w:spacing w:after="280"/>
        <w:rPr>
          <w:rFonts w:cs="Gveret Levin AlefAlefAlef"/>
        </w:rPr>
      </w:pPr>
      <w:r>
        <w:rPr>
          <w:rFonts w:cs="Gveret Levin AlefAlefAlef"/>
          <w:b/>
          <w:bCs/>
          <w:rtl/>
          <w:lang w:bidi="he-IL"/>
        </w:rPr>
        <w:t xml:space="preserve">דחה גמ’ שבמקווה יש לומר שחסר ואתא וחסר ואתא. </w:t>
      </w:r>
    </w:p>
    <w:p w14:paraId="2F519FE9" w14:textId="77777777" w:rsidR="006F5D1B" w:rsidRDefault="001C572B">
      <w:pPr>
        <w:spacing w:after="280"/>
        <w:rPr>
          <w:rFonts w:cs="Gveret Levin AlefAlefAlef"/>
        </w:rPr>
      </w:pPr>
      <w:r>
        <w:rPr>
          <w:rFonts w:cs="Gveret Levin AlefAlefAlef"/>
          <w:rtl/>
          <w:lang w:bidi="he-IL"/>
        </w:rPr>
        <w:t xml:space="preserve">ביאור חסר ואתא- יש לדון אם כוונת הגמרא הוא שאפשר להיות כן או שמניחים כן. לשונו משמע כראשון. לראשון, נראה שהכוונה הוא שכיון שאנחנו יודעים שעכשיו הוא חסר, ויש צד לחשוב שחסר ואתא, יש צד לחשוב שלא היה כשרה לפני שעה, שהוא בכלל זמן של חסר ואתא. אז, לא מניחים עליו טוהר, שאינו בכלל החזקה, שדבר נשתנה בין זה לזמן טהרה, </w:t>
      </w:r>
      <w:r>
        <w:rPr>
          <w:rFonts w:cs="Gveret Levin AlefAlefAlef"/>
          <w:rtl/>
          <w:lang w:bidi="he-IL"/>
        </w:rPr>
        <w:lastRenderedPageBreak/>
        <w:t>והוא שיש סיבה לחשוב בו חסרון. אבל, אם רצה לומר כן, קשה, שתמיד יש סיבה לחשוב על אותו דבר שאינו שווה, שהרי נמצא ששינה, ואולי קרה באותו זמן. במילים אחרים, אותו זמן הוא תמיד שרוי בספק, ואז אין זה חילוק. אז, נראה צד אחר, והוא שאולי כוונתו לומר שחזקה יאמר שמסתבר ששינוי גדול לא קרה (שחזקה אומר לנו ששינוי לא קרה, ויותר קל להניח שינוי קטן משינוי גדול; זה מניח שגם יותר קל להניח הרבה שינויים קטנים מלשהניח שינוי אחד גדול), וכיון שאפשר שהיה הולך ומתמעט, כך נניח. אם נניח כן, הרי נפסל לפני כן. יש להעיר שעדיין לא נניח שנפסל הרבה זמן קודם זה; למשל, אם חסר קורטוב, רק נניח פסול על שעה לפני זה. (אולי לקמן נדחה את זה.) אם נאמר כצד שני, אפשר לומר כעין צד ראשון, אלא שצריך צירוף בין מה שחזקה קצת מוכיח כן, וכן מסתבר גם כן. גם אפשר לומר כעין צד ראשון שבצד ראשון, והוא שיש הוכחה נגד החזקה בזמנים שבו היה פסול אם חזא ואתא. יש להויסיף על זה שאולי על פי זה נתרע החזקה. אפשר לומר שכל זמן שלא נאמר כחזקה, או על כל פנים יש סיבה חזקה שלא לומר כחזקה, איתרע החזקה, וכולו בטל. וא"ת אם כן יתרע ממה שראינו שחסר. וי"ל שמה שעכשיו נפסל אין בו סיבה של חזקה, שעל זמן זה יש וודאי. רק יש סיבה של חזקה על זמן ספק. אבל, לפעמים החזקה נדחה מחמת הוכחה, ושם יש ריעותא לחזקה. ותחשב. (ע’ ברש"י שמבאר ריעותא של חזקה; נראה שצריך לומר שאחרי שיש זמן שעליו יש סיבת חזקה שבו חזקה נדחה או ניתרע, תמיד נתרע, כמו שכתבנו.) גם אפשר לפרש, לפי צד שני, שכוונת הגמ’ הוא לומר שבאשה, אין הוכחה שנטמאה קודם עכשיו (זמן שמצאה את עצמה טמאה), אבל במקווה, יש הוכחה שנפסל קודם לכן, שרואים אותו עכשיו, ולא רואים יציאת המים. (יש לדון, שלא תמיד רואים ראיית מים.) קשה מה לנו בזה; צריך לחלק, כעין מה שכתבנו לעיל, בין זמן שעינינו רואות את הדין שלה, שאז אין סיבה לחזקה, לזמן שיש לנו ראיה ברורה, שאז חזקתה נדחית. גם אפשר לפרש, לפי צד שני, שכיון שחזקה זה גרם לחשוב מה שאינו נכון, איתרע החזקה. אבל, עכשיו, לא גרם לנו לחשוב מה שאינו נכון, שרואים בעינינו. אז, הענין הוא, לכאו’, שמעשה של סמיכה על חזקה איתרע, שנמצא שלא היה טוב. ותחשב. ויש להעיר שאולי צדדים אלו אפשר גם לצד ראשון, שאולי ספק חזקה הוא, ואולי זה לא מספיק לעשות היתר. ותחשב.</w:t>
      </w:r>
    </w:p>
    <w:p w14:paraId="6970720D" w14:textId="77777777" w:rsidR="006F5D1B" w:rsidRDefault="001C572B">
      <w:pPr>
        <w:spacing w:after="280"/>
        <w:rPr>
          <w:rFonts w:cs="Gveret Levin AlefAlefAlef"/>
          <w:b/>
          <w:bCs/>
        </w:rPr>
      </w:pPr>
      <w:r>
        <w:rPr>
          <w:rFonts w:cs="Gveret Levin AlefAlefAlef"/>
          <w:b/>
          <w:bCs/>
          <w:rtl/>
          <w:lang w:bidi="he-IL"/>
        </w:rPr>
        <w:t>מקשה גמ’ שגם באשה יש לומר כן, שדם יכול לצאת ממנה מעט מעט. אז, צריך לומר שעדיין יש חזקה, אף שנוכל לדחות כן. לצד ראשון, הוא יהיה שאין חזקה אומר לנו להניח הרבה שינויים קטנים, ולצד שני הוא אולי שאינו יותר מסתבר להניח שכן קרה או שזה לא עושה ריעותא. ותחשב.</w:t>
      </w:r>
      <w:r>
        <w:rPr>
          <w:rStyle w:val="FootnoteReference"/>
          <w:rFonts w:cs="Gveret Levin AlefAlefAlef"/>
          <w:b/>
          <w:bCs/>
          <w:rtl/>
          <w:lang w:bidi="he-IL"/>
        </w:rPr>
        <w:footnoteReference w:id="2"/>
      </w:r>
    </w:p>
    <w:p w14:paraId="19D456B5" w14:textId="77777777" w:rsidR="006F5D1B" w:rsidRDefault="001C572B">
      <w:pPr>
        <w:spacing w:after="280"/>
        <w:rPr>
          <w:rFonts w:cs="Gveret Levin AlefAlefAlef"/>
          <w:b/>
          <w:bCs/>
        </w:rPr>
      </w:pPr>
      <w:r>
        <w:rPr>
          <w:rFonts w:cs="Gveret Levin AlefAlefAlef"/>
          <w:b/>
          <w:bCs/>
          <w:rtl/>
          <w:lang w:bidi="he-IL"/>
        </w:rPr>
        <w:t xml:space="preserve">אז, תי’ גמ’ שהחי’ הוא שבאשה יש אחד לריעותא ובמקווה יש שנים לריעותא. הכוונה הוא שבמקווה, יש חזקת טומאה לטמא, ואין כל כך חזקת טהרה למקווה. אז, הטמאים נשארים טמא. (אף שיש חזקת טהרה למה שנוגעים, כיון שיש חזקת טומאה להם, מטמאים אותה. ותחשב למה זה כן. נראה שהוא מפני שדין שלהם בא ראשון בחשבון, שכשדנים בדין הטהרות, צריכים לשאול מה נגעו, ונשוב שנגעו באלו הטמאים, ואז צריכים לשאול מה דינם. אף שגם טמאים סומכים על דין מקווה, צריך לומר שאף שדין מקווה אז מכריע יותר, חזקה של דין טמאים עדיין קובע קצת, נגד אותו חזקה גרועה. גם יש לומר שכיון שאין פסק על מקווה (שאין נפ"מ על מקוה, אלא על מה שטבל בו), אין דין מקווה יכול לסתור דין טמא, מה שאין כן דין טמא יכול לסתור דין טהור. ויש לדון, אז, מה יקרה אם כבר מת הטמא. </w:t>
      </w:r>
      <w:r>
        <w:rPr>
          <w:rFonts w:cs="Gveret Levin AlefAlefAlef"/>
          <w:b/>
          <w:bCs/>
          <w:rtl/>
          <w:lang w:bidi="he-IL"/>
        </w:rPr>
        <w:lastRenderedPageBreak/>
        <w:t>וי"ל שהיה לו נפ"מ לפני כן.) אבל, באשה אינו כן, שיש רק חזקה שנתרע עליה. יש להעיר שיש גם כן חזקת טהרה של מה שנגעה. לפי שמאי, מובן. אבל, לפי הלל, צריך ביאור למה לא נטהר מחמת אותו חזקת טהרה. צריך לומר כעין מה שכתבנו, ולומר שכיון שתלוי בדין שלה, והיא אין לה חזקה, גם הטהרות הם במצב ספק. (יש להוסיף שאולי קשה למשוך אחרי חזקת טהרה, שהרי אין טהרה דבר, אלא הוא שאין דבר, אין טומאה. ויש לדון בזה, שטומאה הוא קרק’, ויש לדון למה מה שיש לו קרק’ הוא יותר חזק ממה שאין לו קרק’. ותחשב.) גם אפשר לומר שמה שנגע בטמא (או במי שאולי טמא) אין לו חזקה, כיון שנשתנה. אבל, אז צריך ביאור למה לא נאמר שאין לטמא חזקה, כיון שאולי טבל. צריך לומר שאחד הוא קרק’ יותר חשוב, וזה לא כל כך מסתבר.</w:t>
      </w:r>
      <w:r>
        <w:rPr>
          <w:rStyle w:val="FootnoteReference"/>
          <w:rFonts w:cs="Gveret Levin AlefAlefAlef"/>
          <w:b/>
          <w:bCs/>
          <w:rtl/>
          <w:lang w:bidi="he-IL"/>
        </w:rPr>
        <w:footnoteReference w:id="3"/>
      </w:r>
    </w:p>
    <w:p w14:paraId="020F2C82" w14:textId="77777777" w:rsidR="006F5D1B" w:rsidRDefault="001C572B">
      <w:pPr>
        <w:spacing w:after="280"/>
        <w:rPr>
          <w:rFonts w:cs="Gveret Levin AlefAlefAlef"/>
          <w:b/>
          <w:bCs/>
          <w:lang w:bidi="he-IL"/>
        </w:rPr>
      </w:pPr>
      <w:r>
        <w:rPr>
          <w:rFonts w:cs="Gveret Levin AlefAlefAlef"/>
          <w:b/>
          <w:bCs/>
          <w:rtl/>
          <w:lang w:bidi="he-IL"/>
        </w:rPr>
        <w:t>ממשיך גמ’ ומקשה ציור אחר. אם אדם היה מפריש תרומה מן חבית, ובדק ומצא שנעשה חומץ (ואינו ראוי להפרשת תרומה), שלש ימים ודאי ושאר ימים הו א ספק. חלקו אמוראים בביאור זה, אבל יוצא שאם נודע שהוא יין, כשר, אם נודע שהוא חמץ, פסול, ואם נודע שהוא יין, כשר, ואם לא נודע, ספק הוא. הרי, נאמר שיש לחבית חזקת יין, ואז במצב ספק, נניח שהוא עוד יין. תי’ גמ’ שכאן נניח שהטבל הוא עוד טבל, ולכן לא מניחים שתקן אותו. (לכאו’, גם יש להניח שמה שהוא בתוך החבית אינו תרומה, שיש לו חזקה ג"כ. אז, נצטרך להניח שחומץ הוא.) (יש להוסיף, וזה כמו נקודה אחרת שהערנו, שכאן יש דין שנוגע לחבית. אז, לא כל כך קל להבין למה הולכים בתר דין של הטבל.) מק’ ל"ל מוקמים יין על חזקתו, לומר שהוא עוד יין. תי’ שהרי נחמץ לפניך, ודחה שהרי אשה ראתה דם לפניך. דוחה שהשתא ראתה, ודחה שהשתא נעשה חומץ. דחה שחומץ נתחמץ ואתא (כאן, יותר קשה לומר שיש הוכחה שהיה חומץ שעה אחת קודם לכן. ויש לדון, שאולי אפשר להבחין תחילת חמיוץ שלו. גם אפשר שכדי לבדוק אותו, צריך לפתוח אותו, ולא נעשה חומץ כשהוא פתוח. לא נראה שזה נכון במציאות, שנעשה חומץ מחמת באקטירי"א</w:t>
      </w:r>
      <w:r>
        <w:rPr>
          <w:rStyle w:val="FootnoteReference"/>
          <w:rFonts w:cs="Gveret Levin AlefAlefAlef"/>
          <w:b/>
          <w:bCs/>
          <w:rtl/>
          <w:lang w:bidi="he-IL"/>
        </w:rPr>
        <w:footnoteReference w:id="4"/>
      </w:r>
      <w:r>
        <w:rPr>
          <w:rFonts w:cs="Gveret Levin AlefAlefAlef"/>
          <w:b/>
          <w:bCs/>
          <w:rtl/>
          <w:lang w:bidi="he-IL"/>
        </w:rPr>
        <w:t xml:space="preserve"> שגרים בו, ואוכלים אותו.)</w:t>
      </w:r>
      <w:r>
        <w:rPr>
          <w:rStyle w:val="FootnoteReference"/>
          <w:rFonts w:cs="Gveret Levin AlefAlefAlef"/>
          <w:b/>
          <w:bCs/>
          <w:rtl/>
          <w:lang w:bidi="he-IL"/>
        </w:rPr>
        <w:footnoteReference w:id="5"/>
      </w:r>
      <w:r>
        <w:rPr>
          <w:rFonts w:cs="Gveret Levin AlefAlefAlef"/>
          <w:b/>
          <w:bCs/>
          <w:rtl/>
          <w:lang w:bidi="he-IL"/>
        </w:rPr>
        <w:t xml:space="preserve"> דחה שגם נאמר כן באשה. (יש להעיר שגם כאן יש לנו הוכחה נגד צד שכתבנו שמוכרח לקרות. (יש לדון, שזה לא צריך להיות אותו צד ממש. אבל, לשונו משמע שהוא כן. ותחשב.) אולי גמ’ סובר שכן האו באשה, שאם מצאה את הדם, צ"ל שהיה טיפה שם לפני כן, או שסובר שמטמא קודם שמגיע לשם. גם אפשר שאומר שלא צריך להיות מוכרח, אלא מסתבר או אפשר, ואז עדיין פי’ ראשון שאמרנו יכול להיות קיים.) תי’ שכאן יש שנים לריעותא וכאן יש אחד לריעותא. </w:t>
      </w:r>
    </w:p>
    <w:p w14:paraId="1B2B2709" w14:textId="77777777" w:rsidR="006F5D1B" w:rsidRDefault="001C572B">
      <w:pPr>
        <w:spacing w:after="280"/>
      </w:pPr>
      <w:r>
        <w:rPr>
          <w:rFonts w:cs="Gveret Levin AlefAlefAlef"/>
          <w:b/>
          <w:bCs/>
          <w:rtl/>
          <w:lang w:bidi="he-IL"/>
        </w:rPr>
        <w:lastRenderedPageBreak/>
        <w:t>מקשה גמ’ סתירה בין דין מקווה לדין חבית, שחבית הוא ספק ומקווה הוא וודאי. (הערנו שיש חילוק, במה שיין יש בו קצת חזקה שלא נשתנה על מה שיש בו נפ"מ, שיש נפ"מ אם החומץ תרומה, אבל אין נ"מ במקווה.) ת’ שמח’ תנאים הוא. לכאו’, רואה אני איך יכול להיות וודאי ורואה אני איך יכול להיות ספק, והוא שתלוי על כוח חזקת החולין והאדם נגד חזקה דחויה של המקווה והתרומה. (קצת צריך ביאור, שצריך ביאור למה יהיה חזקה של חולין ואדם יותר חזק. אם הוא מפני שרק בו יש נ"מ, קשה מתרומה וחולין. אם הוא מפני שיש גם חזקה ככה בתרומה, הרי אין זה נוגע במקווה. ותחשב על זה. אולי חזקה של החולין והאדם יותר נוגעים כיון שהם השאלה שבהם דנים בית דין (או שמדברים בציור שדנים בזה או שהוא בכל ציור, כיון שבדרך כלל בזה ידונו. ויש לדון אם זה סימן (שהנ”מ שלהם הוא הכי גדול) או סיבה. ותחשב.).</w:t>
      </w:r>
    </w:p>
    <w:p w14:paraId="61853366" w14:textId="77777777" w:rsidR="006F5D1B" w:rsidRDefault="001C572B">
      <w:pPr>
        <w:jc w:val="left"/>
      </w:pPr>
      <w:r>
        <w:rPr>
          <w:rFonts w:cs="Gveret Levin AlefAlefAlef"/>
          <w:b/>
          <w:bCs/>
          <w:rtl/>
          <w:lang w:bidi="he-IL"/>
        </w:rPr>
        <w:t>שניהם למדו את שיטתם מסוטה. רבנן לומדים שכמו שסוטה ספק הוא ונעשה דין שלה כוודאי (יש לדון במה נעשה דין שלה כוודאי, שאולי כל דינים שלה באים מחמת שיש דין ספק. אולי ספק דאו’ לחומרא מדרבנן, או אולי לא תביא קרבן שלה על ספק. ויש לדון בזה, שקרבן שלה הוא דבר חדש, ומהי”ת שרק הובא על וודאי טומאה, ולא על וודאי ספק. ותו”ת. אפשר לומר שלא נמחק שם שמים על זה, ונאמר שספק לא יוציא מידי וודאי. ותחשב על זה. מקשה גמ’ שכל ספק טומאה ברה”ר טמא. תי’ שכיון שאיכא שנים לריעותא (דהיינו, יש חזקה שהוא טמא) יש לו דין וודאי. (יש לדון אם עוד צריכים לימוד מסוטה, לומר שרק מפני שזה יותר טוב מסוטה ואף סוטה קצת כוודאי, יש לו דין זה. ותחשב.) רבי שמעון לא לומד מסוטה, כיון שרק בסוטה נעשה וודאי כיון שיש רגלים לדבר. (עיין שם, שגם אפשר לפרש שרצה לומר שאם אף בסוטה, שיש רגלים לדבר, רה”ר טהור, כאן אף ברה”י יהיה ספק.) גם אפשר שר"ש לומד סוף טומאה מתחילת טומאה, שיודעים שאם אדם מסופק אם נגע או לא נגע, טהור ברה"ר, ואז כן הוא גם בטהרתו במקווה. (לכאו’, רצה לומר שלא מחשיב את החזקה. לא מבאר למה לא. אולי רצה לומר שרוצה להשוות דין שלהם, וזה דוחה את ענין החזקה.) רבנן דוחים שיש חזקה. (גמ’ לא מפ’ לשני דין רה"י, ולראשון לא מפרש דין שני חזקות. וצריך לחשוב.)</w:t>
      </w:r>
    </w:p>
    <w:p w14:paraId="4E11CA90" w14:textId="77777777" w:rsidR="006F5D1B" w:rsidRDefault="001C572B">
      <w:pPr>
        <w:jc w:val="left"/>
      </w:pPr>
      <w:r>
        <w:rPr>
          <w:rFonts w:cs="Gveret Levin AlefAlefAlef"/>
          <w:b/>
          <w:bCs/>
          <w:rtl/>
          <w:lang w:bidi="he-IL"/>
        </w:rPr>
        <w:t>שואל גמ’ למה חלוק הוא מבריי’ של מבוי. אותו בריי’ אומר ששרץ שנמצא במבוי מטמא למפרע עד זמן שיודע שבדק את המבוי. תי’ גמ’ שכיון שיש שני מיני שרצים- שרצים מעלמא ושרצים משם- נחשב כמו שנים לריעותא. לכאו’, הענין הוא שיש חזקה, והוא נגד ספק ספיקא, ואז הוא נדחה. איני יודע למה זה שווה לתרתי לריעותא. ותחשב. מעניין ששנים אלו נחשבים שנים, ולא אומרים ששרצים אחד, כמו שאומרים שאונס אחד (בתוס’).</w:t>
      </w:r>
    </w:p>
    <w:p w14:paraId="1B94CF7B" w14:textId="77777777" w:rsidR="006F5D1B" w:rsidRPr="007C5D02" w:rsidRDefault="001C572B">
      <w:pPr>
        <w:jc w:val="left"/>
      </w:pPr>
      <w:r w:rsidRPr="007C5D02">
        <w:rPr>
          <w:rFonts w:cs="Gveret Levin AlefAlefAlef"/>
          <w:rtl/>
          <w:lang w:bidi="he-IL"/>
        </w:rPr>
        <w:t>יש להעיר שבגמ’ קידושין דין זה של מקווה הוא מחלקת תנאים. לכאו’, אז, יש תנא שסובר כבית שמאי עד כדי שסובר שיש חזקה של כשרות המקווה, אף נגד חזקת של טומאת אדם. יש לדון למה. אולי לא מחשיב חזקת אדם, כיון שמצוי שישתנה. (וא"ת למה לא דוחים בית הלל את חזקתו בכך. וי"ל שנדחה, אלא שעדיין הוא יותר חזק מחזקת מקווה. גם יש לומר שצריך מעשה ובחירה לכך.) גם אפשר שסובר שמקווה הוא דיון הראשון, והולכים אחר הדין שלו, כמו שבארנו.</w:t>
      </w:r>
    </w:p>
    <w:p w14:paraId="36E85B01" w14:textId="77777777" w:rsidR="006F5D1B" w:rsidRPr="007C5D02" w:rsidRDefault="001C572B">
      <w:pPr>
        <w:jc w:val="left"/>
      </w:pPr>
      <w:r w:rsidRPr="007C5D02">
        <w:rPr>
          <w:rFonts w:cs="Gveret Levin AlefAlefAlef"/>
          <w:rtl/>
          <w:lang w:bidi="he-IL"/>
        </w:rPr>
        <w:t xml:space="preserve">גמ’ בקידושין (עט.) מביא מחלקת בין רב לשמואל באשה שקדשה א"ע ואביה קידשה ביום שבו תהיה בוגרת, ונמצאו סימני בוגרת בו ביום, אם נניח שהיא בוגרת בשעת קידושין. הייתי אומר שכאן יש חזקת נערות, אלא שהיא מצוייה לשנות (אבל לא נתרע כבר בגוף שלה), וגם נמצא כאן שהיא בוגרת. גם, יש חזקת פנוי לה ולאיש שקדש אותה. אז, הייתי אומר </w:t>
      </w:r>
      <w:r w:rsidRPr="007C5D02">
        <w:rPr>
          <w:rFonts w:cs="Gveret Levin AlefAlefAlef"/>
          <w:rtl/>
          <w:lang w:bidi="he-IL"/>
        </w:rPr>
        <w:lastRenderedPageBreak/>
        <w:t xml:space="preserve">ששמאי בוודאי יאמר שאינה נשואה (אלא אם כן נחלק לומר שיותר עומד כאן להיות בוגרת, ואז אין חזקה) ואולי אף הלל יודה (כיון שיש לה חזקת פנויה). ויש להעיר על חזקת פנויה שבין כך ובין כך אינה פנויה כאן. אבל, כל קידושין הוא נגד חזקת פנויה. אז, לכאו’, נדחה אחד בשני. אז, לא נחשב עם חזקת פנויה, ויש רק חזקה שלה שאינה בוגרת, אף שהיא עומדת להיות בוגרת ומה שהיא בוגרת עכשיו. רב אומר שהרי היא בוגרת לפנינו, ונניח שהיתה בוגרת, ושמואל חולק ואומר שחוששים לקידושי שניהם. קשה למה אין מי שאומר כשמאי, שאין חוששים לשום קידושין, שהולכים בתר חזקה שלה. אולי אין הלכה כשמאי. צריך לע’ בזה, אבל נ’ שהל’ כמותו (אלא שרבנן הוסיפו גזי’). צריך לומר שיותר עומדת כאן להיות בוגרת. אבל, קשה שזה לא טענה של רב, אלא הוא שהרי עכשיו היא בוגרת, ואין חזקה אם עכשיו נשתנה. אולי רב סובר שאין זה הטעם של שמאי (עיין שם בנדה, שאומר טעמים אחרים). </w:t>
      </w:r>
    </w:p>
    <w:p w14:paraId="0AF80D7C" w14:textId="77777777" w:rsidR="006F5D1B" w:rsidRPr="007C5D02" w:rsidRDefault="001C572B">
      <w:pPr>
        <w:jc w:val="left"/>
      </w:pPr>
      <w:r w:rsidRPr="007C5D02">
        <w:rPr>
          <w:rFonts w:ascii="Times New Roman" w:hAnsi="Times New Roman" w:cs="Gveret Levin AlefAlefAlef"/>
          <w:rtl/>
          <w:lang w:bidi="he-IL"/>
        </w:rPr>
        <w:t>מקשה גמ’ על שמואל מדין מקווה. השקלא וטריא כמעט שווה לגמ’ בנדה, אלא שלא דן בחסר ואתא. לכאו’, צריך לומר שאין זה תי’, שאף בוגרת אפשר שנמשך בגרותה לאט לאט. איני יודע המציאות בזה.</w:t>
      </w:r>
    </w:p>
    <w:p w14:paraId="6929F289" w14:textId="46E0ACCF" w:rsidR="006F5D1B" w:rsidRPr="007C5D02" w:rsidRDefault="001C572B">
      <w:pPr>
        <w:jc w:val="left"/>
      </w:pPr>
      <w:r w:rsidRPr="007C5D02">
        <w:rPr>
          <w:rFonts w:ascii="Times New Roman" w:hAnsi="Times New Roman" w:cs="Gveret Levin AlefAlefAlef"/>
          <w:rtl/>
          <w:lang w:bidi="he-IL"/>
        </w:rPr>
        <w:t>ע’ בתוס’ כתובות (ט.). שם, יש לפרש שלא אומרים שהרי נבעלה עכשיו, כיון שרק אומרים כן אם יש תרתי לריעותא. וא"ת הרי רב אומר כן אף בלי תרתי לריעותא. וי"ל שאף רב רק אומר כן בחזקה חלושה, שעומד להיבטל. (צריך לע’ בציורים שמביא גמ’ שמנסה לומר שהם כרב, שצ"ל או שמה שכתבנו אינו נכון בהו"א, אלא רק במסקנא, או שגם שם חזקה חלושה היא) ויש להעיר ג"כ ששם בוודאי נבעלה לפני כן (ולא כשבאה לפנינו). אז, יש יותר סיבה שלא לסמוך על החזקה.</w:t>
      </w:r>
      <w:r w:rsidR="007C5D02">
        <w:rPr>
          <w:rStyle w:val="FootnoteReference"/>
          <w:rFonts w:ascii="Times New Roman" w:hAnsi="Times New Roman" w:cs="Gveret Levin AlefAlefAlef"/>
          <w:rtl/>
          <w:lang w:bidi="he-IL"/>
        </w:rPr>
        <w:footnoteReference w:id="6"/>
      </w:r>
    </w:p>
    <w:p w14:paraId="094A5D38" w14:textId="77777777" w:rsidR="006F5D1B" w:rsidRPr="007C5D02" w:rsidRDefault="001C572B">
      <w:pPr>
        <w:spacing w:before="280" w:after="280"/>
        <w:jc w:val="left"/>
      </w:pPr>
      <w:r w:rsidRPr="007C5D02">
        <w:rPr>
          <w:rFonts w:ascii="Times New Roman" w:hAnsi="Times New Roman" w:cs="Gveret Levin AlefAlefAlef"/>
          <w:rtl/>
          <w:lang w:bidi="he-IL"/>
        </w:rPr>
        <w:t>ודע שצריך ביאור לפי רב למה חושבים שבוודאי בוגרת היא. מבין אני אם נאמר שאין חזקה שנערה היא, אבל מהי"ת שהיא בוגרת. גם מצאנו כעין זה בהו"א של גמ’ בנדה (שם, הערנו על זה). אז, נראה שצריך לומר (וזה גם כן יבאר תוס’ שלנו) שרב סובר שכיון שהוא ביום שמסתבר שתהיה בוגרת, נניח שהיא בוגרת, אם לא שבדקנו ואינה בוגרת. אז, לכאו’ הדין הוא כן גם אם לא בדקנו כלל. ותחשב. (גם יש לומר שמסתבר לרב שמי שבא לה בוגרת, בתחילת היום בא לה. יש לדון למה יהיה כן.) גם אפשר שאם מצאנו את הגרות, מסתמא היה לה קודם לכן, בתחילת היום. על כל פנים, אם נאמר כזה, מח’ רב ושמואל בכלל לא שייך לנידון של תוס’. אבל, קשה לומר כן, שאז ראיית הגמ’ ממקווה הוא קשה. צריך לומר שגמ’ מצדד דבר אחר (צריך ביאור מהו), מנסה להביא ראיה לו ממקווה, וכיון שזה נדחה, נמצא ביאור אחר בדברי רב. דחוק מהי"ת. י"ל שלא נודע אותו דבר אחר, וקודם שנבאר אותו, נביא ראיה לו. ותחשב. גם אפשר לומר שיש ראיה שווה בכל ציורי הגמ’. צל"ע שם, שלא נראה. גם אפשר לומר שרב סובר שחזקה הולך למפרע יותר משהולך ישר, והוא שחושבים על זמנים למפרע (שהוא יותר קרוב לזמן שלנו), ונדון על שעה לפני כן, ונאמר שיש חזקה שהיתה כמו שהוא עכשיו, עד שנגיע לשעה ראשונה. דחוק.</w:t>
      </w:r>
    </w:p>
    <w:sectPr w:rsidR="006F5D1B" w:rsidRPr="007C5D02">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899D7" w14:textId="77777777" w:rsidR="0001705C" w:rsidRDefault="0001705C">
      <w:pPr>
        <w:spacing w:line="240" w:lineRule="auto"/>
      </w:pPr>
      <w:r>
        <w:separator/>
      </w:r>
    </w:p>
  </w:endnote>
  <w:endnote w:type="continuationSeparator" w:id="0">
    <w:p w14:paraId="78939D85" w14:textId="77777777" w:rsidR="0001705C" w:rsidRDefault="000170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ekorot-Vilna">
    <w:panose1 w:val="02000503000000000000"/>
    <w:charset w:val="B1"/>
    <w:family w:val="auto"/>
    <w:pitch w:val="variable"/>
    <w:sig w:usb0="80000801" w:usb1="500028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Narkisim">
    <w:panose1 w:val="020E0502050101010101"/>
    <w:charset w:val="00"/>
    <w:family w:val="swiss"/>
    <w:pitch w:val="variable"/>
    <w:sig w:usb0="00000803" w:usb1="00000000" w:usb2="00000000" w:usb3="00000000" w:csb0="00000021"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Gveret Levin AlefAlefAlef">
    <w:panose1 w:val="00000500000000000000"/>
    <w:charset w:val="B1"/>
    <w:family w:val="modern"/>
    <w:notTrueType/>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F91AF" w14:textId="77777777" w:rsidR="0001705C" w:rsidRDefault="0001705C">
      <w:pPr>
        <w:rPr>
          <w:sz w:val="12"/>
        </w:rPr>
      </w:pPr>
      <w:r>
        <w:separator/>
      </w:r>
    </w:p>
  </w:footnote>
  <w:footnote w:type="continuationSeparator" w:id="0">
    <w:p w14:paraId="2982EC6C" w14:textId="77777777" w:rsidR="0001705C" w:rsidRDefault="0001705C">
      <w:pPr>
        <w:rPr>
          <w:sz w:val="12"/>
        </w:rPr>
      </w:pPr>
      <w:r>
        <w:continuationSeparator/>
      </w:r>
    </w:p>
  </w:footnote>
  <w:footnote w:id="1">
    <w:p w14:paraId="16A41645" w14:textId="77777777" w:rsidR="006F5D1B" w:rsidRDefault="001C572B">
      <w:pPr>
        <w:pStyle w:val="FootnoteText"/>
        <w:spacing w:before="280" w:after="280"/>
        <w:rPr>
          <w:lang w:bidi="he-IL"/>
        </w:rPr>
      </w:pPr>
      <w:r>
        <w:rPr>
          <w:rStyle w:val="FootnoteCharacters"/>
        </w:rPr>
        <w:footnoteRef/>
      </w:r>
      <w:r>
        <w:rPr>
          <w:rFonts w:cs="Times New Roman"/>
          <w:rtl/>
        </w:rPr>
        <w:t xml:space="preserve"> </w:t>
      </w:r>
      <w:r>
        <w:rPr>
          <w:rFonts w:cs="Times New Roman"/>
          <w:rtl/>
          <w:lang w:bidi="he-IL"/>
        </w:rPr>
        <w:t xml:space="preserve">איני מבין כל כך מה חושב גמ' שיכול להוכיח מכאן. הרי, רוצה לומר שכולם טמאות בוודאי. לכאו', אין חזקה אומר לנו כלום, ואז יהיו כולם במצב ספק. אז, קשה איך חושב לפרש את המשנה. נראה שצריך לומר שחושב להוכיח שחזקה אומר לנו שנשתנה מיד. צריך ביאור למה יהיה כן. אפשר לומר שנדון במה היתה, ונניח שהיתה כמו שהוא עכשיו, ושנדון למפרע, עד שמגיע לזמן שאי אפשר להסיק כן. </w:t>
      </w:r>
    </w:p>
  </w:footnote>
  <w:footnote w:id="2">
    <w:p w14:paraId="2FF7083E" w14:textId="77777777" w:rsidR="006F5D1B" w:rsidRDefault="001C572B">
      <w:pPr>
        <w:pStyle w:val="FootnoteText"/>
        <w:rPr>
          <w:lang w:bidi="he-IL"/>
        </w:rPr>
      </w:pPr>
      <w:r>
        <w:rPr>
          <w:rStyle w:val="FootnoteCharacters"/>
        </w:rPr>
        <w:footnoteRef/>
      </w:r>
      <w:r>
        <w:rPr>
          <w:rtl/>
          <w:lang w:bidi="he-IL"/>
        </w:rPr>
        <w:t xml:space="preserve">אגב, </w:t>
      </w:r>
      <w:r>
        <w:rPr>
          <w:rtl/>
          <w:lang w:bidi="he-IL"/>
        </w:rPr>
        <w:t>ע’ לשון גמ’ של "ומאי קושיא.” אינו מקשה קושיה שם, אלא מתרץ. רצה לומר- איך תקשה על המיון לומר שיש חילוק ביניהם, שהרי אין חילוק, והרי נישאר בקושיה. ותו"ת.</w:t>
      </w:r>
    </w:p>
  </w:footnote>
  <w:footnote w:id="3">
    <w:p w14:paraId="33040EB0" w14:textId="77777777" w:rsidR="006F5D1B" w:rsidRDefault="001C572B">
      <w:pPr>
        <w:pStyle w:val="FootnoteText"/>
        <w:rPr>
          <w:lang w:bidi="he-IL"/>
        </w:rPr>
      </w:pPr>
      <w:r>
        <w:rPr>
          <w:rStyle w:val="FootnoteCharacters"/>
        </w:rPr>
        <w:footnoteRef/>
      </w:r>
      <w:r>
        <w:rPr>
          <w:rtl/>
          <w:lang w:bidi="he-IL"/>
        </w:rPr>
        <w:t xml:space="preserve">אגב, </w:t>
      </w:r>
      <w:r>
        <w:rPr>
          <w:rtl/>
          <w:lang w:bidi="he-IL"/>
        </w:rPr>
        <w:t>יש לדון למה לא אומרים שיש עוד חזקה כאן, והוא חזקת טהרה של המקווה, שאם נמצא שאינו מקווה, ונגע בה טמא, הרי טמא אותו. אז, נאמר שלא נגע בו טמא כשלא היה מקווה, כדי לשמור טהרותו. איני יודע אם דין זה נכון; אני חושב שכיון שהוא מחובר לקרקע, אף שאינה מקווה כשרה, לא יכול לקבל טומאה. ותחשב.</w:t>
      </w:r>
    </w:p>
  </w:footnote>
  <w:footnote w:id="4">
    <w:p w14:paraId="3DB43973" w14:textId="77777777" w:rsidR="006F5D1B" w:rsidRDefault="001C572B">
      <w:pPr>
        <w:pStyle w:val="FootnoteText"/>
        <w:rPr>
          <w:lang w:bidi="he-IL"/>
        </w:rPr>
      </w:pPr>
      <w:r>
        <w:rPr>
          <w:rStyle w:val="FootnoteCharacters"/>
        </w:rPr>
        <w:footnoteRef/>
      </w:r>
      <w:r>
        <w:rPr>
          <w:rtl/>
          <w:lang w:bidi="he-IL"/>
        </w:rPr>
        <w:t xml:space="preserve">זה </w:t>
      </w:r>
      <w:r>
        <w:rPr>
          <w:rtl/>
          <w:lang w:bidi="he-IL"/>
        </w:rPr>
        <w:t xml:space="preserve">מצאתי בבריטאניק"א: </w:t>
      </w:r>
    </w:p>
    <w:p w14:paraId="460CBD81" w14:textId="77777777" w:rsidR="006F5D1B" w:rsidRDefault="001C572B">
      <w:pPr>
        <w:pStyle w:val="FootnoteText"/>
        <w:bidi w:val="0"/>
        <w:rPr>
          <w:lang w:bidi="he-IL"/>
        </w:rPr>
      </w:pPr>
      <w:r>
        <w:rPr>
          <w:lang w:bidi="he-IL"/>
        </w:rPr>
        <w:t>“[It</w:t>
      </w:r>
      <w:r>
        <w:rPr>
          <w:lang w:val="en-GB" w:bidi="he-IL"/>
        </w:rPr>
        <w:t>]</w:t>
      </w:r>
      <w:r>
        <w:rPr>
          <w:lang w:bidi="he-IL"/>
        </w:rPr>
        <w:t xml:space="preserve"> is Acetobacter bacteria that cause the conversion of alcohol to acetic acid </w:t>
      </w:r>
      <w:r>
        <w:rPr>
          <w:lang w:val="en-GB" w:bidi="he-IL"/>
        </w:rPr>
        <w:t>(vinegar)</w:t>
      </w:r>
      <w:r>
        <w:rPr>
          <w:lang w:bidi="he-IL"/>
        </w:rPr>
        <w:t>. These bacteria work together symbiotically, producing enough acetic acid to prevent invasion by other organisms.”</w:t>
      </w:r>
    </w:p>
  </w:footnote>
  <w:footnote w:id="5">
    <w:p w14:paraId="71CED7B3" w14:textId="77777777" w:rsidR="006F5D1B" w:rsidRDefault="001C572B">
      <w:pPr>
        <w:pStyle w:val="FootnoteText"/>
        <w:rPr>
          <w:lang w:bidi="he-IL"/>
        </w:rPr>
      </w:pPr>
      <w:r>
        <w:rPr>
          <w:rStyle w:val="FootnoteCharacters"/>
        </w:rPr>
        <w:footnoteRef/>
      </w:r>
      <w:r>
        <w:rPr>
          <w:rtl/>
          <w:lang w:bidi="he-IL"/>
        </w:rPr>
        <w:t>אגב, קצת צריך ביאור למה לא נאמר על כעין זה רוב, שיש יותר זמן לפני כן, ונאמר שראתה אז. ותחשב.</w:t>
      </w:r>
    </w:p>
  </w:footnote>
  <w:footnote w:id="6">
    <w:p w14:paraId="34524B4E" w14:textId="5CE9AB29" w:rsidR="007C5D02" w:rsidRDefault="007C5D02">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תוס' </w:t>
      </w:r>
      <w:r>
        <w:rPr>
          <w:rFonts w:cs="Times New Roman" w:hint="cs"/>
          <w:rtl/>
          <w:lang w:bidi="he-IL"/>
        </w:rPr>
        <w:t>הראש שם מזכיר החילוק במה שאי אפשר לומר שחסר ואתאי. אבל, יש להעישר שלכאו' גם בציור של רב ושמואל יהיה כן, וגמ' לא מזכיר את זה שם. ותחשב.</w:t>
      </w:r>
      <w:r w:rsidR="001B5314">
        <w:rPr>
          <w:rFonts w:cs="Times New Roman" w:hint="cs"/>
          <w:rtl/>
          <w:lang w:bidi="he-IL"/>
        </w:rPr>
        <w:t xml:space="preserve"> ויש לדון, שאולי סימנים חזרו ואתא, ואז יש לומר כן שם.</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5D1B"/>
    <w:rsid w:val="0001705C"/>
    <w:rsid w:val="00193C3C"/>
    <w:rsid w:val="001B5314"/>
    <w:rsid w:val="001C572B"/>
    <w:rsid w:val="006F5D1B"/>
    <w:rsid w:val="007C5D02"/>
    <w:rsid w:val="00A743FE"/>
    <w:rsid w:val="00B771E5"/>
    <w:rsid w:val="00D43134"/>
    <w:rsid w:val="00DD38F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D1DB"/>
  <w15:docId w15:val="{7B3F80BA-1C04-4847-BC0D-AA3D6598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35B"/>
    <w:pPr>
      <w:bidi/>
      <w:spacing w:beforeAutospacing="1" w:afterAutospacing="1" w:line="288" w:lineRule="auto"/>
      <w:jc w:val="both"/>
    </w:pPr>
    <w:rPr>
      <w:rFonts w:cs="Mekorot-Vilna"/>
    </w:rPr>
  </w:style>
  <w:style w:type="paragraph" w:styleId="Heading1">
    <w:name w:val="heading 1"/>
    <w:basedOn w:val="Normal"/>
    <w:next w:val="Normal"/>
    <w:link w:val="Heading1Char"/>
    <w:uiPriority w:val="9"/>
    <w:qFormat/>
    <w:rsid w:val="00AD698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0535B"/>
    <w:rPr>
      <w:color w:val="2F6DBB"/>
      <w:u w:val="single"/>
    </w:rPr>
  </w:style>
  <w:style w:type="character" w:customStyle="1" w:styleId="Heading1Char">
    <w:name w:val="Heading 1 Char"/>
    <w:basedOn w:val="DefaultParagraphFont"/>
    <w:link w:val="Heading1"/>
    <w:uiPriority w:val="9"/>
    <w:qFormat/>
    <w:rsid w:val="00AD698D"/>
    <w:rPr>
      <w:rFonts w:asciiTheme="majorHAnsi" w:eastAsiaTheme="majorEastAsia" w:hAnsiTheme="majorHAnsi" w:cstheme="majorBidi"/>
      <w:color w:val="2F5496" w:themeColor="accent1" w:themeShade="BF"/>
      <w:sz w:val="32"/>
      <w:szCs w:val="32"/>
    </w:rPr>
  </w:style>
  <w:style w:type="character" w:customStyle="1" w:styleId="FootnoteTextChar">
    <w:name w:val="Footnote Text Char"/>
    <w:basedOn w:val="DefaultParagraphFont"/>
    <w:link w:val="FootnoteText"/>
    <w:uiPriority w:val="99"/>
    <w:semiHidden/>
    <w:qFormat/>
    <w:rsid w:val="00B34503"/>
    <w:rPr>
      <w:rFonts w:cs="Mekorot-Vilna"/>
      <w:sz w:val="20"/>
      <w:szCs w:val="20"/>
    </w:rPr>
  </w:style>
  <w:style w:type="character" w:customStyle="1" w:styleId="FootnoteCharacters">
    <w:name w:val="Footnote Characters"/>
    <w:basedOn w:val="DefaultParagraphFont"/>
    <w:uiPriority w:val="99"/>
    <w:semiHidden/>
    <w:unhideWhenUsed/>
    <w:qFormat/>
    <w:rsid w:val="00B34503"/>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ED532B"/>
    <w:rPr>
      <w:sz w:val="16"/>
      <w:szCs w:val="16"/>
    </w:rPr>
  </w:style>
  <w:style w:type="character" w:customStyle="1" w:styleId="CommentTextChar">
    <w:name w:val="Comment Text Char"/>
    <w:basedOn w:val="DefaultParagraphFont"/>
    <w:link w:val="CommentText"/>
    <w:uiPriority w:val="99"/>
    <w:semiHidden/>
    <w:qFormat/>
    <w:rsid w:val="00ED532B"/>
    <w:rPr>
      <w:rFonts w:cs="Mekorot-Vilna"/>
      <w:sz w:val="20"/>
      <w:szCs w:val="20"/>
    </w:rPr>
  </w:style>
  <w:style w:type="character" w:customStyle="1" w:styleId="CommentSubjectChar">
    <w:name w:val="Comment Subject Char"/>
    <w:basedOn w:val="CommentTextChar"/>
    <w:link w:val="CommentSubject"/>
    <w:uiPriority w:val="99"/>
    <w:semiHidden/>
    <w:qFormat/>
    <w:rsid w:val="00ED532B"/>
    <w:rPr>
      <w:rFonts w:cs="Mekorot-Vilna"/>
      <w:b/>
      <w:bCs/>
      <w:sz w:val="20"/>
      <w:szCs w:val="20"/>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pPr>
      <w:spacing w:after="140" w:line="276" w:lineRule="auto"/>
    </w:pPr>
  </w:style>
  <w:style w:type="paragraph" w:styleId="List">
    <w:name w:val="List"/>
    <w:basedOn w:val="BodyText"/>
    <w:rPr>
      <w:rFonts w:cs="Narkisim"/>
    </w:rPr>
  </w:style>
  <w:style w:type="paragraph" w:styleId="Caption">
    <w:name w:val="caption"/>
    <w:basedOn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Style1">
    <w:name w:val="Style1"/>
    <w:basedOn w:val="Normal"/>
    <w:qFormat/>
    <w:rsid w:val="008664AA"/>
    <w:pPr>
      <w:spacing w:before="280" w:line="240" w:lineRule="auto"/>
      <w:contextualSpacing/>
    </w:pPr>
    <w:rPr>
      <w:rFonts w:cs="Shofar"/>
    </w:rPr>
  </w:style>
  <w:style w:type="paragraph" w:customStyle="1" w:styleId="Style2">
    <w:name w:val="Style2"/>
    <w:basedOn w:val="Style1"/>
    <w:qFormat/>
    <w:rsid w:val="008664AA"/>
    <w:rPr>
      <w:rFonts w:cs="BenOr Rashi"/>
    </w:rPr>
  </w:style>
  <w:style w:type="paragraph" w:styleId="NormalWeb">
    <w:name w:val="Normal (Web)"/>
    <w:basedOn w:val="Normal"/>
    <w:uiPriority w:val="99"/>
    <w:semiHidden/>
    <w:unhideWhenUsed/>
    <w:qFormat/>
    <w:rsid w:val="0080535B"/>
    <w:pPr>
      <w:spacing w:line="240" w:lineRule="auto"/>
    </w:pPr>
    <w:rPr>
      <w:rFonts w:ascii="Times New Roman" w:eastAsia="Times New Roman" w:hAnsi="Times New Roman" w:cs="Times New Roman"/>
      <w:sz w:val="24"/>
      <w:szCs w:val="24"/>
      <w:lang w:bidi="he-IL"/>
    </w:rPr>
  </w:style>
  <w:style w:type="paragraph" w:styleId="FootnoteText">
    <w:name w:val="footnote text"/>
    <w:basedOn w:val="Normal"/>
    <w:link w:val="FootnoteTextChar"/>
    <w:uiPriority w:val="99"/>
    <w:semiHidden/>
    <w:unhideWhenUsed/>
    <w:rsid w:val="00B34503"/>
    <w:pPr>
      <w:spacing w:line="240" w:lineRule="auto"/>
    </w:pPr>
    <w:rPr>
      <w:sz w:val="20"/>
      <w:szCs w:val="20"/>
    </w:rPr>
  </w:style>
  <w:style w:type="paragraph" w:styleId="CommentText">
    <w:name w:val="annotation text"/>
    <w:basedOn w:val="Normal"/>
    <w:link w:val="CommentTextChar"/>
    <w:uiPriority w:val="99"/>
    <w:semiHidden/>
    <w:unhideWhenUsed/>
    <w:qFormat/>
    <w:rsid w:val="00ED532B"/>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D532B"/>
    <w:rPr>
      <w:b/>
      <w:bCs/>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z-BottomofForm">
    <w:name w:val="HTML Bottom of Form"/>
    <w:next w:val="Normal"/>
    <w:qFormat/>
    <w:pPr>
      <w:pBdr>
        <w:top w:val="double" w:sz="2" w:space="0" w:color="000000"/>
      </w:pBdr>
      <w:spacing w:after="160" w:line="259" w:lineRule="auto"/>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spacing w:after="160" w:line="259" w:lineRule="auto"/>
      <w:jc w:val="center"/>
    </w:pPr>
    <w:rPr>
      <w:rFonts w:ascii="Arial" w:eastAsia="Arial" w:hAnsi="Arial" w:cs="Courier New"/>
      <w:vanish/>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6</Pages>
  <Words>2236</Words>
  <Characters>12748</Characters>
  <Application>Microsoft Office Word</Application>
  <DocSecurity>0</DocSecurity>
  <Lines>106</Lines>
  <Paragraphs>29</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69</cp:revision>
  <dcterms:created xsi:type="dcterms:W3CDTF">2024-05-21T16:16:00Z</dcterms:created>
  <dcterms:modified xsi:type="dcterms:W3CDTF">2024-06-17T16:15:00Z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