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>
          <w:lang w:bidi="he-IL"/>
        </w:rPr>
      </w:pPr>
      <w:r>
        <w:rPr>
          <w:rtl w:val="true"/>
          <w:lang w:bidi="he-IL"/>
        </w:rPr>
        <w:t>ביאור המשנה</w:t>
      </w:r>
      <w:r>
        <w:rPr>
          <w:rtl w:val="true"/>
          <w:lang w:bidi="he-IL"/>
        </w:rPr>
        <w:t>:</w:t>
      </w:r>
    </w:p>
    <w:p>
      <w:pPr>
        <w:pStyle w:val="Normal"/>
        <w:spacing w:before="240" w:after="0"/>
        <w:rPr>
          <w:lang w:bidi="he-IL"/>
        </w:rPr>
      </w:pPr>
      <w:r>
        <w:rPr>
          <w:rtl w:val="true"/>
          <w:lang w:bidi="he-IL"/>
        </w:rPr>
        <w:t>משנה מדבר בעבודה זרה של מרקוליס</w:t>
      </w:r>
      <w:r>
        <w:rPr>
          <w:rStyle w:val="FootnoteAnchor"/>
          <w:rtl w:val="true"/>
          <w:lang w:bidi="he-IL"/>
        </w:rPr>
        <w:footnoteReference w:id="2"/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מרקוליס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בעיקרו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שלש אבנים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אחד על אמצע השנים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משנה יבאר הדין של מי שמצא אבנים קרוב למרקוליס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מחלקת תנאים</w:t>
      </w:r>
      <w:r>
        <w:rPr>
          <w:rtl w:val="true"/>
          <w:lang w:bidi="he-IL"/>
        </w:rPr>
        <w:t>.</w:t>
      </w:r>
    </w:p>
    <w:p>
      <w:pPr>
        <w:pStyle w:val="Heading2"/>
        <w:rPr>
          <w:lang w:bidi="he-IL"/>
        </w:rPr>
      </w:pPr>
      <w:r>
        <w:rPr>
          <w:rtl w:val="true"/>
        </w:rPr>
        <w:t>שיטת רבי ישמעאל</w:t>
      </w:r>
      <w:r>
        <w:rPr>
          <w:rtl w:val="true"/>
        </w:rPr>
        <w:t>:</w:t>
      </w:r>
    </w:p>
    <w:p>
      <w:pPr>
        <w:pStyle w:val="Normal"/>
        <w:spacing w:before="240" w:after="0"/>
        <w:rPr>
          <w:lang w:bidi="he-IL"/>
        </w:rPr>
      </w:pPr>
      <w:r>
        <w:rPr>
          <w:rtl w:val="true"/>
          <w:lang w:bidi="he-IL"/>
        </w:rPr>
        <w:t>רבי ישמעאל אומר שתלוי כמה אבנים יש ובאיזה אופן יושבים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מצא שלש זו בצד זו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רק מצא שנים זו בצד זו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מותרים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3"/>
      </w:r>
    </w:p>
    <w:p>
      <w:pPr>
        <w:pStyle w:val="Heading2"/>
        <w:rPr>
          <w:lang w:bidi="he-IL"/>
        </w:rPr>
      </w:pPr>
      <w:r>
        <w:rPr>
          <w:rtl w:val="true"/>
        </w:rPr>
        <w:t>שיטת רבנן</w:t>
      </w:r>
      <w:r>
        <w:rPr>
          <w:rtl w:val="true"/>
        </w:rPr>
        <w:t>:</w:t>
      </w:r>
    </w:p>
    <w:p>
      <w:pPr>
        <w:pStyle w:val="Normal"/>
        <w:spacing w:before="240" w:after="0"/>
        <w:rPr>
          <w:lang w:bidi="he-IL"/>
        </w:rPr>
      </w:pPr>
      <w:r>
        <w:rPr>
          <w:rtl w:val="true"/>
          <w:lang w:bidi="he-IL"/>
        </w:rPr>
        <w:t>רבנן אומרים שתלוי באם נראים עמו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נראים עמו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לא נראים עמו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מותרים</w:t>
      </w:r>
      <w:r>
        <w:rPr>
          <w:rtl w:val="true"/>
          <w:lang w:bidi="he-IL"/>
        </w:rPr>
        <w:t>.</w:t>
      </w:r>
    </w:p>
    <w:p>
      <w:pPr>
        <w:pStyle w:val="Normal"/>
        <w:spacing w:before="240" w:after="0"/>
        <w:rPr>
          <w:lang w:bidi="he-IL"/>
        </w:rPr>
      </w:pPr>
      <w:r>
        <w:rPr>
          <w:rtl w:val="true"/>
          <w:lang w:bidi="he-IL"/>
        </w:rPr>
        <w:t xml:space="preserve">ביאור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נראים עמו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לא כל כך פשוט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כ’</w:t>
      </w:r>
      <w:r>
        <w:rPr>
          <w:rtl w:val="true"/>
          <w:lang w:bidi="he-IL"/>
        </w:rPr>
        <w:t>: “</w:t>
      </w:r>
      <w:r>
        <w:rPr>
          <w:rtl w:val="true"/>
          <w:lang w:bidi="he-IL"/>
        </w:rPr>
        <w:t>נראים עמו</w:t>
      </w:r>
      <w:r>
        <w:rPr>
          <w:rtl w:val="true"/>
          <w:lang w:bidi="he-IL"/>
        </w:rPr>
        <w:t xml:space="preserve">: </w:t>
      </w:r>
      <w:r>
        <w:rPr>
          <w:rtl w:val="true"/>
          <w:lang w:bidi="he-IL"/>
        </w:rPr>
        <w:t>דנראה שנפלו משם</w:t>
      </w:r>
      <w:r>
        <w:rPr>
          <w:rtl w:val="true"/>
          <w:lang w:bidi="he-IL"/>
        </w:rPr>
        <w:t>.”</w:t>
      </w:r>
      <w:r>
        <w:rPr>
          <w:rStyle w:val="FootnoteAnchor"/>
          <w:rtl w:val="true"/>
          <w:lang w:bidi="he-IL"/>
        </w:rPr>
        <w:footnoteReference w:id="4"/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שני דרכים לקרוא מה שאומר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spacing w:before="240" w:after="0"/>
        <w:rPr>
          <w:lang w:bidi="he-IL"/>
        </w:rPr>
      </w:pPr>
      <w:r>
        <w:rPr>
          <w:rtl w:val="true"/>
          <w:lang w:bidi="he-IL"/>
        </w:rPr>
        <w:t>אפשר שרש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מפרש מהו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נראים עמו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ומפרש שהוא שנראה שנפלו מן המרקוליס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פירוש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עמו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שנראה שהם עמו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שנראה שהם חלק ממנו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שאז קצת קשה למה לא רק אמר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אם נפל ממנו…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שאיך יידע אם לא על ידי מה שנראה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שאולי לשון כזה </w:t>
      </w:r>
      <w:r>
        <w:rPr>
          <w:rtl w:val="true"/>
          <w:lang w:bidi="he-IL"/>
        </w:rPr>
        <w:t>(“</w:t>
      </w:r>
      <w:r>
        <w:rPr>
          <w:rtl w:val="true"/>
          <w:lang w:bidi="he-IL"/>
        </w:rPr>
        <w:t>אם נפל</w:t>
      </w:r>
      <w:r>
        <w:rPr>
          <w:rtl w:val="true"/>
          <w:lang w:bidi="he-IL"/>
        </w:rPr>
        <w:t xml:space="preserve">") </w:t>
      </w:r>
      <w:r>
        <w:rPr>
          <w:rtl w:val="true"/>
          <w:lang w:bidi="he-IL"/>
        </w:rPr>
        <w:t>היה משמע שצריך ידיעה וודאית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עיין במשנה שיביא גמ’ לקמן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5"/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יש לדון למה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אם כך חושב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מסתמא ייאסר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שזה איסור דאו’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בא לחדש ההיתר אם לא נראה עמו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אשפר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נראה עמו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לא רצה לומר שנראה שבוודאי בא ממנו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שנראה שאפשר שבא ממנו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שצריך לסמוך על מחשבתו עד כדי שממש נעשה ספק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spacing w:before="240" w:after="0"/>
        <w:rPr>
          <w:lang w:bidi="he-IL"/>
        </w:rPr>
      </w:pPr>
      <w:r>
        <w:rPr>
          <w:rtl w:val="true"/>
          <w:lang w:bidi="he-IL"/>
        </w:rPr>
        <w:t>אפשר שרש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מפרש מה לנו שנראה עמו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מה זה גורם לנו לחשוב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לא בא לפרש מהו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נראה עמו</w:t>
      </w:r>
      <w:r>
        <w:rPr>
          <w:rtl w:val="true"/>
          <w:lang w:bidi="he-IL"/>
        </w:rPr>
        <w:t>,”</w:t>
      </w:r>
      <w:r>
        <w:rPr>
          <w:rStyle w:val="FootnoteAnchor"/>
          <w:rtl w:val="true"/>
          <w:lang w:bidi="he-IL"/>
        </w:rPr>
        <w:footnoteReference w:id="6"/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אלא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מפרש למה זה יאסור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אומר שהוא מפני שנראה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 xml:space="preserve">ויש לדון אם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נראה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רצה לומר שכן נראה לבני אדם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וחוששים למראית עין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מפני שכן נראה לרבנן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וחששו לכך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שנפל מן המרקוליס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לכאו’ הסבר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נראה עמו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שכשרואה אותם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הם כדבר אחד בראייתו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חושב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זה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 xml:space="preserve">ולא חושב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אלו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 xml:space="preserve">גם אפשר שהוא שבהרחק סתם מהם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שהוא ד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שנראה מירושלמי בברכות גבי זמן קריאת שמע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רואה שניהם בהבטה אחת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7"/>
      </w:r>
      <w:r>
        <w:br w:type="page"/>
      </w:r>
    </w:p>
    <w:p>
      <w:pPr>
        <w:pStyle w:val="Heading1"/>
        <w:rPr/>
      </w:pPr>
      <w:r>
        <w:rPr>
          <w:rtl w:val="true"/>
        </w:rPr>
        <w:t>ביאור שיטות במשנה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ביאור שיטת רבנן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גמרא מבאר שרבנן חוששים שהאבנים באים מן המרקוליס</w:t>
      </w:r>
      <w:r>
        <w:rPr>
          <w:rStyle w:val="FootnoteAnchor"/>
          <w:rtl w:val="true"/>
          <w:lang w:bidi="he-IL"/>
        </w:rPr>
        <w:footnoteReference w:id="8"/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היו באים משם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היו אסורים בהנאה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שהם חלק מן העבודה זרה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הם נראים עמו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חוששים שבאו משם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לא נראים עמו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חוששים שבאו משם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הם מותרים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גמ’ מבאר שלא פשוט שנאסר כיון שהיה חלק מן העבודה זרה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צריכים להקדם קצת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הקדמה 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דין ביטול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אסור להנות מן העבודה זרה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וחייבים לאבד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גוי יכול לבטל עבודה זרה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משנה מבאר איך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בדיוק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עושה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העיקר הוא שמבטל את שם אלהות ממנו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 להיות שתי סיבות לאסור עבודה זרה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מה שהוא נעבד ומה שהיה נעבד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מתיר את הסיבה הראשונה כיון שלא נעבד עוד</w:t>
      </w:r>
      <w:r>
        <w:rPr>
          <w:rStyle w:val="FootnoteAnchor"/>
          <w:rtl w:val="true"/>
          <w:lang w:bidi="he-IL"/>
        </w:rPr>
        <w:footnoteReference w:id="9"/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ומתיר את הסיבה השנית כיון ששינה אותו באופן חשוב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0"/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הקדמה ב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ביטול שברים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חולקים אמוראים אם עבודה זרה בטילה כשנשבר בעצמו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שלא על ידי אדם</w:t>
      </w:r>
      <w:r>
        <w:rPr>
          <w:rtl w:val="true"/>
          <w:lang w:bidi="he-IL"/>
        </w:rPr>
        <w:t>).</w:t>
      </w:r>
    </w:p>
    <w:p>
      <w:pPr>
        <w:pStyle w:val="Heading2"/>
        <w:rPr/>
      </w:pPr>
      <w:r>
        <w:rPr>
          <w:rtl w:val="true"/>
        </w:rPr>
        <w:t>קושיה על שיטת רבי ישמעאל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ביאור השיטות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קושיה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תירוץ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קושיה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תירוץ</w:t>
      </w:r>
      <w:r>
        <w:rPr>
          <w:rtl w:val="true"/>
        </w:rPr>
        <w:t>:</w:t>
      </w:r>
    </w:p>
    <w:p>
      <w:pPr>
        <w:pStyle w:val="Normal"/>
        <w:spacing w:before="240" w:after="0"/>
        <w:rPr>
          <w:lang w:bidi="he-IL"/>
        </w:rPr>
      </w:pPr>
      <w:r>
        <w:rPr>
          <w:rtl w:val="true"/>
          <w:lang w:bidi="he-IL"/>
        </w:rPr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bidi/>
      <w:rtlGutter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SBL Hebrew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Courier New"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35"/>
        </w:rPr>
      </w:pPr>
      <w:r>
        <w:separator/>
      </w:r>
    </w:p>
  </w:footnote>
  <w:footnote w:id="1" w:type="continuationSeparator">
    <w:p>
      <w:pPr>
        <w:rPr>
          <w:sz w:val="35"/>
        </w:rPr>
      </w:pPr>
      <w:r>
        <w:continuationSeparator/>
      </w:r>
    </w:p>
  </w:footnote>
  <w:footnote w:id="2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ראיתי שבסנסינו כתבו שהוא מארקיור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מארקיור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היה אליל של רומי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חפשתי בכמה מקומות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מצאתי מי שמרמז לעבדות זו הנזכרת בגמ’ בנוגע למארקיור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. </w:t>
      </w:r>
    </w:p>
  </w:footnote>
  <w:footnote w:id="3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גמ’ יבאר הרבה ענינים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יש כבר להתחיל לשאול קצת שאלות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אם זה בזה זה דווקא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ואם יכולים להיות כעיקר מרקוליס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לדון אם צריכים להיות בשורה או יכולים להיות כמו אות דל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לדון אם צריכים להיות ממש בצד זו או נוגעים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אם צריכים להיות ממש נוגעים או רק זה בצד זה קרובים</w:t>
      </w:r>
      <w:r>
        <w:rPr>
          <w:rtl w:val="true"/>
          <w:lang w:bidi="he-IL"/>
        </w:rPr>
        <w:t xml:space="preserve">. 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יהיו הרבה צדדים לגמרא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ובמקצת מהם אולי נוכל להשיב לשאלות אלו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וצריך לעיין 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ולדון בהם בכל צד וצד</w:t>
      </w:r>
      <w:r>
        <w:rPr>
          <w:rtl w:val="true"/>
          <w:lang w:bidi="he-IL"/>
        </w:rPr>
        <w:t>.</w:t>
      </w:r>
    </w:p>
    <w:p>
      <w:pPr>
        <w:pStyle w:val="Footnote"/>
        <w:spacing w:before="283" w:after="283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כ’ שפשוט שהוא כן גם באחד על שנים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כעיקר מרקולילס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כ’ כן על המשנה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יש לדון כאיזה צד שבגמ’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הולך</w:t>
      </w:r>
      <w:r>
        <w:rPr>
          <w:rtl w:val="true"/>
          <w:lang w:bidi="he-IL"/>
        </w:rPr>
        <w:t>.</w:t>
      </w:r>
    </w:p>
  </w:footnote>
  <w:footnote w:id="4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גם כן כתב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בביאור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אין נראים עמו</w:t>
      </w:r>
      <w:r>
        <w:rPr>
          <w:rtl w:val="true"/>
          <w:lang w:bidi="he-IL"/>
        </w:rPr>
        <w:t xml:space="preserve">"- </w:t>
      </w:r>
      <w:r>
        <w:rPr>
          <w:rtl w:val="true"/>
          <w:lang w:bidi="he-IL"/>
        </w:rPr>
        <w:t>אין סמוכים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נראה שזה יוסיף פירוש יותר מן הדיבור הראשון</w:t>
      </w:r>
      <w:r>
        <w:rPr>
          <w:rtl w:val="true"/>
          <w:lang w:bidi="he-IL"/>
        </w:rPr>
        <w:t>.</w:t>
      </w:r>
    </w:p>
  </w:footnote>
  <w:footnote w:id="5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שם מעניין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גמ’ רק מקשה מדין על 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ולא מקשה איך נוכל לומר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נראה עמו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אחרי שיודעים שנשרו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לצד זה לא היה לו משמעות שווה למשמעות שיש לו למעשה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6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ואולי קצת צריך ביאור למה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לא מפרש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שלא פשוט מה אומר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שנבאר</w:t>
      </w:r>
      <w:r>
        <w:rPr>
          <w:rtl w:val="true"/>
          <w:lang w:bidi="he-IL"/>
        </w:rPr>
        <w:t>.</w:t>
      </w:r>
    </w:p>
  </w:footnote>
  <w:footnote w:id="7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אם הביאור הוא שרואה שניהם במראה אחת או בפוק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אחד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בראיית אדם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שני חלקים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יש מה שרואה ואינו בפוק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 מה שרואה שהוא בפוק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שצריך להיות ששניהם הם בתוך הפוק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ואפשר ששניהם רק צריכים להיות בתוך הראייה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שכולל מה שהוא בפוק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ומה שאינו בפוק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גם יש לדון כמה מהם צריך להיות שם</w:t>
      </w:r>
      <w:r>
        <w:rPr>
          <w:rtl w:val="true"/>
          <w:lang w:bidi="he-IL"/>
        </w:rPr>
        <w:t>.</w:t>
      </w:r>
    </w:p>
  </w:footnote>
  <w:footnote w:id="8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עיקר מרקוליס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שכתבנו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אבן על אמצע של שני אבנים הדבוקים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עבדו אותו על ידי זריקת אבנים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אותם אבנים הנזקרים נעשו חלק מן המרקוליס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וגם להם עבדו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ננמצא שלאחר קצת זמן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מרקוליס היה גדול מאד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ומלא אבנים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להוסיף שכיון שהיו זורקים את האבנים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רק נותנים אותו לשם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מסתבר מאד שיפלו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זה נמצא אם אחד קופץ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באוונ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 אם מכה באחר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בציור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אם הוא קופץ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היה חלק מן העבודה זרה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ישב שם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לא נאסר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צריכים לעיין בדתי מרקוליס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הייתי יכול למצוא מרקוליס בספרי חכמי האומות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למטה</w:t>
      </w:r>
      <w:r>
        <w:rPr>
          <w:rtl w:val="true"/>
          <w:lang w:bidi="he-IL"/>
        </w:rPr>
        <w:t>.)</w:t>
      </w:r>
    </w:p>
  </w:footnote>
  <w:footnote w:id="9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אין כל זה כל כך פשוט בכלל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צריכים שכל גוי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או רק כל גוי שעבד אותו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יבטל עבודה זרה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וכל גוי שבעולם יכול לבטל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איך נאמר שזה עושה שלא נעבד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לי שני דרכים ליישב לזה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אפשר לומר שגוי עושה לו שם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אינו עבודה זרה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 xml:space="preserve">כיון שיש מי שלא מאמין בו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על ידי מעשה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אם כן אף ישראל יבטל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לומר שבעצם יוכל לבטל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רצתה תורה שיתקרב לעבודה זרה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נראה שקרק’ של אינו נעבד שבא ממה שישראל לא עובד אותו אינו חשוב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שבדרך כלל בני ישראל לא עובדים לעבודה זרה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שעבודה זרה רק נאסר אם יש לו רק קרק’ של נעבד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של לא נעבד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רק יש לו קרק’ של נעבד באופן חזק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השמתשות עם היצר הרע</w:t>
      </w:r>
      <w:r>
        <w:rPr>
          <w:rtl w:val="true"/>
          <w:lang w:bidi="he-IL"/>
        </w:rPr>
        <w:t>). (</w:t>
      </w:r>
      <w:r>
        <w:rPr>
          <w:rtl w:val="true"/>
          <w:lang w:bidi="he-IL"/>
        </w:rPr>
        <w:t>כמו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שאיזה שנעשה אחרון הוא הכי חזק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גם אפשר לומר גם אפשר לומר שתמיד לא נעבד עכשיו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שאינו בפועל נעבד עכשיו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מה שיש גויים שמאמינים שהוא אלוה ושרוצים לעבוד לו אינו אוסר אותו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לכאןו’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רק אפשר אם נאמר שעבודה זרה של גוי אסור רק אחרי שעבד אותו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צריכים להתיר את הבעיה השנית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בהכרח אין זה נכון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שגמ’ אומר שאין קללת גוי מבטל עבודה זרה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שיחזור לעבוד אותו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מה אנו מוכיחים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יש תנא שאומר בפירוש שאין עבודה זרה של גוי נאסר אם לא עובד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לומר שזה מפני שאינו כל כך עומד לעבוד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כבר נעבד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עומד הוא לעבודה אחרת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שזה רק לעשות אותו לעבודה זרה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לבטל ממנו שם עבודה זרה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ויש לומר שזה רק עושה שאין אותו ביטול מהני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אותו ביטול אינו על ידי מעשה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הוא רק קללה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זה היה מהני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מפני שגורם שלא ייעבד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שעדיין ייעבד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שיאמר שהוא מפני שיש עובדים אחרים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רוצה לחדש אף אם אין עובדים אחרים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יותר נראה לומר שאין ביטול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אותו ביטול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מהני כשהמבטל יעבוד אותו עוד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יהני אם אחרים יעבדו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לדון למה לא יהני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בעזרת ה’ נדון בזה לקמן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נמצא שלא פשוט שמה שכתבנו למעלה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שיש שתי סיבות לאסור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הוא נכון</w:t>
      </w:r>
      <w:r>
        <w:rPr>
          <w:rtl w:val="true"/>
          <w:lang w:bidi="he-IL"/>
        </w:rPr>
        <w:t>.</w:t>
      </w:r>
    </w:p>
  </w:footnote>
  <w:footnote w:id="10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הוכחה שזה סיבה לאסור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במה שכתבנו לעי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זה הסיבה היחידית לאסור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מוכרח שהוא סיבה לאסור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נניח שהוא סיבה לאסור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הענין יהיה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שבארנו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שמשנה אותו מה שהיה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לא כל כך אותו חפץ הנעבד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שלא תמיד השינוי הוא גופי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שגמ’ אומר שהיה יכול לבטל אותו על ידי קללה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שחוששים שיחזור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שכיון שעשה שאינו נעבד עוד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 שינה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ודע שצריך ביאור למה לא בטל אם עשה את המלאכה לצרכה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שינה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כיון שמה שהיה גורם מה שהוא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שעשה כן כדי לעשות אותו עבודה זרה יותר טובה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יש המשך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ונחשב אותו חפץ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שנאמר שביטול בלי מעשה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אם לא היה מוכיח להם כלום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יהני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זה אסור מפני שעובדים אותו עכשיו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תמיד צריכים השינוי מנעבד ללא נעבד</w:t>
      </w:r>
      <w:r>
        <w:rPr>
          <w:rtl w:val="true"/>
          <w:lang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GB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1"/>
      <w:spacing w:lineRule="auto" w:line="259" w:before="283" w:after="283"/>
      <w:jc w:val="left"/>
    </w:pPr>
    <w:rPr>
      <w:rFonts w:ascii="SBL Hebrew" w:hAnsi="SBL Hebrew" w:eastAsia="Calibri" w:cs="SBL Hebrew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283" w:after="283"/>
      <w:ind w:left="283" w:right="0" w:hanging="0"/>
      <w:outlineLvl w:val="0"/>
    </w:pPr>
    <w:rPr>
      <w:rFonts w:ascii="Calibri Light" w:hAnsi="Calibri Light" w:eastAsia="SimSun" w:cs="SBL Hebrew"/>
      <w:b w:val="false"/>
      <w:bCs/>
      <w:color w:val="000000"/>
      <w:sz w:val="32"/>
      <w:szCs w:val="22"/>
      <w:lang w:bidi="he-IL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83" w:after="283"/>
      <w:ind w:left="567" w:right="0" w:hanging="0"/>
      <w:outlineLvl w:val="1"/>
    </w:pPr>
    <w:rPr>
      <w:rFonts w:ascii="Calibri Light" w:hAnsi="Calibri Light" w:eastAsia="SimSun" w:cs="SBL Hebrew"/>
      <w:b w:val="false"/>
      <w:bCs/>
      <w:color w:val="000000"/>
      <w:sz w:val="26"/>
      <w:szCs w:val="22"/>
      <w:lang w:bidi="he-IL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83" w:after="283"/>
      <w:ind w:left="850" w:right="0" w:hanging="0"/>
      <w:outlineLvl w:val="2"/>
    </w:pPr>
    <w:rPr>
      <w:rFonts w:ascii="Calibri Light" w:hAnsi="Calibri Light" w:eastAsia="SimSun" w:cs="SBL Hebrew"/>
      <w:b w:val="false"/>
      <w:bCs/>
      <w:color w:val="000000"/>
      <w:sz w:val="24"/>
      <w:szCs w:val="22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83" w:after="283"/>
      <w:ind w:left="1134" w:right="0" w:hanging="0"/>
      <w:outlineLvl w:val="3"/>
    </w:pPr>
    <w:rPr>
      <w:rFonts w:ascii="Calibri Light" w:hAnsi="Calibri Light" w:eastAsia="SimSun" w:cs="SBL Hebrew"/>
      <w:b w:val="false"/>
      <w:bCs/>
      <w:i/>
      <w:iCs w:val="false"/>
      <w:color w:val="000000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83" w:after="283"/>
      <w:ind w:left="1417" w:right="0" w:hanging="0"/>
      <w:outlineLvl w:val="4"/>
    </w:pPr>
    <w:rPr>
      <w:rFonts w:ascii="Calibri Light" w:hAnsi="Calibri Light" w:eastAsia="SimSun" w:cs="SBL Hebrew"/>
      <w:b w:val="false"/>
      <w:bCs/>
      <w:color w:val="00000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lineRule="auto" w:line="14" w:before="283" w:after="283"/>
      <w:ind w:left="1701" w:right="0" w:hanging="0"/>
      <w:outlineLvl w:val="5"/>
    </w:pPr>
    <w:rPr>
      <w:b/>
      <w:bCs/>
      <w:color w:val="000000"/>
      <w:sz w:val="24"/>
      <w:szCs w:val="22"/>
    </w:rPr>
  </w:style>
  <w:style w:type="character" w:styleId="DefaultParagraphFont">
    <w:name w:val="Default Paragraph Font"/>
    <w:qFormat/>
    <w:rPr/>
  </w:style>
  <w:style w:type="character" w:styleId="Style8">
    <w:name w:val="תווי הערת סיום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Style9">
    <w:name w:val="תווי הערת שוליים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rPr>
      <w:color w:val="000080"/>
      <w:u w:val="single"/>
    </w:rPr>
  </w:style>
  <w:style w:type="character" w:styleId="Linenumber">
    <w:name w:val="line number"/>
    <w:qFormat/>
    <w:rPr/>
  </w:style>
  <w:style w:type="character" w:styleId="Strong">
    <w:name w:val="Strong"/>
    <w:qFormat/>
    <w:rPr>
      <w:b/>
    </w:rPr>
  </w:style>
  <w:style w:type="character" w:styleId="Heading1Char">
    <w:name w:val="Heading 1 Char"/>
    <w:basedOn w:val="DefaultParagraphFont"/>
    <w:qFormat/>
    <w:rPr>
      <w:rFonts w:ascii="Calibri Light" w:hAnsi="Calibri Light" w:eastAsia="SimSun" w:cs="等线 Light"/>
      <w:color w:val="2F5496"/>
      <w:sz w:val="32"/>
      <w:szCs w:val="32"/>
    </w:rPr>
  </w:style>
  <w:style w:type="character" w:styleId="Heading2Char">
    <w:name w:val="Heading 2 Char"/>
    <w:basedOn w:val="DefaultParagraphFont"/>
    <w:qFormat/>
    <w:rPr>
      <w:rFonts w:ascii="Calibri Light" w:hAnsi="Calibri Light" w:eastAsia="SimSun" w:cs="等线 Light"/>
      <w:color w:val="2F5496"/>
      <w:sz w:val="26"/>
      <w:szCs w:val="26"/>
    </w:rPr>
  </w:style>
  <w:style w:type="character" w:styleId="FootnoteTextChar">
    <w:name w:val="Footnote Text Char"/>
    <w:basedOn w:val="DefaultParagraphFont"/>
    <w:qFormat/>
    <w:rPr>
      <w:sz w:val="20"/>
      <w:szCs w:val="20"/>
    </w:rPr>
  </w:style>
  <w:style w:type="character" w:styleId="Heading3Char">
    <w:name w:val="Heading 3 Char"/>
    <w:basedOn w:val="DefaultParagraphFont"/>
    <w:qFormat/>
    <w:rPr>
      <w:rFonts w:ascii="Calibri Light" w:hAnsi="Calibri Light" w:eastAsia="SimSun" w:cs="等线 Light"/>
      <w:color w:val="1F3864"/>
      <w:sz w:val="24"/>
      <w:szCs w:val="24"/>
    </w:rPr>
  </w:style>
  <w:style w:type="character" w:styleId="Heading4Char">
    <w:name w:val="Heading 4 Char"/>
    <w:basedOn w:val="DefaultParagraphFont"/>
    <w:qFormat/>
    <w:rPr>
      <w:rFonts w:ascii="Calibri Light" w:hAnsi="Calibri Light" w:eastAsia="SimSun" w:cs="等线 Light"/>
      <w:i/>
      <w:iCs/>
      <w:color w:val="2F5496"/>
    </w:rPr>
  </w:style>
  <w:style w:type="character" w:styleId="Heading5Char">
    <w:name w:val="Heading 5 Char"/>
    <w:basedOn w:val="DefaultParagraphFont"/>
    <w:qFormat/>
    <w:rPr>
      <w:rFonts w:ascii="Calibri Light" w:hAnsi="Calibri Light" w:eastAsia="SimSun" w:cs="等线 Light"/>
      <w:color w:val="2F5496"/>
    </w:rPr>
  </w:style>
  <w:style w:type="character" w:styleId="Style10">
    <w:name w:val="סמלי מספור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CITE">
    <w:name w:val="CITE"/>
    <w:qFormat/>
    <w:rPr>
      <w:i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HTMLMarkup">
    <w:name w:val="HTML Markup"/>
    <w:qFormat/>
    <w:rPr>
      <w:vanish/>
      <w:color w:val="FF0000"/>
    </w:rPr>
  </w:style>
  <w:style w:type="character" w:styleId="Comment">
    <w:name w:val="Comment"/>
    <w:qFormat/>
    <w:rPr>
      <w:vanish/>
    </w:rPr>
  </w:style>
  <w:style w:type="character" w:styleId="BodyTextChar">
    <w:name w:val="Body Text Char"/>
    <w:basedOn w:val="DefaultParagraphFont"/>
    <w:qFormat/>
    <w:rPr>
      <w:rFonts w:ascii="Calibri" w:hAnsi="Calibri" w:eastAsia="Calibri"/>
      <w:sz w:val="22"/>
      <w:szCs w:val="22"/>
      <w:lang w:val="en-US" w:eastAsia="en-US" w:bidi="ar-SA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link w:val="BodyTextChar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Style11">
    <w:name w:val="שורת כותרת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2">
    <w:name w:val="מפתחות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next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/>
    <w:rPr/>
  </w:style>
  <w:style w:type="paragraph" w:styleId="Footnote">
    <w:name w:val="Footnote Text"/>
    <w:basedOn w:val="Normal"/>
    <w:link w:val="FootnoteTextChar"/>
    <w:pPr>
      <w:tabs>
        <w:tab w:val="clear" w:pos="720"/>
      </w:tabs>
      <w:spacing w:lineRule="auto" w:line="240" w:before="283" w:after="283"/>
      <w:ind w:left="340" w:right="0" w:hanging="340"/>
    </w:pPr>
    <w:rPr>
      <w:rFonts w:cs="Guttman Rashi"/>
      <w:sz w:val="20"/>
      <w:szCs w:val="20"/>
    </w:rPr>
  </w:style>
  <w:style w:type="paragraph" w:styleId="NormalWeb">
    <w:name w:val="Normal (Web)"/>
    <w:qFormat/>
    <w:pPr>
      <w:widowControl w:val="false"/>
      <w:suppressAutoHyphens w:val="true"/>
      <w:kinsoku w:val="true"/>
      <w:overflowPunct w:val="true"/>
      <w:autoSpaceDE w:val="true"/>
      <w:bidi w:val="1"/>
      <w:spacing w:before="280" w:after="280"/>
      <w:jc w:val="righ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tyle13">
    <w:name w:val="Style1"/>
    <w:basedOn w:val="Normal"/>
    <w:qFormat/>
    <w:pPr>
      <w:spacing w:lineRule="auto" w:line="240" w:before="0" w:after="0"/>
      <w:contextualSpacing/>
    </w:pPr>
    <w:rPr>
      <w:rFonts w:cs="Shofar"/>
    </w:rPr>
  </w:style>
  <w:style w:type="paragraph" w:styleId="Style21">
    <w:name w:val="Style2"/>
    <w:basedOn w:val="Style13"/>
    <w:qFormat/>
    <w:pPr/>
    <w:rPr>
      <w:rFonts w:cs="BenOr Rashi"/>
    </w:rPr>
  </w:style>
  <w:style w:type="paragraph" w:styleId="DefinitionTerm">
    <w:name w:val="Definition Term"/>
    <w:basedOn w:val="Normal"/>
    <w:qFormat/>
    <w:pPr/>
    <w:rPr/>
  </w:style>
  <w:style w:type="paragraph" w:styleId="DefinitionList">
    <w:name w:val="Definition List"/>
    <w:basedOn w:val="Normal"/>
    <w:next w:val="DefinitionTerm"/>
    <w:qFormat/>
    <w:pPr>
      <w:ind w:left="360" w:right="0" w:hanging="0"/>
    </w:pPr>
    <w:rPr/>
  </w:style>
  <w:style w:type="paragraph" w:styleId="H1">
    <w:name w:val="H1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1"/>
    </w:pPr>
    <w:rPr>
      <w:b/>
      <w:kern w:val="2"/>
      <w:sz w:val="48"/>
    </w:rPr>
  </w:style>
  <w:style w:type="paragraph" w:styleId="H2">
    <w:name w:val="H2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2"/>
    </w:pPr>
    <w:rPr>
      <w:b/>
      <w:sz w:val="36"/>
    </w:rPr>
  </w:style>
  <w:style w:type="paragraph" w:styleId="H3">
    <w:name w:val="H3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3"/>
    </w:pPr>
    <w:rPr>
      <w:b/>
      <w:sz w:val="28"/>
    </w:rPr>
  </w:style>
  <w:style w:type="paragraph" w:styleId="H4">
    <w:name w:val="H4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4"/>
    </w:pPr>
    <w:rPr>
      <w:b/>
      <w:sz w:val="24"/>
    </w:rPr>
  </w:style>
  <w:style w:type="paragraph" w:styleId="H5">
    <w:name w:val="H5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5"/>
    </w:pPr>
    <w:rPr>
      <w:b/>
      <w:sz w:val="20"/>
    </w:rPr>
  </w:style>
  <w:style w:type="paragraph" w:styleId="H6">
    <w:name w:val="H6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6"/>
    </w:pPr>
    <w:rPr>
      <w:b/>
      <w:sz w:val="16"/>
    </w:rPr>
  </w:style>
  <w:style w:type="paragraph" w:styleId="Address">
    <w:name w:val="Address"/>
    <w:basedOn w:val="Normal"/>
    <w:next w:val="Normal"/>
    <w:qFormat/>
    <w:pPr/>
    <w:rPr>
      <w:i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Preformatted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Z-BottomofForm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kinsoku w:val="true"/>
      <w:overflowPunct w:val="true"/>
      <w:autoSpaceDE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val="en-GB" w:eastAsia="zh-CN" w:bidi="hi-IN"/>
    </w:rPr>
  </w:style>
  <w:style w:type="paragraph" w:styleId="Z-TopofForm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kinsoku w:val="true"/>
      <w:overflowPunct w:val="true"/>
      <w:autoSpaceDE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val="en-GB" w:eastAsia="zh-CN" w:bidi="hi-IN"/>
    </w:rPr>
  </w:style>
  <w:style w:type="paragraph" w:styleId="ComplimentaryClose">
    <w:name w:val="Salutation"/>
    <w:basedOn w:val="Normal"/>
    <w:pPr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ביאורים גמ</Template>
  <TotalTime>999</TotalTime>
  <Application>LibreOffice/7.5.3.2$Windows_X86_64 LibreOffice_project/9f56dff12ba03b9acd7730a5a481eea045e468f3</Application>
  <AppVersion>15.0000</AppVersion>
  <Pages>4</Pages>
  <Words>1302</Words>
  <Characters>5287</Characters>
  <CharactersWithSpaces>6559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2024-07-29T17:25:33Z</dcterms:created>
  <dc:creator/>
  <dc:description/>
  <dc:language>he-IL</dc:language>
  <cp:lastModifiedBy/>
  <dcterms:modified xsi:type="dcterms:W3CDTF">2024-07-30T10:05:33Z</dcterms:modified>
  <cp:revision>39</cp:revision>
  <dc:subject/>
  <dc:title>ביאורים גמ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1</vt:bool>
  </property>
  <property fmtid="{D5CDD505-2E9C-101B-9397-08002B2CF9AE}" pid="4" name="KSOProductBuildVer">
    <vt:lpwstr>2057-10.2.0.7587</vt:lpwstr>
  </property>
</Properties>
</file>