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1CBBC" w14:textId="77777777" w:rsidR="006A092D" w:rsidRDefault="00000000">
      <w:pPr>
        <w:pStyle w:val="Heading1"/>
        <w:numPr>
          <w:ilvl w:val="0"/>
          <w:numId w:val="0"/>
        </w:numPr>
      </w:pPr>
      <w:r>
        <w:rPr>
          <w:rtl/>
        </w:rPr>
        <w:t>יום טוב ראשון:</w:t>
      </w:r>
    </w:p>
    <w:p w14:paraId="0041D579" w14:textId="77777777" w:rsidR="006A092D" w:rsidRDefault="00000000">
      <w:pPr>
        <w:pStyle w:val="Heading2"/>
      </w:pPr>
      <w:r>
        <w:rPr>
          <w:rtl/>
        </w:rPr>
        <w:t>דברים שמותרים לעשות:</w:t>
      </w:r>
    </w:p>
    <w:p w14:paraId="78A74544" w14:textId="77777777" w:rsidR="006A092D" w:rsidRDefault="00000000">
      <w:pPr>
        <w:rPr>
          <w:lang w:bidi="he-IL"/>
        </w:rPr>
      </w:pPr>
      <w:r>
        <w:rPr>
          <w:rtl/>
          <w:lang w:bidi="he-IL"/>
        </w:rPr>
        <w:t>יש דברים שמותרים ליעשות ביום טוב ראשון, מעיקר הדין. לא מבואר מגמ’ מהו הגדר של דברים המותרים ליעשות למת.</w:t>
      </w:r>
      <w:r>
        <w:rPr>
          <w:rStyle w:val="FootnoteReference"/>
          <w:rtl/>
          <w:lang w:bidi="he-IL"/>
        </w:rPr>
        <w:footnoteReference w:id="1"/>
      </w:r>
    </w:p>
    <w:p w14:paraId="44193864" w14:textId="77777777" w:rsidR="006A092D" w:rsidRDefault="00000000">
      <w:pPr>
        <w:rPr>
          <w:lang w:bidi="he-IL"/>
        </w:rPr>
      </w:pPr>
      <w:r>
        <w:rPr>
          <w:rtl/>
          <w:lang w:bidi="he-IL"/>
        </w:rPr>
        <w:t>אבל, יש סיבה להחמיר. גמ’ בשבת (קלט.) מזכיר שבני בשכר (עיר) שאלו לרבנן בדין קבורת מת ביום טוב, ורבנן השיבו שתמיד אסור לקבור מת ביום טוב (בין י”ט ראשון בין י”ט שני), בכל אופן שהוא. גמ’ מפרש שזה מפני שלא היו בני תורה. כיון שכן, החמיר עליהם, ולא התיר להם לקבור בשום אופן.</w:t>
      </w:r>
      <w:r>
        <w:rPr>
          <w:rStyle w:val="FootnoteReference"/>
          <w:rtl/>
          <w:lang w:bidi="he-IL"/>
        </w:rPr>
        <w:footnoteReference w:id="2"/>
      </w:r>
    </w:p>
    <w:p w14:paraId="169531C4" w14:textId="77777777" w:rsidR="006A092D" w:rsidRDefault="00000000">
      <w:pPr>
        <w:rPr>
          <w:lang w:bidi="he-IL"/>
        </w:rPr>
      </w:pPr>
      <w:r>
        <w:rPr>
          <w:rtl/>
          <w:lang w:bidi="he-IL"/>
        </w:rPr>
        <w:t>רבינו תם תמה איך אפשר שבני בשכר לא היו בני תורה, ואנן בני תורה. אז, אוסר לנו לקבור את המת בזמן הזה. הר"י מקשה שמצאנו חומרות אחרות לבני אדם שאינם בני תורה, ואנו לא נוהגים אותם החומרות. אז, צריך לומר שמניחים שאנו בני תורה, אף שבני בשכר לא היו בני תורה. רבינו יחיאל מחלק בין אותם גזירות שהם רק בצינעה לגזירה זו שהוא בפרהסיא.</w:t>
      </w:r>
      <w:r>
        <w:rPr>
          <w:rStyle w:val="FootnoteReference"/>
          <w:rtl/>
          <w:lang w:bidi="he-IL"/>
        </w:rPr>
        <w:footnoteReference w:id="3"/>
      </w:r>
    </w:p>
    <w:p w14:paraId="74A2F315" w14:textId="77777777" w:rsidR="006A092D" w:rsidRDefault="00000000">
      <w:pPr>
        <w:pStyle w:val="Heading2"/>
      </w:pPr>
      <w:r>
        <w:rPr>
          <w:rtl/>
        </w:rPr>
        <w:t>אופנים שמותר לעשות אותם:</w:t>
      </w:r>
    </w:p>
    <w:p w14:paraId="2A546664" w14:textId="77777777" w:rsidR="006A092D" w:rsidRDefault="00000000">
      <w:pPr>
        <w:rPr>
          <w:lang w:bidi="he-IL"/>
        </w:rPr>
      </w:pPr>
      <w:r>
        <w:rPr>
          <w:rtl/>
          <w:lang w:bidi="he-IL"/>
        </w:rPr>
        <w:t>רק מותר על ידי גוי. אמירה לעכו"ם רק אסור מדרבנן, והתירו רבנן את הדין שלהם כדי לקבור את המת.</w:t>
      </w:r>
    </w:p>
    <w:p w14:paraId="02E8C440" w14:textId="77777777" w:rsidR="006A092D" w:rsidRDefault="00000000">
      <w:pPr>
        <w:rPr>
          <w:lang w:bidi="he-IL"/>
        </w:rPr>
      </w:pPr>
      <w:r>
        <w:rPr>
          <w:rtl/>
          <w:lang w:bidi="he-IL"/>
        </w:rPr>
        <w:t xml:space="preserve">חולקים אם כל עסקיו צרייך להיות על ידי גוי או יש מהם שמותר על ידי שיראל. ר"ן מביא שיש שמתירים את הטילטול על ידי ישראל, שיביא ככר ותינוק, שיתיר את איסור מוקצה, ומתירים את הוצאתו על ידי ישראל, שמתוך שהותרה לצורך הותרה שלא לצורך. הרא"ש מתיר טלטול והוצאה, ולשון שלו משמע ש"מתוך" הוא סיבה להתיר את שניהם. (כנראה, סובר שלא רק אומרים "מתוך" על מלאכה, אלא גם על גזירת מוקצה.) </w:t>
      </w:r>
    </w:p>
    <w:p w14:paraId="36BD8E63" w14:textId="77777777" w:rsidR="006A092D" w:rsidRDefault="00000000">
      <w:pPr>
        <w:rPr>
          <w:lang w:bidi="he-IL"/>
        </w:rPr>
      </w:pPr>
      <w:r>
        <w:rPr>
          <w:rtl/>
          <w:lang w:bidi="he-IL"/>
        </w:rPr>
        <w:lastRenderedPageBreak/>
        <w:t>ר"ן מניח (לא פשוט למה מניח כן) שזה יתיר אותו רק אם כבוד המת הוא להתעסק על ידי בני ישראל. כיון שיתעסק על ידי גויים, כ’ ר"ן שאין כבוד במה שמקצת עסקיו על ידי ישראל.</w:t>
      </w:r>
      <w:r>
        <w:rPr>
          <w:rStyle w:val="FootnoteReference"/>
          <w:rtl/>
          <w:lang w:bidi="he-IL"/>
        </w:rPr>
        <w:footnoteReference w:id="4"/>
      </w:r>
      <w:r>
        <w:rPr>
          <w:rtl/>
          <w:lang w:bidi="he-IL"/>
        </w:rPr>
        <w:t xml:space="preserve"> גם מזכיר רמב"ן שהוצאה אסורה, ולא אומרים בו "מתוך,” שרק אומרים כן כשיש הנאה השווה לכל נפש. אבל, כאן, אין נפש שנהנה.</w:t>
      </w:r>
      <w:r>
        <w:rPr>
          <w:rStyle w:val="FootnoteReference"/>
          <w:rtl/>
          <w:lang w:bidi="he-IL"/>
        </w:rPr>
        <w:footnoteReference w:id="5"/>
      </w:r>
    </w:p>
    <w:p w14:paraId="210C3C38" w14:textId="77777777" w:rsidR="006A092D" w:rsidRDefault="00000000">
      <w:pPr>
        <w:rPr>
          <w:lang w:bidi="he-IL"/>
        </w:rPr>
      </w:pPr>
      <w:r>
        <w:rPr>
          <w:rtl/>
          <w:lang w:bidi="he-IL"/>
        </w:rPr>
        <w:t>חולקים ראשונים אם מותר לקבור על ידי גויים כשיכול לקבור אותו לאחר י"ט ראשון בלי סירחה (כן סובר רא"ש ור"ן) או אסור (כן סובר בה"ג).</w:t>
      </w:r>
      <w:r>
        <w:rPr>
          <w:rStyle w:val="FootnoteReference"/>
          <w:rtl/>
          <w:lang w:bidi="he-IL"/>
        </w:rPr>
        <w:footnoteReference w:id="6"/>
      </w:r>
    </w:p>
    <w:p w14:paraId="6D6EE910" w14:textId="689A339A" w:rsidR="006A092D" w:rsidRDefault="00000000">
      <w:pPr>
        <w:rPr>
          <w:lang w:bidi="he-IL"/>
        </w:rPr>
      </w:pPr>
      <w:r>
        <w:rPr>
          <w:rtl/>
          <w:lang w:bidi="he-IL"/>
        </w:rPr>
        <w:t>גמ’ בשבת (קלט) מזכיר עדות של ר"י בר שילת בשם רב אסי, שפעם רבי יוחנן התיר קבורה ע"י גויים למת שלא היה יכול להמתין עד אחרי י"ט (או מפני שכבר שהה יום, שהיה שבת</w:t>
      </w:r>
      <w:r>
        <w:rPr>
          <w:rStyle w:val="FootnoteReference"/>
          <w:rtl/>
          <w:lang w:bidi="he-IL"/>
        </w:rPr>
        <w:footnoteReference w:id="7"/>
      </w:r>
      <w:r>
        <w:rPr>
          <w:rtl/>
          <w:lang w:bidi="he-IL"/>
        </w:rPr>
        <w:t>, או מפני שיום שלאחריו היה שבת, והיה צריך להמתין עוד יום). מזה מדייקים</w:t>
      </w:r>
      <w:r w:rsidR="002728E3">
        <w:rPr>
          <w:rFonts w:hint="cs"/>
          <w:rtl/>
          <w:lang w:bidi="he-IL"/>
        </w:rPr>
        <w:t xml:space="preserve"> הר"ן</w:t>
      </w:r>
      <w:r w:rsidR="00847B99">
        <w:rPr>
          <w:rFonts w:hint="cs"/>
          <w:rtl/>
          <w:lang w:bidi="he-IL"/>
        </w:rPr>
        <w:t xml:space="preserve"> והרא"ש</w:t>
      </w:r>
      <w:r>
        <w:rPr>
          <w:rtl/>
          <w:lang w:bidi="he-IL"/>
        </w:rPr>
        <w:t xml:space="preserve"> שרק אם לא יכול לקבור אותו אחרי י"ט ראשון בלי סירחה מותר לקבור אותו על ידי גוי.</w:t>
      </w:r>
    </w:p>
    <w:p w14:paraId="52EFF7E8" w14:textId="77777777" w:rsidR="006A092D" w:rsidRDefault="00000000">
      <w:pPr>
        <w:rPr>
          <w:lang w:bidi="he-IL"/>
        </w:rPr>
      </w:pPr>
      <w:r>
        <w:rPr>
          <w:rtl/>
          <w:lang w:bidi="he-IL"/>
        </w:rPr>
        <w:t>רא"ש ור"ן דוחים את זה. ר"ן מבאר שאין להביא ראיה משם, שזה רק מוכיח שמי שבא להעיד לא ידע אם מה שקרה כן באופן שלא היו יכולים לקבור את המת אחרי י"ט היה נצרך. אבל, לא מוכרח שסובר שהיה נצרך. עוד מבאר שאף אם יש להביא ראיה משם, גמ’ בביצה (ו.) חולק, כמו שנבאר בע"ה, ופוס’ כגמ’ בביצה (שהוא שיטת רבא, שהיה בתראי).</w:t>
      </w:r>
    </w:p>
    <w:p w14:paraId="5B066B1A" w14:textId="77777777" w:rsidR="006A092D" w:rsidRDefault="00000000">
      <w:pPr>
        <w:rPr>
          <w:lang w:bidi="he-IL"/>
        </w:rPr>
      </w:pPr>
      <w:r>
        <w:rPr>
          <w:rtl/>
          <w:lang w:bidi="he-IL"/>
        </w:rPr>
        <w:t>גמ’ בביצה מזכיר מימרא של רבא, שבי"ט ראשון קוברים על ידי גויים ובי"ט שני קוברים על ידי בני ישראל. מר זוטרא אומר שזה רק אם לא יכול להשהות את המת. רב אשי חולק, ואומר שכיון שי"ט שני כחול, מותר אף אם היה המת יכול להישהות. הרי, מוכרח מטעם של רב אשי שהוא לא מדבר בי"ט ראשון. אז, כיון שאמר את דין שלו סתם, ולא פי’ שרק חולק על דין של י"ט ראשון, מוכרח שאף מר זוטרא היה מדבר בי"ט שני, ולא בי"ט ראשון. נמצא שמותר לקבור על ידי גויים בי"ט ראשון, ואף אם יכול להשהות.</w:t>
      </w:r>
      <w:r>
        <w:rPr>
          <w:rStyle w:val="FootnoteReference"/>
          <w:rtl/>
          <w:lang w:bidi="he-IL"/>
        </w:rPr>
        <w:footnoteReference w:id="8"/>
      </w:r>
      <w:r>
        <w:rPr>
          <w:rStyle w:val="FootnoteReference"/>
          <w:rtl/>
          <w:lang w:bidi="he-IL"/>
        </w:rPr>
        <w:footnoteReference w:id="9"/>
      </w:r>
    </w:p>
    <w:p w14:paraId="2047ACE6" w14:textId="77777777" w:rsidR="006A092D" w:rsidRDefault="00000000">
      <w:pPr>
        <w:rPr>
          <w:rtl/>
          <w:lang w:bidi="he-IL"/>
        </w:rPr>
      </w:pPr>
      <w:r>
        <w:rPr>
          <w:rtl/>
          <w:lang w:bidi="he-IL"/>
        </w:rPr>
        <w:t>הרא"ש מבאר שמותר לקבור על ידי גוי, אף אם יכול לשהותו, כיון שזה מרבה את כבוד המת. מבאר שכיון שקובר אותו יותר מהר, ובפרט כיון שמרבה את הבכי (כיון שקובר אותו בי"ט), נותן כבוד למת.</w:t>
      </w:r>
      <w:r>
        <w:rPr>
          <w:rStyle w:val="FootnoteReference"/>
          <w:rtl/>
          <w:lang w:bidi="he-IL"/>
        </w:rPr>
        <w:footnoteReference w:id="10"/>
      </w:r>
    </w:p>
    <w:p w14:paraId="2395D2BF" w14:textId="41B4472C" w:rsidR="00D76ABF" w:rsidRDefault="008348B1" w:rsidP="00D76ABF">
      <w:pPr>
        <w:rPr>
          <w:lang w:bidi="he-IL"/>
        </w:rPr>
      </w:pPr>
      <w:r>
        <w:rPr>
          <w:rFonts w:hint="cs"/>
          <w:rtl/>
          <w:lang w:bidi="he-IL"/>
        </w:rPr>
        <w:t xml:space="preserve">רשי בביצה כ' שהמימרא של מר זוטרא הוא רק לענין דין של י"ט שני, ולא י"ט ראשון. משמע שבי"ט ראשון לא נכון שאם לא שהה משהים אותו, אלא מותר לקבור אותו על ידי גוי. אבל, רש"י בשבת כתב בפי' נגד זה, אלא שאם לא נשתהה המת, משתהים אותו, ולא קוברים אותו על ידי גוי. נראה שמר זוטרא רק הזכיר דין של יו"ט שני כיון שסובר שמדין י"ט שני יוצא דין של יום טוב ראשון, שכיון שאמר שצריך לשהות אותו, ולא לקבור אותו על ידי גוי, צריך לומר שאם יכול לשהות אותו בלי חילול יום טוב, כך צריך לעשות, ולא לקבור על ידי גוי. יש לדון, שאפשר </w:t>
      </w:r>
      <w:r w:rsidR="00D76ABF">
        <w:rPr>
          <w:rFonts w:hint="cs"/>
          <w:rtl/>
          <w:lang w:bidi="he-IL"/>
        </w:rPr>
        <w:t>שזה רק בי"ט שני, שיכולים לשהות עד חול, ולא ביום טוב ראשון, שרק יכולים לשהות עד יום טוב שני. גם אפשר לבאר שרש"י סובר שמר זוטרא ורב אשי אומרים שפשוט שביום טוב ראשון לא הותר ע"י גוי אם יכול לשהות. אז, לא דיברו בו כלל. ותחשב.</w:t>
      </w:r>
    </w:p>
    <w:p w14:paraId="78C0AEF8" w14:textId="77777777" w:rsidR="006A092D" w:rsidRDefault="00000000">
      <w:pPr>
        <w:rPr>
          <w:lang w:bidi="he-IL"/>
        </w:rPr>
      </w:pPr>
      <w:r>
        <w:rPr>
          <w:rtl/>
          <w:lang w:bidi="he-IL"/>
        </w:rPr>
        <w:lastRenderedPageBreak/>
        <w:t>הרא"ש מביא מן הבה"ג שכשאין שם גוי</w:t>
      </w:r>
      <w:r>
        <w:rPr>
          <w:rStyle w:val="FootnoteReference"/>
          <w:rtl/>
          <w:lang w:bidi="he-IL"/>
        </w:rPr>
        <w:footnoteReference w:id="11"/>
      </w:r>
      <w:r>
        <w:rPr>
          <w:rtl/>
          <w:lang w:bidi="he-IL"/>
        </w:rPr>
        <w:t>, ישראל יכול לקבור את המת בי"ט ראשון</w:t>
      </w:r>
      <w:r>
        <w:rPr>
          <w:rStyle w:val="FootnoteReference"/>
          <w:rtl/>
          <w:lang w:bidi="he-IL"/>
        </w:rPr>
        <w:footnoteReference w:id="12"/>
      </w:r>
      <w:r>
        <w:rPr>
          <w:rtl/>
          <w:lang w:bidi="he-IL"/>
        </w:rPr>
        <w:t xml:space="preserve">. </w:t>
      </w:r>
    </w:p>
    <w:p w14:paraId="130561DF" w14:textId="77777777" w:rsidR="006A092D" w:rsidRDefault="00000000">
      <w:pPr>
        <w:pStyle w:val="Heading1"/>
      </w:pPr>
      <w:r>
        <w:rPr>
          <w:rtl/>
        </w:rPr>
        <w:t>יום טוב שני:</w:t>
      </w:r>
    </w:p>
    <w:p w14:paraId="50887291" w14:textId="77777777" w:rsidR="006A092D" w:rsidRDefault="00000000">
      <w:pPr>
        <w:pStyle w:val="Heading2"/>
      </w:pPr>
      <w:r>
        <w:rPr>
          <w:rtl/>
        </w:rPr>
        <w:t>דברים שמותרים לעשות:</w:t>
      </w:r>
    </w:p>
    <w:p w14:paraId="1D9FF441" w14:textId="77777777" w:rsidR="006A092D" w:rsidRDefault="00000000">
      <w:pPr>
        <w:rPr>
          <w:lang w:bidi="he-IL"/>
        </w:rPr>
      </w:pPr>
      <w:r>
        <w:rPr>
          <w:rtl/>
          <w:lang w:bidi="he-IL"/>
        </w:rPr>
        <w:t>מן הדין, בי"ט שני, מותר לעשות כל דבר בשביל המת, ואף טורח שאין בו צורך, כמו עשיית גלימא כשכבר יש לו גלימא או חתיכת הדס</w:t>
      </w:r>
      <w:r>
        <w:rPr>
          <w:rStyle w:val="FootnoteReference"/>
          <w:rtl/>
          <w:lang w:bidi="he-IL"/>
        </w:rPr>
        <w:footnoteReference w:id="13"/>
      </w:r>
      <w:r>
        <w:rPr>
          <w:rtl/>
          <w:lang w:bidi="he-IL"/>
        </w:rPr>
        <w:t>. יש יוצא אחד מכלל זה, והוא דבר שיש בו טורח גדול, כמו עשיית קבר. רש"י על הרי"ף והראב"ד אוסרים לעשות אותו על ידי ישראל ביום טוב שני,</w:t>
      </w:r>
      <w:r>
        <w:rPr>
          <w:rStyle w:val="FootnoteReference"/>
          <w:rtl/>
          <w:lang w:bidi="he-IL"/>
        </w:rPr>
        <w:footnoteReference w:id="14"/>
      </w:r>
      <w:r>
        <w:rPr>
          <w:rtl/>
          <w:lang w:bidi="he-IL"/>
        </w:rPr>
        <w:t xml:space="preserve"> אבל, תוס’ ורש"י (על הדף) ור"ן ורא"ש ורי"ף מתירים.</w:t>
      </w:r>
    </w:p>
    <w:p w14:paraId="1C6A1158" w14:textId="77777777" w:rsidR="006A092D" w:rsidRDefault="00000000">
      <w:pPr>
        <w:rPr>
          <w:lang w:bidi="he-IL"/>
        </w:rPr>
      </w:pPr>
      <w:r>
        <w:rPr>
          <w:rtl/>
          <w:lang w:bidi="he-IL"/>
        </w:rPr>
        <w:t>אבל, יש שלש סיבות להחמיר:</w:t>
      </w:r>
    </w:p>
    <w:p w14:paraId="2C282B7F" w14:textId="77777777" w:rsidR="006A092D" w:rsidRDefault="00000000">
      <w:pPr>
        <w:numPr>
          <w:ilvl w:val="0"/>
          <w:numId w:val="3"/>
        </w:numPr>
        <w:rPr>
          <w:lang w:bidi="he-IL"/>
        </w:rPr>
      </w:pPr>
      <w:r>
        <w:rPr>
          <w:rtl/>
          <w:lang w:bidi="he-IL"/>
        </w:rPr>
        <w:t>הסיבה להחמיר ביו"ט ראשון ינהוג גם בי"ט שני, ויאסור כל קבורה בכל אופן.</w:t>
      </w:r>
    </w:p>
    <w:p w14:paraId="1C196867" w14:textId="77777777" w:rsidR="006A092D" w:rsidRDefault="00000000">
      <w:pPr>
        <w:numPr>
          <w:ilvl w:val="0"/>
          <w:numId w:val="3"/>
        </w:numPr>
        <w:rPr>
          <w:lang w:bidi="he-IL"/>
        </w:rPr>
      </w:pPr>
      <w:r>
        <w:rPr>
          <w:rtl/>
          <w:lang w:bidi="he-IL"/>
        </w:rPr>
        <w:t>רבינא אומר שכשבאו חברים (גויים אכזרים) לבבל, אסרו לקבור את המת, שיכירו הגויים שלא חוששים לעבוד ביום טוב.</w:t>
      </w:r>
      <w:r>
        <w:rPr>
          <w:rStyle w:val="FootnoteReference"/>
          <w:rtl/>
          <w:lang w:bidi="he-IL"/>
        </w:rPr>
        <w:footnoteReference w:id="15"/>
      </w:r>
      <w:r>
        <w:rPr>
          <w:rtl/>
          <w:lang w:bidi="he-IL"/>
        </w:rPr>
        <w:t xml:space="preserve"> תוס’ אומר שהיום יש בני אדם שעובדים לממשלה, והם כעובדים לחברים. (יש לדון אם זה יאסור לכל ישראל לעבוד או רק לאותם בני ישראל לעבוד. נראה שזה תלוי במה שהערנו למטה (החקירה ששאלנו בענין למה חברים יכופו בני ישראל לעבוד כשרואים שמחללים את הי"ט לקבור מת).)</w:t>
      </w:r>
    </w:p>
    <w:p w14:paraId="15C6F2EA" w14:textId="77777777" w:rsidR="006A092D" w:rsidRDefault="00000000">
      <w:pPr>
        <w:ind w:left="720"/>
        <w:rPr>
          <w:lang w:bidi="he-IL"/>
        </w:rPr>
      </w:pPr>
      <w:r>
        <w:rPr>
          <w:rtl/>
          <w:lang w:bidi="he-IL"/>
        </w:rPr>
        <w:t>לא פשוט מה נאסר בכלל זה. הנחתי שעדיין ייהה מותר לקבור על ידי עכו"ם, שלכאו’ אין זה גורם שיחשבו שמלאכה מותר לו בי"ט. אבל, נראה שיש לדון אם זה אוסר כל מלאכה בשביל מת או לא (שאולי אם ממש חשש חופר קבר למת, מבין שהוא רק בשביל מת שמותר לו לחלל את הי"ט).</w:t>
      </w:r>
    </w:p>
    <w:p w14:paraId="0C61B707" w14:textId="738B8967" w:rsidR="006A092D" w:rsidRDefault="00000000">
      <w:pPr>
        <w:numPr>
          <w:ilvl w:val="0"/>
          <w:numId w:val="3"/>
        </w:numPr>
        <w:rPr>
          <w:lang w:bidi="he-IL"/>
        </w:rPr>
      </w:pPr>
      <w:r>
        <w:rPr>
          <w:rtl/>
          <w:lang w:bidi="he-IL"/>
        </w:rPr>
        <w:t>אף אם אין חברים היום, אפשר לומר שכיון שנאסר במנין, צריך היתר במנין, ולא מספיק ביטל הטעם להתיר אותו. (גם בזה נדון כמש"כ בצד שני להחמיר.) תוס’ דוחה שכאן רק נאסר מחמת טעם של חשש, והיום אין ובטל הטעם. לא פשוט מה מכוון תוס’ לומר. נראה שכוונתו לומר שכיון שנאסר רק מחמת חשש, אין הדין שלו כל כך חמור, ולא אומרים שצריך מנין אחר להתיר אותו. ותחשב. אבל, קשה, שצריך שיש ציורים אחרים של ספק שאומרים בו שצריך מנין להתיר אותו. אולי צריך דבר אחר עם זה. צריך ביאור מה. נראה שיש הרבה דרכים אחרים לפרש לשון תוס’ כאן.</w:t>
      </w:r>
      <w:r w:rsidR="00005B50">
        <w:rPr>
          <w:rFonts w:hint="cs"/>
          <w:rtl/>
          <w:lang w:bidi="he-IL"/>
        </w:rPr>
        <w:t xml:space="preserve"> נראה שיש גם הרבה תי' אחרים:</w:t>
      </w:r>
    </w:p>
    <w:p w14:paraId="1BB74DFA" w14:textId="77777777" w:rsidR="006A092D" w:rsidRDefault="00000000">
      <w:pPr>
        <w:ind w:left="720"/>
        <w:rPr>
          <w:lang w:bidi="he-IL"/>
        </w:rPr>
      </w:pPr>
      <w:r>
        <w:rPr>
          <w:rtl/>
          <w:lang w:bidi="he-IL"/>
        </w:rPr>
        <w:t>אפשר לומר שעשו את הטעם לחלק מן התקנה; התקנה היתה להחמיר על הטעם. כיון שאין הטעם נוהג, אי אפשר לאותו הדין לנהוג. אולי אפשר לומר שתוס’ מכוון לומר כן.</w:t>
      </w:r>
    </w:p>
    <w:p w14:paraId="62373FC4" w14:textId="77777777" w:rsidR="006A092D" w:rsidRDefault="00000000">
      <w:pPr>
        <w:ind w:left="720"/>
        <w:rPr>
          <w:lang w:bidi="he-IL"/>
        </w:rPr>
      </w:pPr>
      <w:r>
        <w:rPr>
          <w:rtl/>
          <w:lang w:bidi="he-IL"/>
        </w:rPr>
        <w:t>אפשר לומר שכאן אין צריכים בית דין אחר להתיר אותו כיון שיש קולא בהמשך התקנה. הרי, אם לא ימשיך התקנה, יכבד את המת. לא ממשיכים את התקנה להקל בלי סיבה.</w:t>
      </w:r>
    </w:p>
    <w:p w14:paraId="7C963B22" w14:textId="591655F4" w:rsidR="006A092D" w:rsidRDefault="00000000">
      <w:pPr>
        <w:ind w:left="720"/>
        <w:rPr>
          <w:lang w:bidi="he-IL"/>
        </w:rPr>
      </w:pPr>
      <w:r>
        <w:rPr>
          <w:rtl/>
          <w:lang w:bidi="he-IL"/>
        </w:rPr>
        <w:t>אפשר לומר שלא נאסר במנין, אלא נאסר ממקצת רבנן. (לכאו’, יש לללנו הוכחה שיש דברים כזה מביצה, שגמ’ אומר שלא נאסר במנין, אבל עדיין, לכאו’, צריך להיות שנאסר.)</w:t>
      </w:r>
      <w:r w:rsidR="00005B50">
        <w:rPr>
          <w:rFonts w:hint="cs"/>
          <w:rtl/>
          <w:lang w:bidi="he-IL"/>
        </w:rPr>
        <w:t xml:space="preserve"> יש להוסיף שגם אפשר שלא נאסר בכלל. במילים אחרים, לא עשו רבנן תקנה לאסור אותו, אלא פסקו שמחמת חידוש המציאות, שמכריח להם  לדחות כבוד המת או כל יום טוב שיבוא, אסור לקבור את המת. כיון שלא היה בזה תקנה, לא צריכים מנין </w:t>
      </w:r>
      <w:r w:rsidR="00005B50">
        <w:rPr>
          <w:rFonts w:hint="cs"/>
          <w:rtl/>
          <w:lang w:bidi="he-IL"/>
        </w:rPr>
        <w:lastRenderedPageBreak/>
        <w:t>אחר כדי להתיר אותו. יש שמדייקים כן מן הרמב"ם, שלא מזכיר דין של מקום שיש בו חברים. משמע שאין זו תקנה מיוחדת, אלא דין.</w:t>
      </w:r>
      <w:r w:rsidR="00005B50">
        <w:rPr>
          <w:rStyle w:val="FootnoteReference"/>
          <w:rtl/>
          <w:lang w:bidi="he-IL"/>
        </w:rPr>
        <w:footnoteReference w:id="16"/>
      </w:r>
    </w:p>
    <w:p w14:paraId="2A678E00" w14:textId="77777777" w:rsidR="006A092D" w:rsidRDefault="00000000">
      <w:pPr>
        <w:ind w:left="720"/>
        <w:rPr>
          <w:lang w:bidi="he-IL"/>
        </w:rPr>
      </w:pPr>
      <w:r>
        <w:rPr>
          <w:rtl/>
          <w:lang w:bidi="he-IL"/>
        </w:rPr>
        <w:t>אפשר לומר שאותו מנין ראשון שהתיר אותו מדין יום טוב שני מספיק לעשות בית דין אחר שמתיר אותו. לא צריך בית דין המתיר לבוא אחרי בית דין האוסר. ותחשב. נראה שיש הרבה דרכים לדחות את זה. נוכל לומר שצריך להיות אחרי בית דין האוסר (אולי שצריך לשמוע לבית דין הקרוב לו). גם נוכל לומר שלא דברו חכמים על זה, שדברו על מצב שלא היה בו חברים לפני זמן, ולא היה בו תקנת חכמים. גם נוכל לומר שלא התירו אותו רנן, אלא רק לא אסרו אותו. ותחשב.</w:t>
      </w:r>
    </w:p>
    <w:p w14:paraId="61BF5935" w14:textId="77777777" w:rsidR="006A092D" w:rsidRDefault="00000000">
      <w:pPr>
        <w:pStyle w:val="Heading2"/>
      </w:pPr>
      <w:r>
        <w:rPr>
          <w:rtl/>
        </w:rPr>
        <w:t>אופנים שמותר לעשות אותם:</w:t>
      </w:r>
    </w:p>
    <w:p w14:paraId="04CE43D6" w14:textId="77777777" w:rsidR="006A092D" w:rsidRDefault="00000000">
      <w:pPr>
        <w:rPr>
          <w:lang w:bidi="he-IL"/>
        </w:rPr>
      </w:pPr>
      <w:r>
        <w:rPr>
          <w:rtl/>
          <w:lang w:bidi="he-IL"/>
        </w:rPr>
        <w:t>חולקים מר זוטרא ורב אשי מתי מותר לעסק במת בי"ט. מר זוטרא אומר שמותר רק אם לא יכולים לשהות עד אחרי יום טוב ראשון בלי סירחה. רב אשי חולק, ואומר שאף אם יכולים לשהות, מותר לקבור אותו ביום טוב.</w:t>
      </w:r>
      <w:r>
        <w:rPr>
          <w:rStyle w:val="FootnoteReference"/>
          <w:rtl/>
          <w:lang w:bidi="he-IL"/>
        </w:rPr>
        <w:footnoteReference w:id="17"/>
      </w:r>
    </w:p>
    <w:p w14:paraId="780D2CB3" w14:textId="77777777" w:rsidR="006A092D" w:rsidRDefault="00000000">
      <w:pPr>
        <w:rPr>
          <w:lang w:bidi="he-IL"/>
        </w:rPr>
      </w:pPr>
      <w:r>
        <w:rPr>
          <w:rtl/>
          <w:lang w:bidi="he-IL"/>
        </w:rPr>
        <w:t>חולקים אם מותר לעשות אותו על ידי ישראל אם אפשר לעשות אותו ע"י גוי; בה"ג ורב אחאי אוסרים ור"ן ורמב"ן מתירים.</w:t>
      </w:r>
    </w:p>
    <w:p w14:paraId="2C78C591" w14:textId="77777777" w:rsidR="006A092D" w:rsidRDefault="00000000">
      <w:pPr>
        <w:rPr>
          <w:lang w:bidi="he-IL"/>
        </w:rPr>
      </w:pPr>
      <w:r>
        <w:rPr>
          <w:rtl/>
          <w:lang w:bidi="he-IL"/>
        </w:rPr>
        <w:t>הרא"ש כ’ שרק מותר בצנעא, אבל לא בפרהסיא. אינו מבאר הטעם, אבל נראה שתולה אותו במה שהוא ספק חול המועד. (אז, אינו נוהג בכל י"ט שני, אלא רק אם אולי חול המועד הוא</w:t>
      </w:r>
      <w:r>
        <w:rPr>
          <w:rStyle w:val="FootnoteReference"/>
          <w:rtl/>
          <w:lang w:bidi="he-IL"/>
        </w:rPr>
        <w:footnoteReference w:id="18"/>
      </w:r>
      <w:r>
        <w:rPr>
          <w:rtl/>
          <w:lang w:bidi="he-IL"/>
        </w:rPr>
        <w:t>.)</w:t>
      </w:r>
      <w:r>
        <w:rPr>
          <w:rStyle w:val="FootnoteReference"/>
          <w:rtl/>
          <w:lang w:bidi="he-IL"/>
        </w:rPr>
        <w:footnoteReference w:id="19"/>
      </w:r>
    </w:p>
    <w:p w14:paraId="30400CF1" w14:textId="77777777" w:rsidR="006A092D" w:rsidRDefault="00000000">
      <w:pPr>
        <w:rPr>
          <w:lang w:bidi="he-IL"/>
        </w:rPr>
      </w:pPr>
      <w:r>
        <w:rPr>
          <w:rtl/>
          <w:lang w:bidi="he-IL"/>
        </w:rPr>
        <w:t>המשנה (מועד קטן ח:) אומר שלא מותר לעסק בצרכי מת אם אין היכר לכך, שחוששים שבני אדם שרואים אותו מחלל יום טוב</w:t>
      </w:r>
      <w:r>
        <w:rPr>
          <w:rStyle w:val="FootnoteReference"/>
          <w:rtl/>
          <w:lang w:bidi="he-IL"/>
        </w:rPr>
        <w:footnoteReference w:id="20"/>
      </w:r>
      <w:r>
        <w:rPr>
          <w:rtl/>
          <w:lang w:bidi="he-IL"/>
        </w:rPr>
        <w:t xml:space="preserve"> לא יכיר שבשביל המת הוא עושה. יש ארבע דרכים להתיר:</w:t>
      </w:r>
    </w:p>
    <w:p w14:paraId="243D350C" w14:textId="77777777" w:rsidR="006A092D" w:rsidRDefault="00000000">
      <w:pPr>
        <w:numPr>
          <w:ilvl w:val="0"/>
          <w:numId w:val="4"/>
        </w:numPr>
        <w:rPr>
          <w:lang w:bidi="he-IL"/>
        </w:rPr>
      </w:pPr>
      <w:r>
        <w:rPr>
          <w:rtl/>
          <w:lang w:bidi="he-IL"/>
        </w:rPr>
        <w:t>אם השאיר קרוב לו דברים שמוכיחים שעושה בשביל המת (חולקים תנאים מה צריך להשאיר), מותר, שכל הרואה מכיר שלצורך המת הוא עושה המלאכה. מקור ההיתר הוא אותו המשנה (מועד קטן ח:).</w:t>
      </w:r>
    </w:p>
    <w:p w14:paraId="5B28C960" w14:textId="77777777" w:rsidR="006A092D" w:rsidRDefault="00000000">
      <w:pPr>
        <w:numPr>
          <w:ilvl w:val="0"/>
          <w:numId w:val="4"/>
        </w:numPr>
        <w:rPr>
          <w:lang w:bidi="he-IL"/>
        </w:rPr>
      </w:pPr>
      <w:r>
        <w:rPr>
          <w:rtl/>
          <w:lang w:bidi="he-IL"/>
        </w:rPr>
        <w:t>אם הנפטר היה אדם מפורסם, הכל יודעים שזה נפטר. כיון שכן, יניחו שלצורך המת מחלל את היום טוב.</w:t>
      </w:r>
      <w:r>
        <w:rPr>
          <w:rStyle w:val="FootnoteReference"/>
          <w:rtl/>
          <w:lang w:bidi="he-IL"/>
        </w:rPr>
        <w:footnoteReference w:id="21"/>
      </w:r>
      <w:r>
        <w:rPr>
          <w:rtl/>
          <w:lang w:bidi="he-IL"/>
        </w:rPr>
        <w:t xml:space="preserve"> מקור ההיתר הוא ירושלמי.</w:t>
      </w:r>
    </w:p>
    <w:p w14:paraId="46C254AC" w14:textId="77777777" w:rsidR="006A092D" w:rsidRDefault="00000000">
      <w:pPr>
        <w:numPr>
          <w:ilvl w:val="0"/>
          <w:numId w:val="4"/>
        </w:numPr>
        <w:rPr>
          <w:lang w:bidi="he-IL"/>
        </w:rPr>
      </w:pPr>
      <w:r>
        <w:rPr>
          <w:rtl/>
          <w:lang w:bidi="he-IL"/>
        </w:rPr>
        <w:lastRenderedPageBreak/>
        <w:t>אם אין הרבה יהודים, הכל יודעים שזה נפטר. אז, מניחים הכל שלצורך המת מחלל את היום טוב. מקור ההיתר הוא הר"ן.</w:t>
      </w:r>
    </w:p>
    <w:p w14:paraId="28371A6F" w14:textId="77777777" w:rsidR="006A092D" w:rsidRDefault="00000000">
      <w:pPr>
        <w:numPr>
          <w:ilvl w:val="0"/>
          <w:numId w:val="4"/>
        </w:numPr>
        <w:rPr>
          <w:lang w:bidi="he-IL"/>
        </w:rPr>
      </w:pPr>
      <w:r>
        <w:rPr>
          <w:rtl/>
          <w:lang w:bidi="he-IL"/>
        </w:rPr>
        <w:t>אם דרך בני אותו המקום להכן למת רק כשנפטר, הכל מכירים שעושה אותו בשביל מת, ולא לעתיד. אז, מותר לחלל את היום טוב בשביל אותו עסק. מקור ההיתר הוא הר"ן.</w:t>
      </w:r>
    </w:p>
    <w:p w14:paraId="64FDE6E5" w14:textId="77777777" w:rsidR="006A092D" w:rsidRDefault="006A092D">
      <w:pPr>
        <w:rPr>
          <w:lang w:bidi="he-IL"/>
        </w:rPr>
      </w:pPr>
    </w:p>
    <w:p w14:paraId="7B8FBF79" w14:textId="77777777" w:rsidR="006A092D" w:rsidRDefault="006A092D">
      <w:pPr>
        <w:rPr>
          <w:lang w:bidi="he-IL"/>
        </w:rPr>
      </w:pPr>
    </w:p>
    <w:p w14:paraId="54B16E75" w14:textId="77777777" w:rsidR="006A092D" w:rsidRDefault="006A092D">
      <w:pPr>
        <w:rPr>
          <w:lang w:bidi="he-IL"/>
        </w:rPr>
      </w:pPr>
    </w:p>
    <w:sectPr w:rsidR="006A092D">
      <w:headerReference w:type="default" r:id="rId7"/>
      <w:footerReference w:type="default" r:id="rId8"/>
      <w:pgSz w:w="12240" w:h="15840"/>
      <w:pgMar w:top="1844" w:right="1134" w:bottom="1775" w:left="1134" w:header="1134" w:footer="1134" w:gutter="0"/>
      <w:cols w:space="720"/>
      <w:formProt w:val="0"/>
      <w:bidi/>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3D21D" w14:textId="77777777" w:rsidR="00E01D17" w:rsidRDefault="00E01D17">
      <w:pPr>
        <w:spacing w:before="0" w:after="0"/>
      </w:pPr>
      <w:r>
        <w:separator/>
      </w:r>
    </w:p>
  </w:endnote>
  <w:endnote w:type="continuationSeparator" w:id="0">
    <w:p w14:paraId="6635AF6B" w14:textId="77777777" w:rsidR="00E01D17" w:rsidRDefault="00E01D1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NSimSun">
    <w:panose1 w:val="02010609030101010101"/>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00"/>
    <w:family w:val="roman"/>
    <w:notTrueType/>
    <w:pitch w:val="default"/>
  </w:font>
  <w:font w:name="Mekorot-Rashi">
    <w:panose1 w:val="02000603000000000000"/>
    <w:charset w:val="B1"/>
    <w:family w:val="auto"/>
    <w:pitch w:val="variable"/>
    <w:sig w:usb0="00000821" w:usb1="40000002" w:usb2="00000000" w:usb3="00000000" w:csb0="00000020" w:csb1="00000000"/>
  </w:font>
  <w:font w:name="SBL Hebrew">
    <w:panose1 w:val="02000000000000000000"/>
    <w:charset w:val="00"/>
    <w:family w:val="auto"/>
    <w:pitch w:val="variable"/>
    <w:sig w:usb0="8000086F" w:usb1="4000204A" w:usb2="00000000" w:usb3="00000000" w:csb0="0000002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FB79E" w14:textId="77777777" w:rsidR="006A092D" w:rsidRDefault="00000000">
    <w:pPr>
      <w:pStyle w:val="Footer"/>
      <w:jc w:val="center"/>
      <w:rPr>
        <w:rFonts w:cs="SBL Hebrew"/>
        <w:lang w:bidi="he-IL"/>
      </w:rPr>
    </w:pPr>
    <w:r>
      <w:rPr>
        <w:rFonts w:cs="SBL Hebrew"/>
        <w:rtl/>
        <w:lang w:bidi="he-IL"/>
      </w:rPr>
      <w:t>קבורה ביום טוב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00481" w14:textId="77777777" w:rsidR="00E01D17" w:rsidRDefault="00E01D17">
      <w:pPr>
        <w:rPr>
          <w:sz w:val="12"/>
        </w:rPr>
      </w:pPr>
      <w:r>
        <w:separator/>
      </w:r>
    </w:p>
  </w:footnote>
  <w:footnote w:type="continuationSeparator" w:id="0">
    <w:p w14:paraId="7B721F5E" w14:textId="77777777" w:rsidR="00E01D17" w:rsidRDefault="00E01D17">
      <w:pPr>
        <w:rPr>
          <w:sz w:val="12"/>
        </w:rPr>
      </w:pPr>
      <w:r>
        <w:continuationSeparator/>
      </w:r>
    </w:p>
  </w:footnote>
  <w:footnote w:id="1">
    <w:p w14:paraId="2A443624" w14:textId="77777777" w:rsidR="006A092D" w:rsidRDefault="00000000">
      <w:pPr>
        <w:pStyle w:val="FootnoteText"/>
        <w:rPr>
          <w:lang w:bidi="he-IL"/>
        </w:rPr>
      </w:pPr>
      <w:r>
        <w:rPr>
          <w:rStyle w:val="FootnoteCharacters"/>
        </w:rPr>
        <w:footnoteRef/>
      </w:r>
      <w:r>
        <w:rPr>
          <w:rtl/>
          <w:lang w:bidi="he-IL"/>
        </w:rPr>
        <w:tab/>
        <w:t xml:space="preserve">לכאו’, לא מצאנו שום הגדרה לזה בגמ’. מסברה, נוכל לומר שבאמת הכל מותר (ואולי לכן לא נתן הגדרה), וגם נוכל לומר שרק דבר שיביא בזיון למת אם לא נעשה מותר. </w:t>
      </w:r>
    </w:p>
    <w:p w14:paraId="15DDDDAB" w14:textId="77777777" w:rsidR="006A092D" w:rsidRDefault="00000000">
      <w:pPr>
        <w:pStyle w:val="FootnoteText"/>
        <w:rPr>
          <w:lang w:bidi="he-IL"/>
        </w:rPr>
      </w:pPr>
      <w:r>
        <w:rPr>
          <w:rtl/>
          <w:lang w:bidi="he-IL"/>
        </w:rPr>
        <w:tab/>
        <w:t>נראה שיש שתי הוכחות.</w:t>
      </w:r>
    </w:p>
    <w:p w14:paraId="7B8DB3BF" w14:textId="77777777" w:rsidR="006A092D" w:rsidRDefault="00000000">
      <w:pPr>
        <w:pStyle w:val="FootnoteText"/>
        <w:rPr>
          <w:lang w:bidi="he-IL"/>
        </w:rPr>
      </w:pPr>
      <w:r>
        <w:rPr>
          <w:rtl/>
          <w:lang w:bidi="he-IL"/>
        </w:rPr>
        <w:tab/>
        <w:t xml:space="preserve">ההוכחה הראשונה באה מן היתר יום טוב שני. הגמ’ אומר שיו"ט שני הוא כחול, ואף מותר לעשות גלימא. אז, יוצא שמה שיום טוב שני, ולא יום טוב ראשון, הוא חול עושה שביום טוב שני מותר לחתוך גלימא. לא משמע מן הגמ’ שהחילוק בין י"ט שני לי"ט ראשון שבא ממה שחול גמור הוא בי"ט שני הוא שיכול לעשות אלו ע"י ישראל, שהיה לו להזכיר את זה, ולא רק לומר שמותר לעשות דברים אלו. אז, נראה שאסור בשום אופן לעשות דברים אלו ביום טוב ראשון, ואפילו על ידי נכרים. (יש לדחות שרצה לומר שלגבי ישראל כחול הוא, ומוכיח ממה שמותר לישראל לעשות דברים אלו. כיון שכל הדיון היה מתחילה רק על היתר לישראל, ולא על היתר של היום, לא צריך להזכיר שמביא ראיה מן היתר של ישראל.) </w:t>
      </w:r>
    </w:p>
    <w:p w14:paraId="0635A34C" w14:textId="77777777" w:rsidR="006A092D" w:rsidRDefault="00000000">
      <w:pPr>
        <w:pStyle w:val="FootnoteText"/>
        <w:rPr>
          <w:lang w:bidi="he-IL"/>
        </w:rPr>
      </w:pPr>
      <w:r>
        <w:rPr>
          <w:rtl/>
          <w:lang w:bidi="he-IL"/>
        </w:rPr>
        <w:tab/>
        <w:t>מרש"י יוצא שדברים אלו הם דברים שהם "טירחא בלי צורך.” אז, לכאו’, זה יגדיר לנו (אבל, אף ההגדרה צריכה הגדרה) מה מותר לעשות ע"י עכו"ם ביום טוב ראשון- מותר לעשות דבר שיש בו צורך. (יש להוסיף שהיה אפשר לדייק מרש"י שרק אסור אם הוא טורח בלי צורך, אבל לא נראה כן, שאין הרבה טורח בחתיכת הדס. אז, לא נראה שרש"י כל כך דווקא כשאומר "טורח.” ויש לדון, שאולי צריך ללכת הילוך רב לו. גם אפשר לומר שרצה לומר שאין ההנאה שווה הטורח כל כך. ותחשב.)</w:t>
      </w:r>
    </w:p>
    <w:p w14:paraId="52C6464B" w14:textId="77777777" w:rsidR="006A092D" w:rsidRDefault="00000000">
      <w:pPr>
        <w:pStyle w:val="FootnoteText"/>
        <w:rPr>
          <w:lang w:bidi="he-IL"/>
        </w:rPr>
      </w:pPr>
      <w:r>
        <w:rPr>
          <w:rtl/>
          <w:lang w:bidi="he-IL"/>
        </w:rPr>
        <w:tab/>
        <w:t>ההוכחה השנית יבוא מדיון שנביא בע"ה בהיתר לומר לגוי לקבור מת שיכול לקבור למחר (בלי סירחה). אם נאמר שלא מותר, נמצא שיש לנו הגדרה (שכל שנוכל לעשות למחר מותר), אבל עדיין יש לדון אם לא נוכל לעשות אותו למחר, אלא שלא מוכרחים לעשות אותו, אם יהיה מותר). כמו כן, אם מותר, אף שיכול לקבור למחר, אולי ייצא לנו גדר. עיין לקמן, בע"ה.</w:t>
      </w:r>
    </w:p>
  </w:footnote>
  <w:footnote w:id="2">
    <w:p w14:paraId="1B83811E" w14:textId="77777777" w:rsidR="006A092D" w:rsidRDefault="00000000">
      <w:pPr>
        <w:pStyle w:val="FootnoteText"/>
        <w:rPr>
          <w:lang w:bidi="he-IL"/>
        </w:rPr>
      </w:pPr>
      <w:r>
        <w:rPr>
          <w:rStyle w:val="FootnoteCharacters"/>
        </w:rPr>
        <w:footnoteRef/>
      </w:r>
      <w:r>
        <w:rPr>
          <w:rtl/>
          <w:lang w:bidi="he-IL"/>
        </w:rPr>
        <w:tab/>
        <w:t>יש להעיר שאם מותר לקבור מת על ידי גוי אף אם לא נשתהה, אז אולי כל דיון של הגמ’ הוא אם לא נשתהה המת, ויכול להשהות אותו בלי סירחה. אבל, עיין שם בגמ’ (במה שמביא מרבי יוחנן) שלא משמע כן כלל.</w:t>
      </w:r>
    </w:p>
  </w:footnote>
  <w:footnote w:id="3">
    <w:p w14:paraId="1EFD1585" w14:textId="77777777" w:rsidR="006A092D" w:rsidRDefault="00000000">
      <w:pPr>
        <w:pStyle w:val="FootnoteText"/>
        <w:rPr>
          <w:lang w:bidi="he-IL"/>
        </w:rPr>
      </w:pPr>
      <w:r>
        <w:rPr>
          <w:rStyle w:val="FootnoteCharacters"/>
        </w:rPr>
        <w:footnoteRef/>
      </w:r>
      <w:r>
        <w:rPr>
          <w:rtl/>
          <w:lang w:bidi="he-IL"/>
        </w:rPr>
        <w:tab/>
        <w:t>לא כל כך פשוט מה רצה לומר. אולי מחמיר לנו כיון שאנו רק קצת בני תורה. אז, רק בדבר רע מאד, כמו דבר שנעשה בפרהסיא, צריכים להחמיר. דחוק, שמלשון רבינו תם משמע שאנו יותר עמי הארץ מבני בשכר. נראה אולי שרצה לומר שאינו כבוד לבני בשכר (או לבני ישראל) לומר שהם לא היו בני תורה ואנן נחשבים בני תורה, דהיינו שהם היו פחותים ממנו. אז, אין להקל בפרהסיא.</w:t>
      </w:r>
    </w:p>
  </w:footnote>
  <w:footnote w:id="4">
    <w:p w14:paraId="6E2F5CF1" w14:textId="77777777" w:rsidR="006A092D" w:rsidRDefault="00000000">
      <w:pPr>
        <w:pStyle w:val="FootnoteText"/>
        <w:rPr>
          <w:lang w:bidi="he-IL"/>
        </w:rPr>
      </w:pPr>
      <w:r>
        <w:rPr>
          <w:rStyle w:val="FootnoteCharacters"/>
        </w:rPr>
        <w:footnoteRef/>
      </w:r>
      <w:r>
        <w:rPr>
          <w:rtl/>
          <w:lang w:bidi="he-IL"/>
        </w:rPr>
        <w:tab/>
        <w:t>נראה שזה נגד מה שצדדנו שכיון שהוא מחלל יום טוב עליו הוא מרבה את כבוד המת.</w:t>
      </w:r>
    </w:p>
  </w:footnote>
  <w:footnote w:id="5">
    <w:p w14:paraId="2A0D6A49" w14:textId="77777777" w:rsidR="006A092D" w:rsidRDefault="00000000">
      <w:pPr>
        <w:pStyle w:val="FootnoteText"/>
        <w:rPr>
          <w:lang w:bidi="he-IL"/>
        </w:rPr>
      </w:pPr>
      <w:r>
        <w:rPr>
          <w:rStyle w:val="FootnoteCharacters"/>
        </w:rPr>
        <w:footnoteRef/>
      </w:r>
      <w:r>
        <w:rPr>
          <w:rtl/>
          <w:lang w:bidi="he-IL"/>
        </w:rPr>
        <w:tab/>
        <w:t>יש לדון בזה. אפשר לומר שהנפש של המת נהנה. אולי נהנה בשמים, ואולי הוא עוד קצת בגוף, כמו שאומר גמ’ בסוף שבת, שהמת יודע כל מה שנאמר בפניו, ומרגיש בו. גם אפשר שטובת בני אדם הוא, כדי שהמת לא יסריח. ותחשב. אולי רק מדברים במת שיכולים לשהות אותו עד למחר. ותחשב.</w:t>
      </w:r>
    </w:p>
  </w:footnote>
  <w:footnote w:id="6">
    <w:p w14:paraId="5FB3392D" w14:textId="77777777" w:rsidR="006A092D" w:rsidRDefault="00000000">
      <w:pPr>
        <w:pStyle w:val="FootnoteText"/>
        <w:rPr>
          <w:lang w:bidi="he-IL"/>
        </w:rPr>
      </w:pPr>
      <w:r>
        <w:rPr>
          <w:rStyle w:val="FootnoteCharacters"/>
        </w:rPr>
        <w:footnoteRef/>
      </w:r>
      <w:r>
        <w:rPr>
          <w:rtl/>
          <w:lang w:bidi="he-IL"/>
        </w:rPr>
        <w:tab/>
        <w:t>יש להעיר שאם מותר לומר לנכרי לקבור אותו, אף שאפשר לשהות אותו, קשה למה אומר מר זוטרא לקמן שאם יכול לשהות אותו, צריך לשהות, ולא אומר שאז יקבר על ידי גוי. אולי מ"ז מדבר כשאין שם גוי. גם אפשר שמר זוטרא יחלוק גם על דין יום טוב ראשון. אבל, הראשונים לא אומרים כן. אולי רק מותר לעשות על ידי גוי כיון שבוודאי לא יכול לשהות עד חול, ולא אומרים שישהה יום אחד לחלל אותו ביום טוב שני ולא ביום טוב ראשון.</w:t>
      </w:r>
    </w:p>
  </w:footnote>
  <w:footnote w:id="7">
    <w:p w14:paraId="79A55833" w14:textId="77777777" w:rsidR="006A092D" w:rsidRDefault="00000000">
      <w:pPr>
        <w:pStyle w:val="FootnoteText"/>
        <w:rPr>
          <w:lang w:bidi="he-IL"/>
        </w:rPr>
      </w:pPr>
      <w:r>
        <w:rPr>
          <w:rStyle w:val="FootnoteCharacters"/>
        </w:rPr>
        <w:footnoteRef/>
      </w:r>
      <w:r>
        <w:rPr>
          <w:rtl/>
          <w:lang w:bidi="he-IL"/>
        </w:rPr>
        <w:tab/>
        <w:t>יש לדון אם צריך להיות שהיה שבת, ששהו ברשות, ומה יקרה אם היה חול, ושהו באיסור.</w:t>
      </w:r>
    </w:p>
  </w:footnote>
  <w:footnote w:id="8">
    <w:p w14:paraId="3BD96590" w14:textId="77777777" w:rsidR="006A092D" w:rsidRDefault="00000000">
      <w:pPr>
        <w:pStyle w:val="FootnoteText"/>
        <w:rPr>
          <w:lang w:bidi="he-IL"/>
        </w:rPr>
      </w:pPr>
      <w:r>
        <w:rPr>
          <w:rStyle w:val="FootnoteCharacters"/>
        </w:rPr>
        <w:footnoteRef/>
      </w:r>
      <w:r>
        <w:rPr>
          <w:rtl/>
          <w:lang w:bidi="he-IL"/>
        </w:rPr>
        <w:tab/>
        <w:t xml:space="preserve">יש להעיר שאפשר לדחות שמר זוטרא לא מדבר בי"ט ראשון, לא מפני שאין הדין נוהג, אלא מפני שהדין פשוט. כיון שצריך לקבור אותו באופן שלא עובר על איסור, ולכן צריך לקבור ע"י גוי, פשוט שהוא צריך לשהות, אם אפשר. </w:t>
      </w:r>
    </w:p>
  </w:footnote>
  <w:footnote w:id="9">
    <w:p w14:paraId="1E1A2B38" w14:textId="77777777" w:rsidR="006A092D" w:rsidRDefault="00000000">
      <w:pPr>
        <w:pStyle w:val="FootnoteText"/>
        <w:rPr>
          <w:lang w:bidi="he-IL"/>
        </w:rPr>
      </w:pPr>
      <w:r>
        <w:rPr>
          <w:rStyle w:val="FootnoteCharacters"/>
        </w:rPr>
        <w:footnoteRef/>
      </w:r>
      <w:r>
        <w:rPr>
          <w:rtl/>
          <w:lang w:bidi="he-IL"/>
        </w:rPr>
        <w:tab/>
        <w:t>יש להעיר שאז כשאומר שאם אפשר לשהותו בי"ט שני, צריך לשהות אותו, אין זה דווקא, שאם יש שם גוי, יכול לקבור אותו על ידי גוי, שלא ייגרע מי"ט ראשון. (ויש לדון, שאולי י"ט ראשון רק מותר בגוי, אף שיכול להשהות, כיון שאף אם משהה, נמצא שקובר ביום טוב שני. יש לדון, שכיון שחול הוא, לא נראה שייאסר.)</w:t>
      </w:r>
    </w:p>
  </w:footnote>
  <w:footnote w:id="10">
    <w:p w14:paraId="6CF8B804" w14:textId="77777777" w:rsidR="006A092D" w:rsidRDefault="00000000">
      <w:pPr>
        <w:pStyle w:val="FootnoteText"/>
        <w:rPr>
          <w:lang w:bidi="he-IL"/>
        </w:rPr>
      </w:pPr>
      <w:r>
        <w:rPr>
          <w:rStyle w:val="FootnoteCharacters"/>
        </w:rPr>
        <w:footnoteRef/>
      </w:r>
      <w:r>
        <w:rPr>
          <w:rtl/>
          <w:lang w:bidi="he-IL"/>
        </w:rPr>
        <w:tab/>
        <w:t>אולי זה יהיה שייך למה שדנינו לעיל בביאור הגדרה של היתר בי"ט ראשון.</w:t>
      </w:r>
    </w:p>
  </w:footnote>
  <w:footnote w:id="11">
    <w:p w14:paraId="1CB865E5" w14:textId="77777777" w:rsidR="006A092D" w:rsidRDefault="00000000">
      <w:pPr>
        <w:pStyle w:val="FootnoteText"/>
        <w:rPr>
          <w:lang w:bidi="he-IL"/>
        </w:rPr>
      </w:pPr>
      <w:r>
        <w:rPr>
          <w:rStyle w:val="FootnoteCharacters"/>
        </w:rPr>
        <w:footnoteRef/>
      </w:r>
      <w:r>
        <w:rPr>
          <w:rtl/>
          <w:lang w:bidi="he-IL"/>
        </w:rPr>
        <w:tab/>
        <w:t>יש לדון כמה צריך לטרוח למצוא גוי.</w:t>
      </w:r>
    </w:p>
  </w:footnote>
  <w:footnote w:id="12">
    <w:p w14:paraId="6929C028" w14:textId="77777777" w:rsidR="006A092D" w:rsidRDefault="00000000">
      <w:pPr>
        <w:pStyle w:val="FootnoteText"/>
        <w:rPr>
          <w:lang w:bidi="he-IL"/>
        </w:rPr>
      </w:pPr>
      <w:r>
        <w:rPr>
          <w:rStyle w:val="FootnoteCharacters"/>
        </w:rPr>
        <w:footnoteRef/>
      </w:r>
      <w:r>
        <w:rPr>
          <w:rtl/>
          <w:lang w:bidi="he-IL"/>
        </w:rPr>
        <w:tab/>
        <w:t xml:space="preserve">לכאו’, היתר זה הוא רק אם לא יכול להשהות אותו ולא יסריח. </w:t>
      </w:r>
    </w:p>
  </w:footnote>
  <w:footnote w:id="13">
    <w:p w14:paraId="01BDA0B1" w14:textId="77777777" w:rsidR="006A092D" w:rsidRDefault="00000000">
      <w:pPr>
        <w:pStyle w:val="FootnoteText"/>
        <w:rPr>
          <w:lang w:bidi="he-IL"/>
        </w:rPr>
      </w:pPr>
      <w:r>
        <w:rPr>
          <w:rStyle w:val="FootnoteCharacters"/>
        </w:rPr>
        <w:footnoteRef/>
      </w:r>
      <w:r>
        <w:rPr>
          <w:rtl/>
          <w:lang w:bidi="he-IL"/>
        </w:rPr>
        <w:tab/>
        <w:t>יש להעיר שאולי דברים אלו מותרים רק מפני שמה שדוחה את היום טוב עליהם מרבה כבוד למת. במילים אחרים, הכנת דברים אלו ביום טוב יותר חשוב מהכנת דברים אלו בחול.</w:t>
      </w:r>
    </w:p>
  </w:footnote>
  <w:footnote w:id="14">
    <w:p w14:paraId="62CA57D4" w14:textId="77777777" w:rsidR="006A092D" w:rsidRDefault="00000000">
      <w:pPr>
        <w:pStyle w:val="FootnoteText"/>
        <w:rPr>
          <w:lang w:bidi="he-IL"/>
        </w:rPr>
      </w:pPr>
      <w:r>
        <w:rPr>
          <w:rStyle w:val="FootnoteCharacters"/>
        </w:rPr>
        <w:footnoteRef/>
      </w:r>
      <w:r>
        <w:rPr>
          <w:rtl/>
          <w:lang w:bidi="he-IL"/>
        </w:rPr>
        <w:tab/>
        <w:t>עיין שם, שרש"י אוסר את זה בחול המועד (מועד קטן (ח:)). מזה לומד הר"ן שאוסר אף בי"ט שני. יש לדון אם רק אוסר י"ט שני שהוא ספק חול המועד או שאוסר כל י"ט שני, כיון שמסתבר שאיסור כל י"ט שני (אף ספק חול) יותר חמור מן חול המועד. (עיין בתוס’ במ"ק שם.)</w:t>
      </w:r>
    </w:p>
  </w:footnote>
  <w:footnote w:id="15">
    <w:p w14:paraId="07983C55" w14:textId="77777777" w:rsidR="006A092D" w:rsidRDefault="00000000">
      <w:pPr>
        <w:pStyle w:val="FootnoteText"/>
        <w:rPr>
          <w:lang w:bidi="he-IL"/>
        </w:rPr>
      </w:pPr>
      <w:r>
        <w:rPr>
          <w:rStyle w:val="FootnoteCharacters"/>
        </w:rPr>
        <w:footnoteRef/>
      </w:r>
      <w:r>
        <w:rPr>
          <w:rtl/>
          <w:lang w:bidi="he-IL"/>
        </w:rPr>
        <w:tab/>
        <w:t>יש לדון אם ילמדו מזה שאותו אדם לא חושש לעבוד בי"ט או שיוכיחו מזה שאין איסור לעבוד בי"ט. (נראה שיש עוד פי’, והוא שיוכיחו שיש דברים שדוחים מצוות יו"ט (נ’ שההו"א יכול להיות שאין דבר שדוחה את יום טוב, כיוןש הוא כעין שבת, ושבת הוא כעין עבודה זרה (ע’ בתחילת חולין, בדין מומר). ותחשב.), ואז יבינו לעשות מצב של פקוח נפש, ויגרמו להם לחלל את יום טוב.)</w:t>
      </w:r>
    </w:p>
  </w:footnote>
  <w:footnote w:id="16">
    <w:p w14:paraId="48EC63AE" w14:textId="22C079F9" w:rsidR="00005B50" w:rsidRDefault="00005B50">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יש לדון בזה, שעדיין היה לו להזכיר אותו. צריך לומר שכיון שהוא רק דין, ולא תקנה, אפשר לחדש שרמבם סבר שפשוט הוא, ולכן לא צריך להזכיר אותו. ויש לדון אם פשוט הוא, שכבר מצאנו שמת דוחה יום טוב, ומי יאמר שרק דוחה י"ט בעידנא, ולא שידחה כמה שצריך, ואף אם ידחה כל י"ט שלעתיד. ותחשב.</w:t>
      </w:r>
    </w:p>
    <w:p w14:paraId="16524BAF" w14:textId="11489EBD" w:rsidR="00005B50" w:rsidRDefault="00005B50">
      <w:pPr>
        <w:pStyle w:val="FootnoteText"/>
        <w:rPr>
          <w:rFonts w:hint="cs"/>
        </w:rPr>
      </w:pPr>
      <w:r>
        <w:rPr>
          <w:rtl/>
          <w:lang w:bidi="he-IL"/>
        </w:rPr>
        <w:tab/>
      </w:r>
      <w:r>
        <w:rPr>
          <w:rFonts w:hint="cs"/>
          <w:rtl/>
          <w:lang w:bidi="he-IL"/>
        </w:rPr>
        <w:t>באמת, הייתי אומר שלא קשה שרמבם לא מזכיר אותו, כיון שהיום אין חברים עוד. יש לדון, שאולי היה לו לרמבם לחוש שיהיו חברים. (ויש לדון, שלא כל כך מצוי שיהיו גויים כזה, שלא מכריחים לבני ישראל לעבוד בי"ט, אלא אם כן חושבים שהבנ"י כבר לא מקפידים ביום טוב. אז, אולי רמבם לא חשש שיהיו גויים כזה עוד. ותחשב.)</w:t>
      </w:r>
    </w:p>
  </w:footnote>
  <w:footnote w:id="17">
    <w:p w14:paraId="764F4AF6" w14:textId="77777777" w:rsidR="006A092D" w:rsidRDefault="00000000">
      <w:pPr>
        <w:pStyle w:val="FootnoteText"/>
        <w:rPr>
          <w:lang w:bidi="he-IL"/>
        </w:rPr>
      </w:pPr>
      <w:r>
        <w:rPr>
          <w:rStyle w:val="FootnoteCharacters"/>
        </w:rPr>
        <w:footnoteRef/>
      </w:r>
      <w:r>
        <w:rPr>
          <w:rtl/>
          <w:lang w:bidi="he-IL"/>
        </w:rPr>
        <w:tab/>
        <w:t>ע’ בגמ’, שאפשר לומר שאותו מחלקת גם נוגע לאם מותר לעשות לו דברים שאינו צריך. אבל, לא מוכרח, שנראה שאפשר לחלק, שאולי מר זוטרא אומר שרק אם יכולים לשהות אותו למחר, ואז לא צריך כלל לדחות, ישהה. יותר מזה, נראה שאולי מר זוטרא רק מתיר לדחות שלא לצורך אם כבר יידחה לצורך. ותחשב.</w:t>
      </w:r>
    </w:p>
  </w:footnote>
  <w:footnote w:id="18">
    <w:p w14:paraId="5AFBC783" w14:textId="77777777" w:rsidR="006A092D" w:rsidRDefault="00000000">
      <w:pPr>
        <w:pStyle w:val="FootnoteText"/>
        <w:rPr>
          <w:lang w:bidi="he-IL"/>
        </w:rPr>
      </w:pPr>
      <w:r>
        <w:rPr>
          <w:rStyle w:val="FootnoteCharacters"/>
        </w:rPr>
        <w:footnoteRef/>
      </w:r>
      <w:r>
        <w:rPr>
          <w:rtl/>
          <w:lang w:bidi="he-IL"/>
        </w:rPr>
        <w:tab/>
        <w:t>יש להוסיף שרואים מן הרא"ש שרק מחמיר כיון שאולי חול המועד הוא, ולא מפני שיום טוב שני צריך להיות חמור מחול המועד. עיין לעיל (למטה) שדנינו בזה.</w:t>
      </w:r>
    </w:p>
  </w:footnote>
  <w:footnote w:id="19">
    <w:p w14:paraId="0821C815" w14:textId="77777777" w:rsidR="006A092D" w:rsidRDefault="00000000">
      <w:pPr>
        <w:pStyle w:val="FootnoteText"/>
      </w:pPr>
      <w:r>
        <w:rPr>
          <w:rStyle w:val="FootnoteCharacters"/>
        </w:rPr>
        <w:footnoteRef/>
      </w:r>
      <w:r>
        <w:rPr>
          <w:rtl/>
        </w:rPr>
        <w:tab/>
        <w:t>היה אפשר לומר שהוא מפני שאין אנו בני תורה, כמו שהבאנו לעיל מרבינו תם, אבל אז אינו נוגע למה שמדברים בחול המועד. גם אפשר לומר שהוא מפני שהרואה לא יכיר שבשביל מת הוא מחלל את היום טוב, אבל מהמשך לא משמע כן. שוב נראה לי שאולי הדרך לקרוא את הלשון שלו הוא שצריך להיות בפרהסיא, שהרי אף בחול המועד אומר שצריך להיות עם מה שמראה שבשביל המת הוא עושה את המלאכה. ועיין בלשון שלו. ותחשב.</w:t>
      </w:r>
    </w:p>
  </w:footnote>
  <w:footnote w:id="20">
    <w:p w14:paraId="130578CA" w14:textId="77777777" w:rsidR="006A092D" w:rsidRDefault="00000000">
      <w:pPr>
        <w:pStyle w:val="FootnoteText"/>
        <w:rPr>
          <w:lang w:bidi="he-IL"/>
        </w:rPr>
      </w:pPr>
      <w:r>
        <w:rPr>
          <w:rStyle w:val="FootnoteCharacters"/>
        </w:rPr>
        <w:footnoteRef/>
      </w:r>
      <w:r>
        <w:rPr>
          <w:rtl/>
          <w:lang w:bidi="he-IL"/>
        </w:rPr>
        <w:tab/>
        <w:t>עיין שם, שמדבר בחול המועד. רא"ש ור"ן מניחים שהוא גם נוהג בי"ט. לא מוכרח כן; אפשר לומר שכיון שיום טוב חמור, לא חוששים שבני אדם יחשבו שאדם זה עובר עליו. (גם אפשר שרק מדברים בי"ט שבוודאי אינו חול המועד, שאז יש לומר שחול המועד חמור ממנו, כמו שצדדנו לעיל למטה, גבי עשיית קבר.)</w:t>
      </w:r>
    </w:p>
  </w:footnote>
  <w:footnote w:id="21">
    <w:p w14:paraId="53F7A8D6" w14:textId="77777777" w:rsidR="006A092D" w:rsidRDefault="00000000">
      <w:pPr>
        <w:pStyle w:val="FootnoteText"/>
        <w:rPr>
          <w:lang w:bidi="he-IL"/>
        </w:rPr>
      </w:pPr>
      <w:r>
        <w:rPr>
          <w:rStyle w:val="FootnoteCharacters"/>
        </w:rPr>
        <w:footnoteRef/>
      </w:r>
      <w:r>
        <w:rPr>
          <w:rtl/>
          <w:lang w:bidi="he-IL"/>
        </w:rPr>
        <w:tab/>
        <w:t>מעניין שזה יתיר לו לחתוך הדס, שלא נראה שזה דבר שיכול להיות מוכח שהוא לצורך המת. ויש לדון.</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522A" w14:textId="77777777" w:rsidR="006A092D" w:rsidRDefault="00000000">
    <w:pPr>
      <w:pStyle w:val="Header"/>
      <w:bidi w:val="0"/>
      <w:jc w:val="center"/>
      <w:rPr>
        <w:lang w:bidi="he-IL"/>
      </w:rPr>
    </w:pPr>
    <w:r>
      <w:rPr>
        <w:lang w:bidi="he-IL"/>
      </w:rPr>
      <w:t xml:space="preserve">Don’t Ever Laugh as the Hearse Goes By…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2451"/>
    <w:multiLevelType w:val="multilevel"/>
    <w:tmpl w:val="F556ABB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06E4119E"/>
    <w:multiLevelType w:val="multilevel"/>
    <w:tmpl w:val="0C3A5ED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81228F4"/>
    <w:multiLevelType w:val="multilevel"/>
    <w:tmpl w:val="C120906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 w15:restartNumberingAfterBreak="0">
    <w:nsid w:val="684F78AC"/>
    <w:multiLevelType w:val="multilevel"/>
    <w:tmpl w:val="6FE2C4F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48320031">
    <w:abstractNumId w:val="1"/>
  </w:num>
  <w:num w:numId="2" w16cid:durableId="266356633">
    <w:abstractNumId w:val="3"/>
  </w:num>
  <w:num w:numId="3" w16cid:durableId="117651614">
    <w:abstractNumId w:val="2"/>
  </w:num>
  <w:num w:numId="4" w16cid:durableId="324824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92D"/>
    <w:rsid w:val="00005B50"/>
    <w:rsid w:val="002728E3"/>
    <w:rsid w:val="006A092D"/>
    <w:rsid w:val="008348B1"/>
    <w:rsid w:val="00847B99"/>
    <w:rsid w:val="009846D0"/>
    <w:rsid w:val="00D76ABF"/>
    <w:rsid w:val="00E01D1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730C8"/>
  <w15:docId w15:val="{EE4266D2-21C0-41A3-8D94-F5E22CE2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NSimSun" w:hAnsi="Aptos" w:cs="Times New Roman"/>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before="58" w:after="58"/>
    </w:pPr>
    <w:rPr>
      <w:rFonts w:cs="David"/>
    </w:rPr>
  </w:style>
  <w:style w:type="paragraph" w:styleId="Heading1">
    <w:name w:val="heading 1"/>
    <w:basedOn w:val="Heading"/>
    <w:next w:val="Normal"/>
    <w:uiPriority w:val="9"/>
    <w:qFormat/>
    <w:pPr>
      <w:numPr>
        <w:numId w:val="2"/>
      </w:numPr>
      <w:spacing w:before="58" w:after="58"/>
      <w:outlineLvl w:val="0"/>
    </w:pPr>
    <w:rPr>
      <w:rFonts w:cs="David"/>
      <w:b/>
      <w:bCs/>
      <w:sz w:val="36"/>
      <w:szCs w:val="24"/>
      <w:lang w:bidi="he-IL"/>
    </w:rPr>
  </w:style>
  <w:style w:type="paragraph" w:styleId="Heading2">
    <w:name w:val="heading 2"/>
    <w:basedOn w:val="Heading"/>
    <w:next w:val="Normal"/>
    <w:uiPriority w:val="9"/>
    <w:unhideWhenUsed/>
    <w:qFormat/>
    <w:pPr>
      <w:numPr>
        <w:ilvl w:val="1"/>
        <w:numId w:val="2"/>
      </w:numPr>
      <w:spacing w:before="58" w:after="58"/>
      <w:ind w:left="144"/>
      <w:outlineLvl w:val="1"/>
    </w:pPr>
    <w:rPr>
      <w:rFonts w:cs="David"/>
      <w:b/>
      <w:bCs/>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Arial" w:eastAsia="Microsoft YaHei" w:hAnsi="Arial" w:cs="Times New Roman"/>
      <w:sz w:val="28"/>
      <w:szCs w:val="28"/>
    </w:rPr>
  </w:style>
  <w:style w:type="paragraph" w:styleId="BodyText">
    <w:name w:val="Body Text"/>
    <w:basedOn w:val="Normal"/>
    <w:pPr>
      <w:spacing w:before="0" w:after="140" w:line="276" w:lineRule="auto"/>
    </w:pPr>
  </w:style>
  <w:style w:type="paragraph" w:styleId="List">
    <w:name w:val="List"/>
    <w:basedOn w:val="BodyText"/>
    <w:rPr>
      <w:rFonts w:cs="Times New Roman"/>
    </w:rPr>
  </w:style>
  <w:style w:type="paragraph" w:styleId="Caption">
    <w:name w:val="caption"/>
    <w:basedOn w:val="Normal"/>
    <w:qFormat/>
    <w:pPr>
      <w:suppressLineNumbers/>
      <w:spacing w:before="120" w:after="120"/>
    </w:pPr>
    <w:rPr>
      <w:rFonts w:cs="Times New Roman"/>
      <w:i/>
      <w:iCs/>
    </w:rPr>
  </w:style>
  <w:style w:type="paragraph" w:customStyle="1" w:styleId="Index">
    <w:name w:val="Index"/>
    <w:basedOn w:val="Normal"/>
    <w:qFormat/>
    <w:pPr>
      <w:suppressLineNumbers/>
    </w:pPr>
    <w:rPr>
      <w:rFonts w:cs="Times New Roman"/>
    </w:rPr>
  </w:style>
  <w:style w:type="paragraph" w:styleId="FootnoteText">
    <w:name w:val="footnote text"/>
    <w:basedOn w:val="Normal"/>
    <w:pPr>
      <w:suppressLineNumbers/>
      <w:ind w:left="340" w:hanging="340"/>
    </w:pPr>
    <w:rPr>
      <w:rFonts w:cs="Mekorot-Rashi"/>
      <w:sz w:val="20"/>
      <w:szCs w:val="20"/>
    </w:r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5</Pages>
  <Words>1136</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שאול חייט</dc:creator>
  <dc:description/>
  <cp:lastModifiedBy>Shaul Y Khayyat</cp:lastModifiedBy>
  <cp:revision>94</cp:revision>
  <dcterms:created xsi:type="dcterms:W3CDTF">2024-12-18T11:25:00Z</dcterms:created>
  <dcterms:modified xsi:type="dcterms:W3CDTF">2024-12-22T15:44:00Z</dcterms:modified>
  <dc:language>en-US</dc:language>
</cp:coreProperties>
</file>