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E81A" w14:textId="7136E337" w:rsidR="00A314BD" w:rsidRDefault="00A314BD" w:rsidP="00A314BD">
      <w:pPr>
        <w:pStyle w:val="Heading1"/>
        <w:rPr>
          <w:rtl/>
        </w:rPr>
      </w:pPr>
      <w:r>
        <w:rPr>
          <w:rFonts w:hint="cs"/>
          <w:rtl/>
        </w:rPr>
        <w:t>היתר אוכל נפש:</w:t>
      </w:r>
    </w:p>
    <w:p w14:paraId="5E98415F" w14:textId="2D085E22" w:rsidR="00E91348" w:rsidRDefault="00A314BD" w:rsidP="00A314BD">
      <w:pPr>
        <w:rPr>
          <w:rtl/>
        </w:rPr>
      </w:pPr>
      <w:r>
        <w:rPr>
          <w:rFonts w:hint="cs"/>
          <w:rtl/>
        </w:rPr>
        <w:t>אסור לעשות מלאכה ביום טוב. אבל, התורה אומרת שמלאכה שהיא לצורך אוכל נפש מותרת. יש לחקור בהיתר זה, ונראה שיש שלש צדדים:</w:t>
      </w:r>
    </w:p>
    <w:p w14:paraId="41D6AB81" w14:textId="68862AAB" w:rsidR="00A314BD" w:rsidRDefault="00A314BD" w:rsidP="00A314BD">
      <w:pPr>
        <w:pStyle w:val="ListParagraph"/>
        <w:numPr>
          <w:ilvl w:val="0"/>
          <w:numId w:val="1"/>
        </w:numPr>
      </w:pPr>
      <w:r>
        <w:rPr>
          <w:rFonts w:hint="cs"/>
          <w:rtl/>
        </w:rPr>
        <w:t>אוכל נפש דוחה את איסור יום טוב. אותו רע שקורה כשמחלל את יום טוב שלא לצורך אוכל נפש קורה גם כשמחלל את היום טוב לצורך אוכל נפש</w:t>
      </w:r>
      <w:r>
        <w:rPr>
          <w:rStyle w:val="FootnoteReference"/>
          <w:rtl/>
        </w:rPr>
        <w:footnoteReference w:id="1"/>
      </w:r>
      <w:r>
        <w:rPr>
          <w:rFonts w:hint="cs"/>
          <w:rtl/>
        </w:rPr>
        <w:t xml:space="preserve">. אבל, </w:t>
      </w:r>
      <w:r w:rsidR="008C5A02">
        <w:rPr>
          <w:rFonts w:hint="cs"/>
          <w:rtl/>
        </w:rPr>
        <w:t>התורה רוצה שבני אדם יאכלו ביום טוב, ולכן התיר את אוכל נפש.</w:t>
      </w:r>
    </w:p>
    <w:p w14:paraId="244C4917" w14:textId="0B53343B" w:rsidR="008C5A02" w:rsidRDefault="008C5A02" w:rsidP="008C5A02">
      <w:pPr>
        <w:pStyle w:val="ListParagraph"/>
      </w:pPr>
      <w:r>
        <w:rPr>
          <w:rFonts w:hint="cs"/>
          <w:rtl/>
        </w:rPr>
        <w:t>יש בעיה פשוטה בזה, הוא שמותר לחלל את היום אף בשביל אכילה מועטת. מן הסברה, לא נראה שאכילת מעט תבשיל יותר טוב מקיום יום טוב. אז, קשה איך נאמר שדחויה היא. קל לומר שלא פלוג הוא, שאוכל נפש חשוב דוחה את היום טוב, ואגב זה עשה התורה שכל אוכל נפש דוחה את היום טוב.</w:t>
      </w:r>
      <w:r>
        <w:rPr>
          <w:rStyle w:val="FootnoteReference"/>
          <w:rtl/>
        </w:rPr>
        <w:footnoteReference w:id="2"/>
      </w:r>
      <w:r>
        <w:rPr>
          <w:rFonts w:hint="cs"/>
          <w:rtl/>
        </w:rPr>
        <w:t xml:space="preserve"> </w:t>
      </w:r>
      <w:r w:rsidR="00E759E8">
        <w:rPr>
          <w:rFonts w:hint="cs"/>
          <w:rtl/>
        </w:rPr>
        <w:t xml:space="preserve">גם אפשר לומר שמה שדוחה את יום טוב אינו האכילה עצמו </w:t>
      </w:r>
      <w:r w:rsidR="00E759E8">
        <w:rPr>
          <w:rtl/>
        </w:rPr>
        <w:t>–</w:t>
      </w:r>
      <w:r w:rsidR="00E759E8">
        <w:rPr>
          <w:rFonts w:hint="cs"/>
          <w:rtl/>
        </w:rPr>
        <w:t xml:space="preserve"> אינו ההנאה שבא מן האכילה </w:t>
      </w:r>
      <w:r w:rsidR="00E759E8">
        <w:rPr>
          <w:rtl/>
        </w:rPr>
        <w:t>–</w:t>
      </w:r>
      <w:r w:rsidR="00E759E8">
        <w:rPr>
          <w:rFonts w:hint="cs"/>
          <w:rtl/>
        </w:rPr>
        <w:t xml:space="preserve"> אלא הוא החירות שיוצאת ממה שיכול לבשל כל מה שרוצה. מי שיודע שיכול להכין ולאכול כל דבר יש בו שמחה ונחת רוח. זה מה שדוחה את יום טוב. אז, במילים אחרים, אין האכילה דוחה את יום טוב, אלא היתר הבישול והיתר האכילה דוחים את יום טוב.</w:t>
      </w:r>
    </w:p>
    <w:p w14:paraId="18650650" w14:textId="601E8A77" w:rsidR="008C5A02" w:rsidRDefault="003E38AF" w:rsidP="00A314BD">
      <w:pPr>
        <w:pStyle w:val="ListParagraph"/>
        <w:numPr>
          <w:ilvl w:val="0"/>
          <w:numId w:val="1"/>
        </w:numPr>
      </w:pPr>
      <w:r>
        <w:rPr>
          <w:rFonts w:hint="cs"/>
          <w:rtl/>
        </w:rPr>
        <w:t>אפשר לדון באיזה אופן עושה מלאכה סיבות רעות. הפשט הפשוט הוא שעשייתו גורמת סיבות רעות. אבל, אפשר לחדש שעשייתו גורמת חילול יום טוב (דהיינו, שקדושת היום נתמעט ונתחלל), וזה גורם רע. אם נאמר כן, אפשר לומר שגורם אותו חילול, אבל אין אותו חילול שבא מאוכל נפש גורם רע.</w:t>
      </w:r>
      <w:r w:rsidR="00956517">
        <w:rPr>
          <w:rStyle w:val="FootnoteReference"/>
          <w:rtl/>
        </w:rPr>
        <w:footnoteReference w:id="3"/>
      </w:r>
      <w:r>
        <w:rPr>
          <w:rFonts w:hint="cs"/>
          <w:rtl/>
        </w:rPr>
        <w:t xml:space="preserve"> </w:t>
      </w:r>
    </w:p>
    <w:p w14:paraId="5D726F38" w14:textId="69D2276F" w:rsidR="003E38AF" w:rsidRDefault="003E38AF" w:rsidP="00A314BD">
      <w:pPr>
        <w:pStyle w:val="ListParagraph"/>
        <w:numPr>
          <w:ilvl w:val="0"/>
          <w:numId w:val="1"/>
        </w:numPr>
        <w:rPr>
          <w:rtl/>
        </w:rPr>
      </w:pPr>
      <w:r>
        <w:rPr>
          <w:rFonts w:hint="cs"/>
          <w:rtl/>
        </w:rPr>
        <w:t>אפשר לומר שאינו גורם אף חילול ליום טוב, ואין היום נתחלל מחמת מלאכה הנעשה לצורך אוכל נפש.</w:t>
      </w:r>
    </w:p>
    <w:p w14:paraId="5DEE31FF" w14:textId="33FE17BE" w:rsidR="00A314BD" w:rsidRDefault="00A314BD" w:rsidP="00A314BD">
      <w:pPr>
        <w:pStyle w:val="Heading1"/>
        <w:rPr>
          <w:rtl/>
        </w:rPr>
      </w:pPr>
      <w:r>
        <w:rPr>
          <w:rFonts w:hint="cs"/>
          <w:rtl/>
        </w:rPr>
        <w:t>היתר מתוך:</w:t>
      </w:r>
    </w:p>
    <w:p w14:paraId="2F8333D0" w14:textId="36B6ECE9" w:rsidR="003E38AF" w:rsidRDefault="003E38AF" w:rsidP="003E38AF">
      <w:pPr>
        <w:rPr>
          <w:rtl/>
        </w:rPr>
      </w:pPr>
      <w:r>
        <w:rPr>
          <w:rFonts w:hint="cs"/>
          <w:rtl/>
        </w:rPr>
        <w:t>חולקים בית שמאי ובית הלל אם אומרים ש"מתוך שהותרה [מלאכה] לצורך [אוכל נפש], הותרה נמי שלא לצורך [אוכל נפש]." נראה שיש ארבע צדדים לבאר למה כלל זה נכון:</w:t>
      </w:r>
    </w:p>
    <w:p w14:paraId="3B4C4697" w14:textId="4732FE84" w:rsidR="00956517" w:rsidRDefault="00956517" w:rsidP="00956517">
      <w:pPr>
        <w:pStyle w:val="ListParagraph"/>
        <w:numPr>
          <w:ilvl w:val="0"/>
          <w:numId w:val="2"/>
        </w:numPr>
      </w:pPr>
      <w:r>
        <w:rPr>
          <w:rFonts w:hint="cs"/>
          <w:rtl/>
        </w:rPr>
        <w:lastRenderedPageBreak/>
        <w:t>אפשר לומר שכלל זה אומר שהיתר אוכל נפש אינו היתר אוכל נפש, אלא היתר כל דבר. במילים אחרים, לאותה סיבה שמותר לעשות מלאכה לצורך אוכל נפש, מותר לעשות מלאכות שהותרו ב"מתוך."</w:t>
      </w:r>
    </w:p>
    <w:p w14:paraId="5C196CD0" w14:textId="45CD6304" w:rsidR="00956517" w:rsidRDefault="00956517" w:rsidP="00956517">
      <w:pPr>
        <w:pStyle w:val="ListParagraph"/>
        <w:numPr>
          <w:ilvl w:val="1"/>
          <w:numId w:val="2"/>
        </w:numPr>
      </w:pPr>
      <w:r>
        <w:rPr>
          <w:rFonts w:hint="cs"/>
          <w:rtl/>
        </w:rPr>
        <w:t xml:space="preserve">לצד ראשון של היתר אוכל נפש, צריך לומר שדברים אלו גם דוחים את הרע שעושה. </w:t>
      </w:r>
    </w:p>
    <w:p w14:paraId="3AC9E801" w14:textId="1244452D" w:rsidR="00956517" w:rsidRDefault="00956517" w:rsidP="00956517">
      <w:pPr>
        <w:pStyle w:val="ListParagraph"/>
        <w:numPr>
          <w:ilvl w:val="1"/>
          <w:numId w:val="2"/>
        </w:numPr>
      </w:pPr>
      <w:r>
        <w:rPr>
          <w:rFonts w:hint="cs"/>
          <w:rtl/>
        </w:rPr>
        <w:t>לצד שני של היתר אוכל נפש, צריך לומר שדברים אלו עושים שחילול יום טוב לא גורם רע.</w:t>
      </w:r>
    </w:p>
    <w:p w14:paraId="0A468FEF" w14:textId="3D2FDF24" w:rsidR="002802A1" w:rsidRDefault="002802A1" w:rsidP="00956517">
      <w:pPr>
        <w:pStyle w:val="ListParagraph"/>
        <w:numPr>
          <w:ilvl w:val="1"/>
          <w:numId w:val="2"/>
        </w:numPr>
      </w:pPr>
      <w:r>
        <w:rPr>
          <w:rFonts w:hint="cs"/>
          <w:rtl/>
        </w:rPr>
        <w:t>לצד שלישי של היתר אוכל נפש, צריך לומר שדברים אלו לא עושים חילול.</w:t>
      </w:r>
    </w:p>
    <w:p w14:paraId="6618CA41" w14:textId="619B7903" w:rsidR="002802A1" w:rsidRDefault="002802A1" w:rsidP="002802A1">
      <w:pPr>
        <w:pStyle w:val="ListParagraph"/>
        <w:numPr>
          <w:ilvl w:val="0"/>
          <w:numId w:val="2"/>
        </w:numPr>
      </w:pPr>
      <w:r>
        <w:rPr>
          <w:rFonts w:hint="cs"/>
          <w:rtl/>
        </w:rPr>
        <w:t>אפשר לומר שכלל זה אומר שאומרים לא פלוג, ושמים את כל דבר שהותר מחמת "מתוך" כאחד עם דברים שהותרו מחמת אוכל נפש. אז, דין אחד עליהם.</w:t>
      </w:r>
    </w:p>
    <w:p w14:paraId="1D26BCF1" w14:textId="022A1304" w:rsidR="002802A1" w:rsidRDefault="002802A1" w:rsidP="002802A1">
      <w:pPr>
        <w:pStyle w:val="ListParagraph"/>
        <w:numPr>
          <w:ilvl w:val="1"/>
          <w:numId w:val="2"/>
        </w:numPr>
      </w:pPr>
      <w:r>
        <w:rPr>
          <w:rFonts w:hint="cs"/>
          <w:rtl/>
        </w:rPr>
        <w:t>לצד ראשון של היתר אוכל נפש, צריך לומר שדברים אלו דוחים את יום טוב. צריך לומר שמחמת לא פלוג, מתירים לחלל את יום טוב.</w:t>
      </w:r>
    </w:p>
    <w:p w14:paraId="58854153" w14:textId="555D5528" w:rsidR="002802A1" w:rsidRDefault="002802A1" w:rsidP="002802A1">
      <w:pPr>
        <w:pStyle w:val="ListParagraph"/>
        <w:numPr>
          <w:ilvl w:val="1"/>
          <w:numId w:val="2"/>
        </w:numPr>
      </w:pPr>
      <w:r>
        <w:rPr>
          <w:rFonts w:hint="cs"/>
          <w:rtl/>
        </w:rPr>
        <w:t>לצד שני של היתר אוכל נפש, נראה שיש לדון אם מפני זה בא לו אותו הדין או מפני זה אין חילול שלו עושה רע.</w:t>
      </w:r>
    </w:p>
    <w:p w14:paraId="16348160" w14:textId="66E4F934" w:rsidR="002802A1" w:rsidRDefault="002802A1" w:rsidP="002802A1">
      <w:pPr>
        <w:pStyle w:val="ListParagraph"/>
        <w:numPr>
          <w:ilvl w:val="1"/>
          <w:numId w:val="2"/>
        </w:numPr>
      </w:pPr>
      <w:r>
        <w:rPr>
          <w:rFonts w:hint="cs"/>
          <w:rtl/>
        </w:rPr>
        <w:t>לצד שלישי של היתר אוכל נפש, נראה שיש לדון אם מפני זה בא לו אותו הדין או מפני זה לא בא אותו החילול.</w:t>
      </w:r>
    </w:p>
    <w:p w14:paraId="212F2EFE" w14:textId="159465BA" w:rsidR="002802A1" w:rsidRDefault="002802A1" w:rsidP="004D53A1">
      <w:pPr>
        <w:pStyle w:val="ListParagraph"/>
        <w:numPr>
          <w:ilvl w:val="0"/>
          <w:numId w:val="2"/>
        </w:numPr>
      </w:pPr>
      <w:r>
        <w:rPr>
          <w:rFonts w:hint="cs"/>
          <w:rtl/>
        </w:rPr>
        <w:t xml:space="preserve">אפשר לומר שכלל זה אומר שכיון שביד אדם לחלל את יום טוב על ידי אוכל נפש, גם יכול לחלל אותו לדברים אחרים. </w:t>
      </w:r>
    </w:p>
    <w:p w14:paraId="09F75B7F" w14:textId="4ADA0786" w:rsidR="002802A1" w:rsidRDefault="002802A1" w:rsidP="002802A1">
      <w:pPr>
        <w:pStyle w:val="ListParagraph"/>
        <w:numPr>
          <w:ilvl w:val="1"/>
          <w:numId w:val="2"/>
        </w:numPr>
      </w:pPr>
      <w:r>
        <w:rPr>
          <w:rFonts w:hint="cs"/>
          <w:rtl/>
        </w:rPr>
        <w:t>לצד ראשון של היתר אוכל נפש, צריך לומר שכיון שבידו לדחות את היום טוב, מותר לעבור עליו.</w:t>
      </w:r>
    </w:p>
    <w:p w14:paraId="61F50890" w14:textId="6794D75D" w:rsidR="002802A1" w:rsidRDefault="002802A1" w:rsidP="002802A1">
      <w:pPr>
        <w:pStyle w:val="ListParagraph"/>
        <w:numPr>
          <w:ilvl w:val="1"/>
          <w:numId w:val="2"/>
        </w:numPr>
      </w:pPr>
      <w:r>
        <w:rPr>
          <w:rFonts w:hint="cs"/>
          <w:rtl/>
        </w:rPr>
        <w:t>לצד שני של היתר אוכל נפש, צריך לומר שכיון שבידו לשנות חילול זה לעשות שאינו עושה רע, לא עושה רע.</w:t>
      </w:r>
    </w:p>
    <w:p w14:paraId="5AEE83CE" w14:textId="106D80C8" w:rsidR="004D53A1" w:rsidRDefault="004D53A1" w:rsidP="002802A1">
      <w:pPr>
        <w:pStyle w:val="ListParagraph"/>
        <w:numPr>
          <w:ilvl w:val="1"/>
          <w:numId w:val="2"/>
        </w:numPr>
      </w:pPr>
      <w:r>
        <w:rPr>
          <w:rFonts w:hint="cs"/>
          <w:rtl/>
        </w:rPr>
        <w:t>לצד שלישי אי אפשר לומר כן, שאין בין זה למעשה שאין בו חילול יום טוב. ויש לדון, שאולי מה שיש בו אותו תוצאה של האב מלאכה מספיק לעשות שהם יותר דומים. אז, אולי מה שיכול לעשות מעשה כזה ולא לגרום חילול עושה שאין מעשה זה גורם חילול.</w:t>
      </w:r>
    </w:p>
    <w:p w14:paraId="4B30AAD5" w14:textId="0E222E42" w:rsidR="002802A1" w:rsidRDefault="002802A1" w:rsidP="002802A1">
      <w:pPr>
        <w:pStyle w:val="ListParagraph"/>
        <w:numPr>
          <w:ilvl w:val="0"/>
          <w:numId w:val="2"/>
        </w:numPr>
      </w:pPr>
      <w:r>
        <w:rPr>
          <w:rFonts w:hint="cs"/>
          <w:rtl/>
        </w:rPr>
        <w:t xml:space="preserve">אפשר לומר שכלל זה אומר שאין איסור יום טוב חמור, כיון שהותר מקצתו. מצאנו בכמה גמרות שמה שהותר מכללו עושה שדבר יותר קל. הביאור הוא ככה: יש הרבה קרק' לדברים. בדר"כ, יש קרק' יותר חשובים, ויש קרק' שאינם כל כך חשובים. אם דין שייך לכלל, ולא הותר מכללו, אז בדר"כ </w:t>
      </w:r>
      <w:r>
        <w:rPr>
          <w:rFonts w:hint="cs"/>
          <w:rtl/>
        </w:rPr>
        <w:lastRenderedPageBreak/>
        <w:t xml:space="preserve">אותו הדין שייך לקרק' חשוב ולשם חשוב. (למשל, יכולים לומר ש"הקדש אסור." אז, שם חשוב שלו של הקדש הוא המביא איסור.) אבל, אם הותרה מכללו, רק קרק' פרטי, שאינו כל כך חשוב, מביא את האיסור. (למשל, הכאה אסור רק אם אינו בית דין שעושה אותו.) כיון שאין אותו איסור נמשך מקרק' חשוב, אין האיסור כל כך חזק. </w:t>
      </w:r>
    </w:p>
    <w:p w14:paraId="72109DC0" w14:textId="6746FED5" w:rsidR="00A20CFD" w:rsidRDefault="00A20CFD" w:rsidP="00A20CFD">
      <w:pPr>
        <w:pStyle w:val="ListParagraph"/>
        <w:numPr>
          <w:ilvl w:val="1"/>
          <w:numId w:val="2"/>
        </w:numPr>
      </w:pPr>
      <w:r>
        <w:rPr>
          <w:rFonts w:hint="cs"/>
          <w:rtl/>
        </w:rPr>
        <w:t>לצד ראשון של היתר אוכל נפש, יותר קל לדחות את זה, כיון שהותר מכללו.</w:t>
      </w:r>
    </w:p>
    <w:p w14:paraId="256C4BE4" w14:textId="7B6FCB89" w:rsidR="00A20CFD" w:rsidRDefault="00A20CFD" w:rsidP="00A20CFD">
      <w:pPr>
        <w:pStyle w:val="ListParagraph"/>
        <w:numPr>
          <w:ilvl w:val="1"/>
          <w:numId w:val="2"/>
        </w:numPr>
      </w:pPr>
      <w:r>
        <w:rPr>
          <w:rFonts w:hint="cs"/>
          <w:rtl/>
        </w:rPr>
        <w:t>לצד שני של היתר אוכל נפש, כיון שרק חילול פרטי עושה רע, לא כולל הרבה דברים, וגם ממעט זה.</w:t>
      </w:r>
    </w:p>
    <w:p w14:paraId="561E7216" w14:textId="66BA9C59" w:rsidR="00A20CFD" w:rsidRDefault="00A20CFD" w:rsidP="00A20CFD">
      <w:pPr>
        <w:pStyle w:val="ListParagraph"/>
        <w:numPr>
          <w:ilvl w:val="1"/>
          <w:numId w:val="2"/>
        </w:numPr>
      </w:pPr>
      <w:r>
        <w:rPr>
          <w:rFonts w:hint="cs"/>
          <w:rtl/>
        </w:rPr>
        <w:t>לצד שלישי של היתר אוכל נפש, כיון שרק מעשי מלאכה (מעשים עם תוצאה חשובה) פרטיים עושים רע, לא כולל הרבה דברים, וגם ממעט זה.</w:t>
      </w:r>
    </w:p>
    <w:p w14:paraId="2D01E0A2" w14:textId="640D47A1" w:rsidR="00A20CFD" w:rsidRDefault="00A20CFD" w:rsidP="00A20CFD">
      <w:pPr>
        <w:rPr>
          <w:rtl/>
        </w:rPr>
      </w:pPr>
      <w:r>
        <w:rPr>
          <w:rFonts w:hint="cs"/>
          <w:rtl/>
        </w:rPr>
        <w:t>יש להעיר שתוס' אומר ש"מתוך שהותרה הותרה." מצאנו בגמ' "הואיל ואישתרי אישתרי," אבל איני רואה איך זה שייך לנידון שלנו, שרק מצאנו כלל זה איפה שיש סיבה לאסור, וסיבה להתיר אותו, ואחר כך בא עוד סיבה לאסור, שמחדש שגם סיבה השנית לאסור הותרה מחמת סיבת ההיתר. זה בכלל לא דומה למש"א גמ' שלנו.</w:t>
      </w:r>
    </w:p>
    <w:p w14:paraId="6DF41E5D" w14:textId="3870DA4F" w:rsidR="009D3B2C" w:rsidRPr="003E38AF" w:rsidRDefault="009D3B2C" w:rsidP="00A20CFD">
      <w:pPr>
        <w:rPr>
          <w:rtl/>
        </w:rPr>
      </w:pPr>
      <w:r>
        <w:rPr>
          <w:rFonts w:hint="cs"/>
          <w:rtl/>
        </w:rPr>
        <w:t>גם ראוי להעיר שלשון "מתוך שהותרה" מעניין, שלא אומר "מתוך שמותרת," אלא "מתוך שהותרה."</w:t>
      </w:r>
    </w:p>
    <w:p w14:paraId="29C737C6" w14:textId="2084109A" w:rsidR="00A314BD" w:rsidRDefault="00A314BD" w:rsidP="00A314BD">
      <w:pPr>
        <w:pStyle w:val="Heading1"/>
        <w:rPr>
          <w:rtl/>
        </w:rPr>
      </w:pPr>
      <w:r>
        <w:rPr>
          <w:rFonts w:hint="cs"/>
          <w:rtl/>
        </w:rPr>
        <w:t>צורך של מתוך:</w:t>
      </w:r>
    </w:p>
    <w:p w14:paraId="69D11BA9" w14:textId="3B3106EB" w:rsidR="00884C85" w:rsidRDefault="00884C85" w:rsidP="00884C85">
      <w:pPr>
        <w:rPr>
          <w:rtl/>
        </w:rPr>
      </w:pPr>
      <w:r>
        <w:rPr>
          <w:rFonts w:hint="cs"/>
          <w:rtl/>
        </w:rPr>
        <w:t>דנו ראשונים אם כלל זה מתיר גם מה שאין בו צורך כלל. נראה שיש שלש פקטורים:</w:t>
      </w:r>
    </w:p>
    <w:p w14:paraId="43EE416D" w14:textId="1A86E84A" w:rsidR="00884C85" w:rsidRDefault="00884C85" w:rsidP="00884C85">
      <w:pPr>
        <w:pStyle w:val="ListParagraph"/>
        <w:numPr>
          <w:ilvl w:val="0"/>
          <w:numId w:val="4"/>
        </w:numPr>
      </w:pPr>
      <w:r>
        <w:rPr>
          <w:rFonts w:hint="cs"/>
          <w:rtl/>
        </w:rPr>
        <w:t>האם יש בו צורך או אין בו צורך?</w:t>
      </w:r>
    </w:p>
    <w:p w14:paraId="03AF39E7" w14:textId="6BA40C62" w:rsidR="00884C85" w:rsidRDefault="00884C85" w:rsidP="00884C85">
      <w:pPr>
        <w:pStyle w:val="ListParagraph"/>
        <w:numPr>
          <w:ilvl w:val="0"/>
          <w:numId w:val="4"/>
        </w:numPr>
      </w:pPr>
      <w:r>
        <w:rPr>
          <w:rFonts w:hint="cs"/>
          <w:rtl/>
        </w:rPr>
        <w:t>האם הצורך שלו הוא של יום טוב או של חול?</w:t>
      </w:r>
    </w:p>
    <w:p w14:paraId="2088EFBE" w14:textId="1A03DDAE" w:rsidR="00884C85" w:rsidRPr="00884C85" w:rsidRDefault="00884C85" w:rsidP="00800709">
      <w:pPr>
        <w:pStyle w:val="ListParagraph"/>
        <w:numPr>
          <w:ilvl w:val="0"/>
          <w:numId w:val="4"/>
        </w:numPr>
        <w:rPr>
          <w:rtl/>
        </w:rPr>
      </w:pPr>
      <w:r>
        <w:rPr>
          <w:rFonts w:hint="cs"/>
          <w:rtl/>
        </w:rPr>
        <w:t>האם הצורך שלו מצווה או רשות?</w:t>
      </w:r>
    </w:p>
    <w:p w14:paraId="66EEE0C9" w14:textId="3CB9E51C" w:rsidR="00800709" w:rsidRDefault="00A314BD" w:rsidP="00800709">
      <w:pPr>
        <w:pStyle w:val="Heading2"/>
        <w:rPr>
          <w:rtl/>
        </w:rPr>
      </w:pPr>
      <w:r>
        <w:rPr>
          <w:rFonts w:hint="cs"/>
          <w:rtl/>
        </w:rPr>
        <w:t>שיטת רש"י:</w:t>
      </w:r>
    </w:p>
    <w:p w14:paraId="3D829F7B" w14:textId="71BE7B42" w:rsidR="00800709" w:rsidRDefault="00800709" w:rsidP="00800709">
      <w:pPr>
        <w:rPr>
          <w:rtl/>
        </w:rPr>
      </w:pPr>
      <w:r>
        <w:rPr>
          <w:rFonts w:hint="cs"/>
          <w:rtl/>
        </w:rPr>
        <w:t>מרש"י משמע שכלל זה גם מתיר מה שאין בו צורך גדול. המקור לזה הוא מביאור רש"י בהוכחת גמרא. גמ' מוכיח שמחלקת בין בית שמאי לבית הלל אינו אם יש ערוב והוצאה ליום טוב, אלא אם אומרים כלל זה. מוכיח כן ממה שלא חלקו באבנים.</w:t>
      </w:r>
      <w:r>
        <w:rPr>
          <w:rStyle w:val="FootnoteReference"/>
          <w:rtl/>
        </w:rPr>
        <w:footnoteReference w:id="4"/>
      </w:r>
    </w:p>
    <w:p w14:paraId="33F04D27" w14:textId="77777777" w:rsidR="00A035D3" w:rsidRDefault="009001CA" w:rsidP="00800709">
      <w:pPr>
        <w:rPr>
          <w:rtl/>
        </w:rPr>
      </w:pPr>
      <w:r>
        <w:rPr>
          <w:rFonts w:hint="cs"/>
          <w:rtl/>
        </w:rPr>
        <w:lastRenderedPageBreak/>
        <w:t>רש"י מפרש שאם נאמר שההיתר בא מכלל זה, אז עדיין יהיה מותר להוליך אבנים מדאו', אבל כיון שאין בהם צורך, יהיה אסור מדרבנן. יש לדון אם רש"י סובר שאין בהם שום צורך, או אין בהם צורך גדול, או אין בהם צורך יום טוב, או אין בהם צורך מצווה.</w:t>
      </w:r>
      <w:r w:rsidR="00A035D3">
        <w:rPr>
          <w:rFonts w:hint="cs"/>
          <w:rtl/>
        </w:rPr>
        <w:t xml:space="preserve"> </w:t>
      </w:r>
    </w:p>
    <w:p w14:paraId="078C1B6B" w14:textId="05FE1218" w:rsidR="009001CA" w:rsidRDefault="00A035D3" w:rsidP="00800709">
      <w:pPr>
        <w:rPr>
          <w:rtl/>
        </w:rPr>
      </w:pPr>
      <w:r>
        <w:rPr>
          <w:rFonts w:hint="cs"/>
          <w:rtl/>
        </w:rPr>
        <w:t>רש"י ממשיך כזה לשיטתו לקמן, גבי אכילת גיד הנשה. רש"י מבאר שרק מן התורה יהיה מותר. זה מפני שאין בו צורך (והוא כאבנים), והיתר "מתוך" שם הוא רק מן התרוה, אבל רבנן גזרו עליו.</w:t>
      </w:r>
    </w:p>
    <w:p w14:paraId="7ACD42C2" w14:textId="624322C3" w:rsidR="009001CA" w:rsidRDefault="009001CA" w:rsidP="00800709">
      <w:pPr>
        <w:rPr>
          <w:rtl/>
        </w:rPr>
      </w:pPr>
      <w:r>
        <w:rPr>
          <w:rFonts w:hint="cs"/>
          <w:rtl/>
        </w:rPr>
        <w:t>(עיין ברש"י, שמבאר למה אין איסור מוקצה באבנים, ולמה לא אומרים שמחמת איסור מוקצה לא חלקו בו בית שמאי ובית הלל. באר שאין מוקצה אם יש איסור הוצאה. קשה למה לא אמר שאיסור אבנים בצד שחולקים בכלל זה בא ממוקצה. צריך לומר שהוא מפני שאף לצד זה אין מוקצה, שכיון שהוצאה מותרת בכל מקום, אין לגזור מוקצה. (אין זה ראיה שממש בכל מקום מותר, שיש לומר שכיון שבכמה מקומות מותר, אין צורך לגזור מחמתו.) וא"ת אם כן למסקנא למה יש איסור מוקצה. ויש לומר שכיון שנאסר הוצאה מדרבנן, נאסר מוקצה. מחודש שנגזור (ונגזור גזירה חמורה כמוקצה) מחמת איסור דרבנן; יותר קל אם נאמר שזה רק מפני ש</w:t>
      </w:r>
      <w:r w:rsidR="001620FE">
        <w:rPr>
          <w:rFonts w:hint="cs"/>
          <w:rtl/>
        </w:rPr>
        <w:t xml:space="preserve">כבר </w:t>
      </w:r>
      <w:r>
        <w:rPr>
          <w:rFonts w:hint="cs"/>
          <w:rtl/>
        </w:rPr>
        <w:t>בשבת יש איסור מוקצה</w:t>
      </w:r>
      <w:r w:rsidR="001620FE">
        <w:rPr>
          <w:rFonts w:hint="cs"/>
          <w:rtl/>
        </w:rPr>
        <w:t xml:space="preserve"> משום איסור הוצאה, ולכן אף ביום טוב, כיון שיש הוצאה מדרבנן, גזרו במוקצה</w:t>
      </w:r>
      <w:r>
        <w:rPr>
          <w:rFonts w:hint="cs"/>
          <w:rtl/>
        </w:rPr>
        <w:t xml:space="preserve">. </w:t>
      </w:r>
      <w:r w:rsidR="001620FE">
        <w:rPr>
          <w:rFonts w:hint="cs"/>
          <w:rtl/>
        </w:rPr>
        <w:t>אבל, לא פשוט שאיסור זה הוא איסור הוצאה, שאף שתחילת לשון רש"י (שאומר שרק הותר מן התורה) וכן מלשון תוס' משמע שאיסור הוצאה הוא, רש"י גם אומר שהאיסור הוא משום טירחא שלא לצורך. מה שבארנו יותר נראה לומר אם איסור הוצאה הוא.)</w:t>
      </w:r>
    </w:p>
    <w:p w14:paraId="66E61BB4" w14:textId="7E326F48" w:rsidR="00A035D3" w:rsidRDefault="00A035D3" w:rsidP="00800709">
      <w:pPr>
        <w:rPr>
          <w:rtl/>
        </w:rPr>
      </w:pPr>
      <w:r>
        <w:rPr>
          <w:rFonts w:hint="cs"/>
          <w:rtl/>
        </w:rPr>
        <w:t xml:space="preserve">הראשונים הקשו על רש"י מכמה וכמה ציורים של מלאכה האסורה ביום טוב. באמת, נתחיל בקושיה פשוטה על רש"י, והוא שלפי רש"י לפי בית הלל אין איסור מלאכה ביום טוב כלל, והוא כשאר ימים מדאו'. </w:t>
      </w:r>
      <w:r w:rsidR="00B3648B">
        <w:rPr>
          <w:rFonts w:hint="cs"/>
          <w:rtl/>
        </w:rPr>
        <w:t>אם רש"י סובר שאין כלל זה קיים בכל המלאכות (אלא רק איפה שמצאנו (ואולי צריך להיות רגיל) שהותר אוכל פנש), אז יש מלאכות שנשארות באיסור שלהן. אבל, ראשונים מקשים ממלאכות שיש בהם אוכל נפש, ועדיין יש בהם איסורים. נראה שלש תירוצים לפי רש"י:</w:t>
      </w:r>
    </w:p>
    <w:p w14:paraId="1CD42958" w14:textId="5993CA86" w:rsidR="00B3648B" w:rsidRDefault="00B3648B" w:rsidP="00B3648B">
      <w:pPr>
        <w:pStyle w:val="ListParagraph"/>
        <w:numPr>
          <w:ilvl w:val="0"/>
          <w:numId w:val="5"/>
        </w:numPr>
      </w:pPr>
      <w:r>
        <w:rPr>
          <w:rFonts w:hint="cs"/>
          <w:rtl/>
        </w:rPr>
        <w:t>אפשר לומר שרש"י רק מתיר כשיש צורך קטן. כמובן, צריך להגדיר כמה צורך צריך, אבל רש"י אומר שסתם ציור של אבנים שבמשנה יכול להיות כשיש קצת צורך. (וא"ת למה לא אומר רש"י שלכן אינו מוקצה. וי"ל שבדר"כ לא יודע על אותו צורך קודם יום טוב.)</w:t>
      </w:r>
    </w:p>
    <w:p w14:paraId="3D091665" w14:textId="4F9E1A98" w:rsidR="00B3648B" w:rsidRDefault="00B3648B" w:rsidP="00B3648B">
      <w:pPr>
        <w:pStyle w:val="ListParagraph"/>
        <w:numPr>
          <w:ilvl w:val="0"/>
          <w:numId w:val="5"/>
        </w:numPr>
      </w:pPr>
      <w:r>
        <w:rPr>
          <w:rFonts w:hint="cs"/>
          <w:rtl/>
        </w:rPr>
        <w:t>אפשר לומר שרש"י סובר שרק אם יש עוד היתר אוכל נפש בפועל, יש כלל זה. רק אם מכוון לאכול עוד, יהיה כלל זה מתיר. אבל, אז הרבה מן קושייות הגמרא לא קשים.</w:t>
      </w:r>
    </w:p>
    <w:p w14:paraId="650F830A" w14:textId="0FA40865" w:rsidR="00B3648B" w:rsidRDefault="00B3648B" w:rsidP="00B3648B">
      <w:pPr>
        <w:pStyle w:val="ListParagraph"/>
        <w:numPr>
          <w:ilvl w:val="0"/>
          <w:numId w:val="5"/>
        </w:numPr>
      </w:pPr>
      <w:r>
        <w:rPr>
          <w:rFonts w:hint="cs"/>
          <w:rtl/>
        </w:rPr>
        <w:t xml:space="preserve">אפשר לומר שרש"י מתיר רק אם יש צורך יום טוב או אם אין צורך כלל. הביאור יהיה שרש"י סובר שההיתר נובע מן הדמיון לאוכל נפש, שהוא צורך יום טוב. מה שאין בו צורך אולי יותר דומה למה שיש בו צורך יום טוב מן דבר שיש בו צורך שאינו של יום טוב. (זה מחודש, שיכול להיות דבר של </w:t>
      </w:r>
      <w:r>
        <w:rPr>
          <w:rFonts w:hint="cs"/>
          <w:rtl/>
        </w:rPr>
        <w:lastRenderedPageBreak/>
        <w:t>אוכל נפש שגם יש בו צורך למחר. אבל, אם נגדיר את זה לומר ש"צורך שלו (דהיינו, עיקר הצורך) הוא ליום טוב," אינו כל כך קשה.</w:t>
      </w:r>
    </w:p>
    <w:p w14:paraId="64599F79" w14:textId="06C31C00" w:rsidR="00F1051E" w:rsidRPr="00800709" w:rsidRDefault="00F1051E" w:rsidP="00B3648B">
      <w:pPr>
        <w:pStyle w:val="ListParagraph"/>
        <w:numPr>
          <w:ilvl w:val="0"/>
          <w:numId w:val="5"/>
        </w:numPr>
        <w:rPr>
          <w:rtl/>
        </w:rPr>
      </w:pPr>
      <w:r>
        <w:rPr>
          <w:rFonts w:hint="cs"/>
          <w:rtl/>
        </w:rPr>
        <w:t>אפשר לומר שרש"י רק מתיר אם יש צורך ליום, אף אם אינו צורך היום. אף אם אין זה שייך ליום טוב, כיון שנעשה ביום טוב, מותר. אבל, שאר ראשונים אומרים שצריך להיות צורך היום.</w:t>
      </w:r>
    </w:p>
    <w:p w14:paraId="2AA6FF00" w14:textId="7662D390" w:rsidR="00A314BD" w:rsidRDefault="00A314BD" w:rsidP="00A314BD">
      <w:pPr>
        <w:pStyle w:val="Heading2"/>
        <w:rPr>
          <w:rtl/>
        </w:rPr>
      </w:pPr>
      <w:r>
        <w:rPr>
          <w:rFonts w:hint="cs"/>
          <w:rtl/>
        </w:rPr>
        <w:t>שיטת תוס':</w:t>
      </w:r>
    </w:p>
    <w:p w14:paraId="56D47D3F" w14:textId="0E885449" w:rsidR="00EB1527" w:rsidRPr="00EB1527" w:rsidRDefault="00EB1527" w:rsidP="00EB1527">
      <w:pPr>
        <w:rPr>
          <w:rtl/>
        </w:rPr>
      </w:pPr>
      <w:r>
        <w:rPr>
          <w:rFonts w:hint="cs"/>
          <w:rtl/>
        </w:rPr>
        <w:t>לכאו', תוס' סובר שכדי להיות הותר מחמת כלל זה, צריך להיות לו צורך קטן. לא צריך להיות צורך מצווה, אלא רק צורך קטן. אבל, צריך להיות צורך יום טוב.</w:t>
      </w:r>
    </w:p>
    <w:p w14:paraId="7088375E" w14:textId="1619A055" w:rsidR="00A314BD" w:rsidRDefault="00A314BD" w:rsidP="00A314BD">
      <w:pPr>
        <w:pStyle w:val="Heading2"/>
        <w:rPr>
          <w:rtl/>
        </w:rPr>
      </w:pPr>
      <w:r>
        <w:rPr>
          <w:rFonts w:hint="cs"/>
          <w:rtl/>
        </w:rPr>
        <w:t>שיטת ר"ח:</w:t>
      </w:r>
    </w:p>
    <w:p w14:paraId="2F52E733" w14:textId="1A7C60D4" w:rsidR="00C57CE8" w:rsidRDefault="00EB1527" w:rsidP="00C57CE8">
      <w:pPr>
        <w:rPr>
          <w:rtl/>
        </w:rPr>
      </w:pPr>
      <w:r>
        <w:rPr>
          <w:rFonts w:hint="cs"/>
          <w:rtl/>
        </w:rPr>
        <w:t>ר"ח סובר שכדי להיות הותר מחמת כלל זה, צריך להיות לו צורך קטן שהוא צורך מצווה והוא צורך יום טוב. (וא"ת למה מילת קטן הוא צורך יום טוב. ויש לומר שהוא מפני שנעשה ביום טוב. וא"ת אם כן יהיה שחיטת עולה צורך יום טוב. אלא, צריך לומר ששם אין המצווה נוגעת ליום טוב. קשה למה מילה נוגעת ליום טוב. כמו כן, קשה למה ספר תורה נוגעת ליום טוב. לשני, אולי יש לומר שהיו מוליכים אותו לקרוא בו קריאת היום טוב. (ודע שאף לולב לא כל כך פשוט, שתמיד יש לדון ביחס שיש בין מצוות היום לקדושת היום של איסור מלאכה.)</w:t>
      </w:r>
      <w:r w:rsidR="00C57CE8">
        <w:rPr>
          <w:rFonts w:hint="cs"/>
          <w:rtl/>
        </w:rPr>
        <w:t xml:space="preserve"> צריך לומר שכיון שקבוע להיות ביום טוב, נחשב צורך יום טוב. צריך לציין לגמ' בזבחים, בדיון תדיר ומקודש, ובפרט בביאור רש"י, שמשמע שמה שדבר קורה ביום טוב עושה שהוא יותר קדוש. צריך ביאור למה אין כל מצווה ביום טוב נחשב צורך יום טוב. אולי מה שנעשה יותר קדוש אינו מפני שמהנה לקדושת יום טוב, ואז אולי אינו צורך יום טוב. יש לדון, שאותה ההוספרה רק נעשה ביום טוב.)</w:t>
      </w:r>
    </w:p>
    <w:p w14:paraId="53148624" w14:textId="044F945C" w:rsidR="00C57CE8" w:rsidRDefault="00C57CE8" w:rsidP="00C57CE8">
      <w:pPr>
        <w:rPr>
          <w:rtl/>
        </w:rPr>
      </w:pPr>
      <w:r>
        <w:rPr>
          <w:rFonts w:hint="cs"/>
          <w:rtl/>
        </w:rPr>
        <w:t>אפשר להיות שר"ח ותוס' חולקים בהיתר אוכל נפש, אם בא מן הצורך יום טוב שבו או אף ממה שהוא מצווה, ולכן חלקו אם כדי לדמות לו צריך להיות מצווה.</w:t>
      </w:r>
    </w:p>
    <w:p w14:paraId="670677FF" w14:textId="3C96A90B" w:rsidR="009522FD" w:rsidRDefault="009522FD" w:rsidP="00C57CE8">
      <w:pPr>
        <w:rPr>
          <w:rtl/>
        </w:rPr>
      </w:pPr>
      <w:r>
        <w:rPr>
          <w:rFonts w:hint="cs"/>
          <w:rtl/>
        </w:rPr>
        <w:t>לפי ר"ח קשה להבין למה זה נאמר בבישול גיד הנשה, שאינו לצורך מצווה. צריך לומר שנחשב לצורך מצווה, כיון שיקיים בו מצווה, אף שבזה גם יעשה איסור. אז, צריך לומר שהוא מפני קיום הטוב, ולא קיום הציווי. ויש לדון, שאולי כיון שציווי כללי הוא, נשאר בו ומקיים אותו אף אם עושה אותו באיסור.</w:t>
      </w:r>
    </w:p>
    <w:p w14:paraId="62B8508A" w14:textId="3382A407" w:rsidR="00B562C9" w:rsidRDefault="00B562C9" w:rsidP="00C57CE8">
      <w:pPr>
        <w:rPr>
          <w:rtl/>
        </w:rPr>
      </w:pPr>
      <w:r>
        <w:rPr>
          <w:rFonts w:hint="cs"/>
          <w:rtl/>
        </w:rPr>
        <w:t>אגב זה, יש להוסיף שאם כלל זה הוא מחמת דיחוי, קשה להבין למה יהיה מותר מדאו' לבשל גיד. אפשר לומר שנשאר בדיחוי שלו, שלא מגדירים דיחוי כאילו אמר ה' כל ציור שמותר וכל ציור שאסור בתוך הציווי, אלא שה' אמר שאין איסורי יום טוב מעכבים מן הנאת בישול. הרי, אז גם כאן לא יהיה ציווי. ותחשב על זה.</w:t>
      </w:r>
    </w:p>
    <w:p w14:paraId="3C132656" w14:textId="3B5ED473" w:rsidR="008067D0" w:rsidRDefault="008067D0" w:rsidP="008067D0">
      <w:pPr>
        <w:pStyle w:val="Heading1"/>
        <w:rPr>
          <w:rtl/>
        </w:rPr>
      </w:pPr>
      <w:r>
        <w:rPr>
          <w:rFonts w:hint="cs"/>
          <w:rtl/>
        </w:rPr>
        <w:lastRenderedPageBreak/>
        <w:t>הערות:</w:t>
      </w:r>
    </w:p>
    <w:p w14:paraId="20A44F94" w14:textId="5A8DB01D" w:rsidR="008067D0" w:rsidRDefault="008067D0" w:rsidP="008067D0">
      <w:pPr>
        <w:rPr>
          <w:rtl/>
        </w:rPr>
      </w:pPr>
      <w:r>
        <w:rPr>
          <w:rFonts w:hint="cs"/>
          <w:rtl/>
        </w:rPr>
        <w:t xml:space="preserve">אין מוציאים... את הלולב </w:t>
      </w:r>
      <w:r>
        <w:rPr>
          <w:rtl/>
        </w:rPr>
        <w:t>–</w:t>
      </w:r>
      <w:r>
        <w:rPr>
          <w:rFonts w:hint="cs"/>
          <w:rtl/>
        </w:rPr>
        <w:t xml:space="preserve"> קשה איזה צורך מצווה בהוצאת לולב. הרי, מיד כשמגביה את הלולב, יוצא בו. אז, כשמוליך אותו, אינו לצורך מצווה. מסתבר לומר שהלולב והאתרוג אינם במקום אחד, ואז יש צורך מצווה להביא זה אצל זה. אפשר לומר שלא יודע איך לנענע, ובא לשאול לחכם. צריך לומר, אז, שאף נינוע נחשב צורך היום.</w:t>
      </w:r>
    </w:p>
    <w:p w14:paraId="0BDBDAA1" w14:textId="412E9D65" w:rsidR="008067D0" w:rsidRDefault="008067D0" w:rsidP="008067D0">
      <w:pPr>
        <w:rPr>
          <w:rtl/>
        </w:rPr>
      </w:pPr>
      <w:r>
        <w:rPr>
          <w:rFonts w:hint="cs"/>
          <w:rtl/>
        </w:rPr>
        <w:t xml:space="preserve">אין מוציאים... ספר תורה </w:t>
      </w:r>
      <w:r>
        <w:rPr>
          <w:rtl/>
        </w:rPr>
        <w:t>–</w:t>
      </w:r>
      <w:r>
        <w:rPr>
          <w:rFonts w:hint="cs"/>
          <w:rtl/>
        </w:rPr>
        <w:t xml:space="preserve"> יש לדון איזה צורך מצווה יש בהוצאת ספר תורה. דבר ראשון, יש לדון איזה מצווה מקיים, מצוות תלמוד תורה או מצוות קריאת התורה. לצד ראשון, מחודש שנחשב מצוות היום. (אבל, אולי הוא מפני שאי אפשר להשלים אותו, שתמיד צריך ללמוד.) גם קשה למה צריך להוציא אותו. אולי הוא במקום שאי אפשר ללמוד שם או שלא קל ללמוד שם. לצד שני, צריך לומר שמצווה דרבנן נחשב צורך.</w:t>
      </w:r>
    </w:p>
    <w:p w14:paraId="040396E2" w14:textId="30BB1F15" w:rsidR="008067D0" w:rsidRDefault="008067D0" w:rsidP="008067D0">
      <w:pPr>
        <w:rPr>
          <w:rtl/>
        </w:rPr>
      </w:pPr>
      <w:r w:rsidRPr="008067D0">
        <w:rPr>
          <w:rFonts w:hint="cs"/>
          <w:rtl/>
        </w:rPr>
        <w:t xml:space="preserve">מתוך שהותרה הוצאה </w:t>
      </w:r>
      <w:r w:rsidRPr="008067D0">
        <w:rPr>
          <w:rtl/>
        </w:rPr>
        <w:t>–</w:t>
      </w:r>
      <w:r w:rsidRPr="008067D0">
        <w:rPr>
          <w:rFonts w:hint="cs"/>
          <w:rtl/>
        </w:rPr>
        <w:t xml:space="preserve"> יש להעיר שב</w:t>
      </w:r>
      <w:r>
        <w:rPr>
          <w:rFonts w:hint="cs"/>
          <w:rtl/>
        </w:rPr>
        <w:t>הוצאה יש יותר חידוש. הרי, בשחיטה אותו מעשה שעושה על העולה יכול להיות באוכל נפש בציור אחר. אבל, בהוצאה, אפשר לומר שכיון שהחפץ שונה, גם המעשה שונה, ואז אין המעשה שלו שווה למעשה של אוכל נפש.</w:t>
      </w:r>
      <w:r w:rsidR="00D010A1">
        <w:rPr>
          <w:rFonts w:hint="cs"/>
          <w:rtl/>
        </w:rPr>
        <w:t xml:space="preserve"> </w:t>
      </w:r>
    </w:p>
    <w:p w14:paraId="576080BE" w14:textId="219C0507" w:rsidR="00D010A1" w:rsidRDefault="00D010A1" w:rsidP="008067D0">
      <w:pPr>
        <w:rPr>
          <w:rtl/>
        </w:rPr>
      </w:pPr>
      <w:r>
        <w:rPr>
          <w:rFonts w:hint="cs"/>
          <w:rtl/>
        </w:rPr>
        <w:t xml:space="preserve">אבנים </w:t>
      </w:r>
      <w:r>
        <w:rPr>
          <w:rtl/>
        </w:rPr>
        <w:t>–</w:t>
      </w:r>
      <w:r>
        <w:rPr>
          <w:rFonts w:hint="cs"/>
          <w:rtl/>
        </w:rPr>
        <w:t xml:space="preserve"> היה אפשר לומר שמה שלא חולקים באבנים הוא שיש גזירה ביום טוב אטו שבת. אז, כדי להתיר אותו, אולי צריך "מתוך." אבל, אולי רק אומרים "מתוך" על דינים דרבנן.</w:t>
      </w:r>
    </w:p>
    <w:p w14:paraId="49CE26B1" w14:textId="3D8AD9CC" w:rsidR="00D010A1" w:rsidRDefault="000828C6" w:rsidP="008067D0">
      <w:pPr>
        <w:rPr>
          <w:rtl/>
        </w:rPr>
      </w:pPr>
      <w:r>
        <w:rPr>
          <w:rFonts w:hint="cs"/>
          <w:rtl/>
        </w:rPr>
        <w:t xml:space="preserve">גיד הנשה </w:t>
      </w:r>
      <w:r>
        <w:rPr>
          <w:rtl/>
        </w:rPr>
        <w:t>–</w:t>
      </w:r>
      <w:r>
        <w:rPr>
          <w:rFonts w:hint="cs"/>
          <w:rtl/>
        </w:rPr>
        <w:t xml:space="preserve"> יש לדון למה אין בו אוכל נפש. אולי הוא מפני שאין בו טוב (אולי אין בו שום טוב או אולי אין בו טוב בין הכל) באכילתו, ואולי הוא מפני שאינו נחשב אוכל חשוב, ואולי הוא מפני שמניחים שלא יאכל אותו. מה שעדיין יש בו צורך היום יכול להיות מפני שיש קצת טוב (אבל אולי אינו כל כך, או בין הכל אינו טוב), ואולי מפני שלא צריך להיות נחשב אוכל, אלא צורך, ואולי מפני שעושה דבר, במה שראוי לאכול, וזה נחשב קיום צורך. ותחשב.</w:t>
      </w:r>
    </w:p>
    <w:p w14:paraId="4F33CD19" w14:textId="32D9BBE5" w:rsidR="000828C6" w:rsidRDefault="000828C6" w:rsidP="000828C6">
      <w:pPr>
        <w:rPr>
          <w:rtl/>
        </w:rPr>
      </w:pPr>
      <w:r>
        <w:rPr>
          <w:rFonts w:hint="cs"/>
          <w:rtl/>
        </w:rPr>
        <w:t xml:space="preserve">רש"י לא את הקטן </w:t>
      </w:r>
      <w:r>
        <w:rPr>
          <w:rtl/>
        </w:rPr>
        <w:t>–</w:t>
      </w:r>
      <w:r>
        <w:rPr>
          <w:rFonts w:hint="cs"/>
          <w:rtl/>
        </w:rPr>
        <w:t xml:space="preserve"> כל מילי </w:t>
      </w:r>
      <w:r>
        <w:rPr>
          <w:rtl/>
        </w:rPr>
        <w:t>–</w:t>
      </w:r>
      <w:r>
        <w:rPr>
          <w:rFonts w:hint="cs"/>
          <w:rtl/>
        </w:rPr>
        <w:t xml:space="preserve"> יש לדון אם רש"י בא לומר שכל הדברים שבמשנה הם דברים שאין בהם אוכל נפש, או לומר שכלול במשנה הוא כל דבר שאין בו אוכל נפש. לשני, משמע מרש"י שתמיד אומרים "מתוך," ואין צורך לשום צורך. אבל, יש שהביאו ראיה נגד זה ממה שרש"י צריך לבאר למה אמר ירמיהו שלא לישא בשבת. משמע שהוא נוהג גם בחול. ותחשב.</w:t>
      </w:r>
    </w:p>
    <w:p w14:paraId="7AC235E8" w14:textId="3EE2B20C" w:rsidR="00034992" w:rsidRDefault="00034992" w:rsidP="000828C6">
      <w:pPr>
        <w:rPr>
          <w:rtl/>
        </w:rPr>
      </w:pPr>
      <w:r>
        <w:rPr>
          <w:rFonts w:hint="cs"/>
          <w:rtl/>
        </w:rPr>
        <w:t xml:space="preserve">רש"י ואין עירוב </w:t>
      </w:r>
      <w:r>
        <w:rPr>
          <w:rtl/>
        </w:rPr>
        <w:t>–</w:t>
      </w:r>
      <w:r>
        <w:rPr>
          <w:rFonts w:hint="cs"/>
          <w:rtl/>
        </w:rPr>
        <w:t xml:space="preserve"> אף על גב </w:t>
      </w:r>
      <w:r>
        <w:rPr>
          <w:rtl/>
        </w:rPr>
        <w:t>–</w:t>
      </w:r>
      <w:r>
        <w:rPr>
          <w:rFonts w:hint="cs"/>
          <w:rtl/>
        </w:rPr>
        <w:t xml:space="preserve"> נראה שרק רצה לומר שאף שאין שום מקור מן מקור האיסור למעט אותו, יש מקור מדברי נביאים. (יש לדון אם זה יהיה המקור או זה יהיה הראיה.) אבל, לכאו' אין לומר שרש"י סובר שזה משמע שנוהג גם ביום טוב, שאיני רואה בזה משמעות.</w:t>
      </w:r>
    </w:p>
    <w:p w14:paraId="25EE77A9" w14:textId="4C9403B9" w:rsidR="00034992" w:rsidRDefault="00034992" w:rsidP="000828C6">
      <w:pPr>
        <w:rPr>
          <w:rtl/>
        </w:rPr>
      </w:pPr>
      <w:r>
        <w:rPr>
          <w:rFonts w:hint="cs"/>
          <w:rtl/>
        </w:rPr>
        <w:lastRenderedPageBreak/>
        <w:t xml:space="preserve">רש"י פליגי </w:t>
      </w:r>
      <w:r>
        <w:rPr>
          <w:rtl/>
        </w:rPr>
        <w:t>–</w:t>
      </w:r>
      <w:r>
        <w:rPr>
          <w:rFonts w:hint="cs"/>
          <w:rtl/>
        </w:rPr>
        <w:t xml:space="preserve"> והלוואי ישמעו </w:t>
      </w:r>
      <w:r>
        <w:rPr>
          <w:rtl/>
        </w:rPr>
        <w:t>–</w:t>
      </w:r>
      <w:r>
        <w:rPr>
          <w:rFonts w:hint="cs"/>
          <w:rtl/>
        </w:rPr>
        <w:t xml:space="preserve"> יש לדון למה לא פרש"י ש"שבת" כוללת יום טוב, כמו שמצאנו בתורה בכ"מ. יש לומר שכאן היה לו לנקוט לשון בני אדם. יותר מזה, אם נוהג בי"ט, היה לו לומר אותו באופן ברור.</w:t>
      </w:r>
    </w:p>
    <w:p w14:paraId="256F78FA" w14:textId="4A429A47" w:rsidR="00034992" w:rsidRDefault="00034992" w:rsidP="000828C6">
      <w:pPr>
        <w:rPr>
          <w:rtl/>
        </w:rPr>
      </w:pPr>
      <w:r>
        <w:rPr>
          <w:rFonts w:hint="cs"/>
          <w:rtl/>
        </w:rPr>
        <w:t xml:space="preserve">רש"י הבערה ובשול </w:t>
      </w:r>
      <w:r>
        <w:rPr>
          <w:rtl/>
        </w:rPr>
        <w:t>–</w:t>
      </w:r>
      <w:r>
        <w:rPr>
          <w:rFonts w:hint="cs"/>
          <w:rtl/>
        </w:rPr>
        <w:t xml:space="preserve"> מרש"י משמע שרוצה להוציא אותו מן המשנה. צריך לומר שיש דבר אחר לתת שם במקומו, שאל"ה, צריך למחות את המשנה או לשנות את כל הגי', כיון שאז יש רק שלושה חיובים.</w:t>
      </w:r>
    </w:p>
    <w:p w14:paraId="1B5CECE2" w14:textId="5F05890D" w:rsidR="005424C8" w:rsidRDefault="005424C8" w:rsidP="000828C6">
      <w:pPr>
        <w:rPr>
          <w:rtl/>
        </w:rPr>
      </w:pPr>
      <w:r>
        <w:rPr>
          <w:rFonts w:hint="cs"/>
          <w:rtl/>
        </w:rPr>
        <w:t xml:space="preserve">תוד"ה ה"ג </w:t>
      </w:r>
      <w:r>
        <w:rPr>
          <w:rtl/>
        </w:rPr>
        <w:t>–</w:t>
      </w:r>
      <w:r>
        <w:rPr>
          <w:rFonts w:hint="cs"/>
          <w:rtl/>
        </w:rPr>
        <w:t xml:space="preserve"> ולשמעינן רבותא </w:t>
      </w:r>
      <w:r>
        <w:rPr>
          <w:rtl/>
        </w:rPr>
        <w:t>–</w:t>
      </w:r>
      <w:r>
        <w:rPr>
          <w:rFonts w:hint="cs"/>
          <w:rtl/>
        </w:rPr>
        <w:t xml:space="preserve"> גם יש לומר שהיה לו לנקוט אבנים כיון שזה יותר מצוי. יש לדון, שחפץ האבנים יותר מצוי, אבל לא נראה שהוא מצוי שאדם יוציא אבן, שבדר"כ, כמו שאומר גמ' כאן, אין בו כל כך צורך.</w:t>
      </w:r>
    </w:p>
    <w:p w14:paraId="0A3F7360" w14:textId="180C1561" w:rsidR="005424C8" w:rsidRDefault="00717DF7" w:rsidP="000828C6">
      <w:pPr>
        <w:rPr>
          <w:rtl/>
        </w:rPr>
      </w:pPr>
      <w:r>
        <w:rPr>
          <w:rFonts w:hint="cs"/>
          <w:rtl/>
        </w:rPr>
        <w:t xml:space="preserve">תוד"ה ה"ג </w:t>
      </w:r>
      <w:r>
        <w:rPr>
          <w:rtl/>
        </w:rPr>
        <w:t>–</w:t>
      </w:r>
      <w:r>
        <w:rPr>
          <w:rFonts w:hint="cs"/>
          <w:rtl/>
        </w:rPr>
        <w:t xml:space="preserve"> דכיון שעיקר הוצאה </w:t>
      </w:r>
      <w:r>
        <w:rPr>
          <w:rtl/>
        </w:rPr>
        <w:t>–</w:t>
      </w:r>
      <w:r>
        <w:rPr>
          <w:rFonts w:hint="cs"/>
          <w:rtl/>
        </w:rPr>
        <w:t xml:space="preserve"> אולי תוס' סובר שלרש"י נשאר מקצת הוצאה באיסור (ולא מספיק בפני עצמו לאסור מוקצה) או סובר שמספיק מה שבעצם אסור או מה שיש רע (אם נאמר שדחוייה היא). אבל, שני צדדים אחרונים מסתבר, שזה גזירה, ולא נראה שיבוא מזה סיבה לגזור.</w:t>
      </w:r>
    </w:p>
    <w:p w14:paraId="1BF01931" w14:textId="0D3E4052" w:rsidR="005B3029" w:rsidRDefault="005B3029" w:rsidP="000828C6">
      <w:pPr>
        <w:rPr>
          <w:rtl/>
        </w:rPr>
      </w:pPr>
      <w:r>
        <w:rPr>
          <w:rFonts w:hint="cs"/>
          <w:rtl/>
        </w:rPr>
        <w:t xml:space="preserve">תוד"ה ה"ג </w:t>
      </w:r>
      <w:r>
        <w:rPr>
          <w:rtl/>
        </w:rPr>
        <w:t>–</w:t>
      </w:r>
      <w:r>
        <w:rPr>
          <w:rFonts w:hint="cs"/>
          <w:rtl/>
        </w:rPr>
        <w:t xml:space="preserve"> בביאור שיטת ר"ח, נראה שצריך להיות דמיון בין קרק' חשובים של מעשה זה לקרק' שעושים אותו למצוה. אבל, איני רואה למה צ"ל כן.</w:t>
      </w:r>
      <w:r w:rsidR="004E7D3E">
        <w:rPr>
          <w:rFonts w:hint="cs"/>
          <w:rtl/>
        </w:rPr>
        <w:t xml:space="preserve"> גם יש לומר שסובר שאין טיול נחשב צורך, כיון שאינו חיוב.</w:t>
      </w:r>
    </w:p>
    <w:p w14:paraId="44FB7E50" w14:textId="3C00125A" w:rsidR="004E7D3E" w:rsidRDefault="004E7D3E" w:rsidP="000828C6">
      <w:pPr>
        <w:rPr>
          <w:rtl/>
        </w:rPr>
      </w:pPr>
      <w:r>
        <w:rPr>
          <w:rFonts w:hint="cs"/>
          <w:rtl/>
        </w:rPr>
        <w:t xml:space="preserve">תוד"ה ה"ג </w:t>
      </w:r>
      <w:r>
        <w:rPr>
          <w:rtl/>
        </w:rPr>
        <w:t>–</w:t>
      </w:r>
      <w:r>
        <w:rPr>
          <w:rFonts w:hint="cs"/>
          <w:rtl/>
        </w:rPr>
        <w:t xml:space="preserve"> שולחן רבך ריקן </w:t>
      </w:r>
      <w:r>
        <w:rPr>
          <w:rtl/>
        </w:rPr>
        <w:t>–</w:t>
      </w:r>
      <w:r>
        <w:rPr>
          <w:rFonts w:hint="cs"/>
          <w:rtl/>
        </w:rPr>
        <w:t xml:space="preserve"> יש לדון אם הענין הוא שיש צורך במה ששולחן רבו מלא או שבלי זה אולי לא היה מקריב קרבן.</w:t>
      </w:r>
    </w:p>
    <w:p w14:paraId="73645E39" w14:textId="6CA011DE" w:rsidR="004E7D3E" w:rsidRPr="008067D0" w:rsidRDefault="004E7D3E" w:rsidP="000828C6">
      <w:pPr>
        <w:rPr>
          <w:rFonts w:hint="cs"/>
          <w:rtl/>
        </w:rPr>
      </w:pPr>
      <w:r>
        <w:rPr>
          <w:rFonts w:hint="cs"/>
          <w:rtl/>
        </w:rPr>
        <w:t xml:space="preserve">עיין בגמ' לקמן (לז), שנראה מחודש שתולה טילטול בזה. יש לדון אם הטילטול שם הוא מוקצה או טורח. לשני, מעניין ליחס אותו להוצאה. לשניהם, מחודש לומר בו "מתוך," שמצאנו שאין כל היתירים של דינים דאו' נוהגים בדינים דרבנן בי"ט, ומחודש לומר שיש צורך היום שם, שנראה כצורך מחר. יותר מחודש לומר בו צורך מצווה. </w:t>
      </w:r>
    </w:p>
    <w:sectPr w:rsidR="004E7D3E" w:rsidRPr="008067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1EC9" w14:textId="77777777" w:rsidR="001E7220" w:rsidRDefault="001E7220" w:rsidP="00A314BD">
      <w:pPr>
        <w:spacing w:before="0" w:after="0" w:line="240" w:lineRule="auto"/>
      </w:pPr>
      <w:r>
        <w:separator/>
      </w:r>
    </w:p>
  </w:endnote>
  <w:endnote w:type="continuationSeparator" w:id="0">
    <w:p w14:paraId="078B8FD7" w14:textId="77777777" w:rsidR="001E7220" w:rsidRDefault="001E7220" w:rsidP="00A314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3DCA" w14:textId="77777777" w:rsidR="001E7220" w:rsidRDefault="001E7220" w:rsidP="00A314BD">
      <w:pPr>
        <w:spacing w:before="0" w:after="0" w:line="240" w:lineRule="auto"/>
      </w:pPr>
      <w:r>
        <w:separator/>
      </w:r>
    </w:p>
  </w:footnote>
  <w:footnote w:type="continuationSeparator" w:id="0">
    <w:p w14:paraId="67FDD669" w14:textId="77777777" w:rsidR="001E7220" w:rsidRDefault="001E7220" w:rsidP="00A314BD">
      <w:pPr>
        <w:spacing w:before="0" w:after="0" w:line="240" w:lineRule="auto"/>
      </w:pPr>
      <w:r>
        <w:continuationSeparator/>
      </w:r>
    </w:p>
  </w:footnote>
  <w:footnote w:id="1">
    <w:p w14:paraId="1ACE55E6" w14:textId="2A9527B4" w:rsidR="00A314BD" w:rsidRDefault="00A314BD">
      <w:pPr>
        <w:pStyle w:val="FootnoteText"/>
      </w:pPr>
      <w:r>
        <w:rPr>
          <w:rStyle w:val="FootnoteReference"/>
        </w:rPr>
        <w:footnoteRef/>
      </w:r>
      <w:r>
        <w:rPr>
          <w:rtl/>
        </w:rPr>
        <w:t xml:space="preserve"> </w:t>
      </w:r>
      <w:r>
        <w:rPr>
          <w:rFonts w:hint="cs"/>
          <w:rtl/>
        </w:rPr>
        <w:t>יש להעיר שלא צריך להיות אותו הרע ממש. יכול להיות שאינו כל כך רע (מסתמא מפני שאר הצדדים שנבאר), אבל עדיין יש קצת רע (או אולי היה ראוי לתורה לגזור או שיהיה לא פלוג), ומה שלא נאסר הוא מפני דיחוי.</w:t>
      </w:r>
      <w:r w:rsidR="00F13BF7">
        <w:rPr>
          <w:rFonts w:hint="cs"/>
          <w:rtl/>
        </w:rPr>
        <w:t xml:space="preserve"> אף אם לא נשתנה כמה רע, יכול להיות שמה שהוא הרע נשתנה. אז, אפשר להיות שיש רע שונה שקורה, על פי צורך המלאכה, אבל עדיין רע הוא, כמו שרע אם הוא שלא לצורך אוכל נפש.</w:t>
      </w:r>
    </w:p>
  </w:footnote>
  <w:footnote w:id="2">
    <w:p w14:paraId="0C171951" w14:textId="77086912" w:rsidR="008C5A02" w:rsidRDefault="008C5A02">
      <w:pPr>
        <w:pStyle w:val="FootnoteText"/>
      </w:pPr>
      <w:r>
        <w:rPr>
          <w:rStyle w:val="FootnoteReference"/>
        </w:rPr>
        <w:footnoteRef/>
      </w:r>
      <w:r>
        <w:rPr>
          <w:rtl/>
        </w:rPr>
        <w:t xml:space="preserve"> </w:t>
      </w:r>
      <w:r>
        <w:rPr>
          <w:rFonts w:hint="cs"/>
          <w:rtl/>
        </w:rPr>
        <w:t xml:space="preserve">יש </w:t>
      </w:r>
      <w:r>
        <w:rPr>
          <w:rFonts w:hint="cs"/>
          <w:rtl/>
        </w:rPr>
        <w:t>להוסיף על זה שכמו שנבאר יש מושג של "מתוך." אז, אולי כבר רואים הוספות על היתר אוכל נפש. וע' לקמן.</w:t>
      </w:r>
    </w:p>
  </w:footnote>
  <w:footnote w:id="3">
    <w:p w14:paraId="0EB2DD23" w14:textId="58E8C8A7" w:rsidR="00956517" w:rsidRDefault="00956517">
      <w:pPr>
        <w:pStyle w:val="FootnoteText"/>
      </w:pPr>
      <w:r>
        <w:rPr>
          <w:rStyle w:val="FootnoteReference"/>
        </w:rPr>
        <w:footnoteRef/>
      </w:r>
      <w:r>
        <w:rPr>
          <w:rtl/>
        </w:rPr>
        <w:t xml:space="preserve"> </w:t>
      </w:r>
      <w:r>
        <w:rPr>
          <w:rFonts w:hint="cs"/>
          <w:rtl/>
        </w:rPr>
        <w:t xml:space="preserve">מסתבר </w:t>
      </w:r>
      <w:r>
        <w:rPr>
          <w:rFonts w:hint="cs"/>
          <w:rtl/>
        </w:rPr>
        <w:t>לומר שזה מפני שגם עושה לו טוב. הרע בא ממה שמשנה את יום טוב לרע.</w:t>
      </w:r>
    </w:p>
  </w:footnote>
  <w:footnote w:id="4">
    <w:p w14:paraId="338B7835" w14:textId="1AF3A1EF" w:rsidR="00800709" w:rsidRDefault="00800709">
      <w:pPr>
        <w:pStyle w:val="FootnoteText"/>
      </w:pPr>
      <w:r>
        <w:rPr>
          <w:rStyle w:val="FootnoteReference"/>
        </w:rPr>
        <w:footnoteRef/>
      </w:r>
      <w:r>
        <w:rPr>
          <w:rtl/>
        </w:rPr>
        <w:t xml:space="preserve"> </w:t>
      </w:r>
      <w:r>
        <w:rPr>
          <w:rFonts w:hint="cs"/>
          <w:rtl/>
        </w:rPr>
        <w:t xml:space="preserve">יש </w:t>
      </w:r>
      <w:r>
        <w:rPr>
          <w:rFonts w:hint="cs"/>
          <w:rtl/>
        </w:rPr>
        <w:t>לדון למה יחלקו באבנים. אולי הוא מפני שיותר מצוי (לא נראה כן, שמי רוצה להוליך אבן) או מפני שמראה שהמתיר סובר שאין ערוב והוצאה, ולא רק שאומרים כלל 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1484A"/>
    <w:multiLevelType w:val="hybridMultilevel"/>
    <w:tmpl w:val="F6B8A360"/>
    <w:lvl w:ilvl="0" w:tplc="961E9A38">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444468"/>
    <w:multiLevelType w:val="hybridMultilevel"/>
    <w:tmpl w:val="25DCE154"/>
    <w:lvl w:ilvl="0" w:tplc="60DC38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8B4E8C"/>
    <w:multiLevelType w:val="hybridMultilevel"/>
    <w:tmpl w:val="3F88A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5C4372"/>
    <w:multiLevelType w:val="hybridMultilevel"/>
    <w:tmpl w:val="40A2D5D6"/>
    <w:lvl w:ilvl="0" w:tplc="961E9A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922639"/>
    <w:multiLevelType w:val="hybridMultilevel"/>
    <w:tmpl w:val="3782CCBE"/>
    <w:lvl w:ilvl="0" w:tplc="961E9A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186466">
    <w:abstractNumId w:val="1"/>
  </w:num>
  <w:num w:numId="2" w16cid:durableId="1471633342">
    <w:abstractNumId w:val="0"/>
  </w:num>
  <w:num w:numId="3" w16cid:durableId="960264505">
    <w:abstractNumId w:val="2"/>
  </w:num>
  <w:num w:numId="4" w16cid:durableId="518356783">
    <w:abstractNumId w:val="4"/>
  </w:num>
  <w:num w:numId="5" w16cid:durableId="410273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0C"/>
    <w:rsid w:val="00034992"/>
    <w:rsid w:val="000828C6"/>
    <w:rsid w:val="0010290C"/>
    <w:rsid w:val="001620FE"/>
    <w:rsid w:val="001E7220"/>
    <w:rsid w:val="002034F2"/>
    <w:rsid w:val="002802A1"/>
    <w:rsid w:val="003E38AF"/>
    <w:rsid w:val="004D53A1"/>
    <w:rsid w:val="004E7D3E"/>
    <w:rsid w:val="005424C8"/>
    <w:rsid w:val="005B3029"/>
    <w:rsid w:val="00717DF7"/>
    <w:rsid w:val="007347B9"/>
    <w:rsid w:val="00800709"/>
    <w:rsid w:val="008067D0"/>
    <w:rsid w:val="00874283"/>
    <w:rsid w:val="00884C85"/>
    <w:rsid w:val="008C5A02"/>
    <w:rsid w:val="009001CA"/>
    <w:rsid w:val="009522FD"/>
    <w:rsid w:val="00956517"/>
    <w:rsid w:val="009D3B2C"/>
    <w:rsid w:val="00A035D3"/>
    <w:rsid w:val="00A20CFD"/>
    <w:rsid w:val="00A314BD"/>
    <w:rsid w:val="00AC33C3"/>
    <w:rsid w:val="00B3648B"/>
    <w:rsid w:val="00B562C9"/>
    <w:rsid w:val="00C57CE8"/>
    <w:rsid w:val="00CB7F98"/>
    <w:rsid w:val="00D010A1"/>
    <w:rsid w:val="00E759E8"/>
    <w:rsid w:val="00E91348"/>
    <w:rsid w:val="00EB1527"/>
    <w:rsid w:val="00F1051E"/>
    <w:rsid w:val="00F13B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6E81"/>
  <w15:chartTrackingRefBased/>
  <w15:docId w15:val="{9DA5034A-CF76-4515-A7BC-68516865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4BD"/>
    <w:pPr>
      <w:bidi/>
      <w:spacing w:before="120" w:after="120"/>
    </w:pPr>
    <w:rPr>
      <w:rFonts w:cs="SBL Hebrew"/>
    </w:rPr>
  </w:style>
  <w:style w:type="paragraph" w:styleId="Heading1">
    <w:name w:val="heading 1"/>
    <w:basedOn w:val="Normal"/>
    <w:next w:val="Normal"/>
    <w:link w:val="Heading1Char"/>
    <w:uiPriority w:val="9"/>
    <w:qFormat/>
    <w:rsid w:val="00A314BD"/>
    <w:pPr>
      <w:keepNext/>
      <w:keepLines/>
      <w:ind w:left="432"/>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A314BD"/>
    <w:pPr>
      <w:keepNext/>
      <w:keepLines/>
      <w:ind w:left="864"/>
      <w:outlineLvl w:val="1"/>
    </w:pPr>
    <w:rPr>
      <w:rFonts w:asciiTheme="majorHAnsi" w:eastAsiaTheme="majorEastAsia" w:hAnsiTheme="majorHAnsi"/>
      <w:bCs/>
      <w:sz w:val="32"/>
    </w:rPr>
  </w:style>
  <w:style w:type="paragraph" w:styleId="Heading3">
    <w:name w:val="heading 3"/>
    <w:basedOn w:val="Normal"/>
    <w:next w:val="Normal"/>
    <w:link w:val="Heading3Char"/>
    <w:uiPriority w:val="9"/>
    <w:semiHidden/>
    <w:unhideWhenUsed/>
    <w:qFormat/>
    <w:rsid w:val="00102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BD"/>
    <w:rPr>
      <w:rFonts w:asciiTheme="majorHAnsi" w:eastAsiaTheme="majorEastAsia" w:hAnsiTheme="majorHAnsi" w:cs="SBL Hebrew"/>
      <w:bCs/>
      <w:sz w:val="40"/>
    </w:rPr>
  </w:style>
  <w:style w:type="character" w:customStyle="1" w:styleId="Heading2Char">
    <w:name w:val="Heading 2 Char"/>
    <w:basedOn w:val="DefaultParagraphFont"/>
    <w:link w:val="Heading2"/>
    <w:uiPriority w:val="9"/>
    <w:rsid w:val="00A314BD"/>
    <w:rPr>
      <w:rFonts w:asciiTheme="majorHAnsi" w:eastAsiaTheme="majorEastAsia" w:hAnsiTheme="majorHAnsi" w:cs="SBL Hebrew"/>
      <w:bCs/>
      <w:sz w:val="32"/>
    </w:rPr>
  </w:style>
  <w:style w:type="character" w:customStyle="1" w:styleId="Heading3Char">
    <w:name w:val="Heading 3 Char"/>
    <w:basedOn w:val="DefaultParagraphFont"/>
    <w:link w:val="Heading3"/>
    <w:uiPriority w:val="9"/>
    <w:semiHidden/>
    <w:rsid w:val="00102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90C"/>
    <w:rPr>
      <w:rFonts w:eastAsiaTheme="majorEastAsia" w:cstheme="majorBidi"/>
      <w:color w:val="272727" w:themeColor="text1" w:themeTint="D8"/>
    </w:rPr>
  </w:style>
  <w:style w:type="paragraph" w:styleId="Title">
    <w:name w:val="Title"/>
    <w:basedOn w:val="Normal"/>
    <w:next w:val="Normal"/>
    <w:link w:val="TitleChar"/>
    <w:uiPriority w:val="10"/>
    <w:qFormat/>
    <w:rsid w:val="00102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90C"/>
    <w:pPr>
      <w:spacing w:before="160"/>
      <w:jc w:val="center"/>
    </w:pPr>
    <w:rPr>
      <w:i/>
      <w:iCs/>
      <w:color w:val="404040" w:themeColor="text1" w:themeTint="BF"/>
    </w:rPr>
  </w:style>
  <w:style w:type="character" w:customStyle="1" w:styleId="QuoteChar">
    <w:name w:val="Quote Char"/>
    <w:basedOn w:val="DefaultParagraphFont"/>
    <w:link w:val="Quote"/>
    <w:uiPriority w:val="29"/>
    <w:rsid w:val="0010290C"/>
    <w:rPr>
      <w:i/>
      <w:iCs/>
      <w:color w:val="404040" w:themeColor="text1" w:themeTint="BF"/>
    </w:rPr>
  </w:style>
  <w:style w:type="paragraph" w:styleId="ListParagraph">
    <w:name w:val="List Paragraph"/>
    <w:basedOn w:val="Normal"/>
    <w:uiPriority w:val="34"/>
    <w:qFormat/>
    <w:rsid w:val="00A20CFD"/>
    <w:pPr>
      <w:ind w:left="720"/>
    </w:pPr>
  </w:style>
  <w:style w:type="character" w:styleId="IntenseEmphasis">
    <w:name w:val="Intense Emphasis"/>
    <w:basedOn w:val="DefaultParagraphFont"/>
    <w:uiPriority w:val="21"/>
    <w:qFormat/>
    <w:rsid w:val="0010290C"/>
    <w:rPr>
      <w:i/>
      <w:iCs/>
      <w:color w:val="0F4761" w:themeColor="accent1" w:themeShade="BF"/>
    </w:rPr>
  </w:style>
  <w:style w:type="paragraph" w:styleId="IntenseQuote">
    <w:name w:val="Intense Quote"/>
    <w:basedOn w:val="Normal"/>
    <w:next w:val="Normal"/>
    <w:link w:val="IntenseQuoteChar"/>
    <w:uiPriority w:val="30"/>
    <w:qFormat/>
    <w:rsid w:val="00102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90C"/>
    <w:rPr>
      <w:i/>
      <w:iCs/>
      <w:color w:val="0F4761" w:themeColor="accent1" w:themeShade="BF"/>
    </w:rPr>
  </w:style>
  <w:style w:type="character" w:styleId="IntenseReference">
    <w:name w:val="Intense Reference"/>
    <w:basedOn w:val="DefaultParagraphFont"/>
    <w:uiPriority w:val="32"/>
    <w:qFormat/>
    <w:rsid w:val="0010290C"/>
    <w:rPr>
      <w:b/>
      <w:bCs/>
      <w:smallCaps/>
      <w:color w:val="0F4761" w:themeColor="accent1" w:themeShade="BF"/>
      <w:spacing w:val="5"/>
    </w:rPr>
  </w:style>
  <w:style w:type="paragraph" w:styleId="FootnoteText">
    <w:name w:val="footnote text"/>
    <w:basedOn w:val="Normal"/>
    <w:link w:val="FootnoteTextChar"/>
    <w:uiPriority w:val="99"/>
    <w:semiHidden/>
    <w:unhideWhenUsed/>
    <w:rsid w:val="00A314B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314BD"/>
    <w:rPr>
      <w:rFonts w:cs="SBL Hebrew"/>
      <w:sz w:val="20"/>
      <w:szCs w:val="20"/>
    </w:rPr>
  </w:style>
  <w:style w:type="character" w:styleId="FootnoteReference">
    <w:name w:val="footnote reference"/>
    <w:basedOn w:val="DefaultParagraphFont"/>
    <w:uiPriority w:val="99"/>
    <w:semiHidden/>
    <w:unhideWhenUsed/>
    <w:rsid w:val="00A314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7866-0490-4F0E-9372-32DA78C3D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27</cp:revision>
  <dcterms:created xsi:type="dcterms:W3CDTF">2025-03-27T15:06:00Z</dcterms:created>
  <dcterms:modified xsi:type="dcterms:W3CDTF">2025-03-31T16:10:00Z</dcterms:modified>
</cp:coreProperties>
</file>