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46709" w14:textId="77777777" w:rsidR="00FB7828" w:rsidRDefault="00000000">
      <w:pPr>
        <w:pStyle w:val="Heading1"/>
      </w:pPr>
      <w:r>
        <w:rPr>
          <w:rtl/>
        </w:rPr>
        <w:t>ארבע התקנות:</w:t>
      </w:r>
    </w:p>
    <w:p w14:paraId="5D31ADEB" w14:textId="77777777" w:rsidR="00FB7828" w:rsidRDefault="00000000">
      <w:pPr>
        <w:rPr>
          <w:lang w:bidi="he-IL"/>
        </w:rPr>
      </w:pPr>
      <w:r>
        <w:rPr>
          <w:rtl/>
          <w:lang w:bidi="he-IL"/>
        </w:rPr>
        <w:t>יש ארבע תקנות שחייבים להזכיר:</w:t>
      </w:r>
    </w:p>
    <w:p w14:paraId="55E9EE8E" w14:textId="77777777" w:rsidR="00FB7828" w:rsidRDefault="00000000">
      <w:pPr>
        <w:numPr>
          <w:ilvl w:val="0"/>
          <w:numId w:val="3"/>
        </w:numPr>
        <w:rPr>
          <w:lang w:bidi="he-IL"/>
        </w:rPr>
      </w:pPr>
      <w:r>
        <w:rPr>
          <w:rtl/>
          <w:lang w:bidi="he-IL"/>
        </w:rPr>
        <w:t>תקנה ראשונה היא שלא מקבלים עדים שבאים ביום ראשון מן המנחה ואילך. הסיבה לתקנה זו היא חשש לקילקול לויים בשיר. אם לא יודעים שי"ט הוא, לא ישירו או ישירו שיר של חול, ואם נמצא שהוא י"ט, נמצא שטעו.</w:t>
      </w:r>
      <w:r>
        <w:rPr>
          <w:rStyle w:val="FootnoteReference"/>
          <w:rtl/>
          <w:lang w:bidi="he-IL"/>
        </w:rPr>
        <w:footnoteReference w:id="1"/>
      </w:r>
    </w:p>
    <w:p w14:paraId="0A71A3CB" w14:textId="77777777" w:rsidR="00FB7828" w:rsidRDefault="00000000">
      <w:pPr>
        <w:numPr>
          <w:ilvl w:val="0"/>
          <w:numId w:val="3"/>
        </w:numPr>
        <w:rPr>
          <w:lang w:bidi="he-IL"/>
        </w:rPr>
      </w:pPr>
      <w:r>
        <w:rPr>
          <w:rtl/>
          <w:lang w:bidi="he-IL"/>
        </w:rPr>
        <w:t>תקנה שנית היא ששני ימים טובים של ראש השנה קדושה אחת</w:t>
      </w:r>
      <w:r>
        <w:rPr>
          <w:rStyle w:val="FootnoteReference"/>
          <w:rtl/>
          <w:lang w:bidi="he-IL"/>
        </w:rPr>
        <w:footnoteReference w:id="2"/>
      </w:r>
      <w:r>
        <w:rPr>
          <w:rtl/>
          <w:lang w:bidi="he-IL"/>
        </w:rPr>
        <w:t>. זה נובע מתקנה ראשונה, שנמצא שיש זמן בי"ט (מן המנחה ואילך) שידוע בוודאי שהיום לא יו"ט. אף על פי כן, רבנן אמרו שצריך לנהוג בדיני י"ט, כדי שלא יזלזלו ביום ראשון לשנה הבאה. כיון שאין עוד ספק, יום השני נעשה י"ט בתורת וודאי, ונעשו שני הימים קדושה אחת.</w:t>
      </w:r>
    </w:p>
    <w:p w14:paraId="44A54CEE" w14:textId="77777777" w:rsidR="00FB7828" w:rsidRDefault="00000000">
      <w:pPr>
        <w:ind w:left="720"/>
        <w:rPr>
          <w:lang w:bidi="he-IL"/>
        </w:rPr>
      </w:pPr>
      <w:r>
        <w:rPr>
          <w:rtl/>
          <w:lang w:bidi="he-IL"/>
        </w:rPr>
        <w:t xml:space="preserve">לא כל כך פשוט למה מה ששומרים את שניהם מוכיח ששניהם קדושה אחת. </w:t>
      </w:r>
    </w:p>
    <w:p w14:paraId="14852A6B" w14:textId="77777777" w:rsidR="00FB7828" w:rsidRDefault="00000000">
      <w:pPr>
        <w:numPr>
          <w:ilvl w:val="1"/>
          <w:numId w:val="7"/>
        </w:numPr>
        <w:rPr>
          <w:lang w:bidi="he-IL"/>
        </w:rPr>
      </w:pPr>
      <w:r>
        <w:rPr>
          <w:rtl/>
          <w:lang w:bidi="he-IL"/>
        </w:rPr>
        <w:t xml:space="preserve">אולי זה מפני שאין כוח ביד חכמים לעשות יום חדש, אלא רק למשוך את היום. אולי זה מפני שמוסיפים קדושה, ולא קל להוסיף קדושה בלי המשכת קדושה, ואולי זה מפני בל תוסיף. </w:t>
      </w:r>
    </w:p>
    <w:p w14:paraId="53B90A2F" w14:textId="77777777" w:rsidR="00FB7828" w:rsidRDefault="00000000">
      <w:pPr>
        <w:numPr>
          <w:ilvl w:val="1"/>
          <w:numId w:val="7"/>
        </w:numPr>
        <w:rPr>
          <w:lang w:bidi="he-IL"/>
        </w:rPr>
      </w:pPr>
      <w:r>
        <w:rPr>
          <w:rtl/>
          <w:lang w:bidi="he-IL"/>
        </w:rPr>
        <w:t>גם אפשר שהוא מפני שתקנת רבנן הוא לשמור את יום ראשון כאילו הוא יום טוב (שהרי, ספק יום טוב הוא), ומה שחוששים לו הוא אותו יום שהוא יום שני. אז, ממילא, שני י"ט הם.</w:t>
      </w:r>
    </w:p>
    <w:p w14:paraId="7CC89991" w14:textId="77777777" w:rsidR="00FB7828" w:rsidRDefault="00000000">
      <w:pPr>
        <w:numPr>
          <w:ilvl w:val="1"/>
          <w:numId w:val="7"/>
        </w:numPr>
        <w:rPr>
          <w:lang w:bidi="he-IL"/>
        </w:rPr>
      </w:pPr>
      <w:r>
        <w:rPr>
          <w:rtl/>
          <w:lang w:bidi="he-IL"/>
        </w:rPr>
        <w:t>כל זמן שיש שני י"ט רצופים, כיון שקדושה שווה יש להם, ואין לומר ממ"נ, ממילא הם מצרפים להיות קדושה אחת.</w:t>
      </w:r>
      <w:r>
        <w:rPr>
          <w:rStyle w:val="FootnoteReference"/>
          <w:rtl/>
          <w:lang w:bidi="he-IL"/>
        </w:rPr>
        <w:footnoteReference w:id="3"/>
      </w:r>
    </w:p>
    <w:p w14:paraId="36B8507A" w14:textId="77777777" w:rsidR="00FB7828" w:rsidRDefault="00000000">
      <w:pPr>
        <w:ind w:left="720"/>
        <w:rPr>
          <w:lang w:bidi="he-IL"/>
        </w:rPr>
      </w:pPr>
      <w:r>
        <w:rPr>
          <w:rtl/>
          <w:lang w:bidi="he-IL"/>
        </w:rPr>
        <w:t>יש להעיר שבאמת, יש, בין שני הימים, שלשה חלקים:</w:t>
      </w:r>
    </w:p>
    <w:p w14:paraId="57F43B73" w14:textId="77777777" w:rsidR="00FB7828" w:rsidRDefault="00000000">
      <w:pPr>
        <w:numPr>
          <w:ilvl w:val="1"/>
          <w:numId w:val="8"/>
        </w:numPr>
        <w:rPr>
          <w:lang w:bidi="he-IL"/>
        </w:rPr>
      </w:pPr>
      <w:r>
        <w:rPr>
          <w:rtl/>
          <w:lang w:bidi="he-IL"/>
        </w:rPr>
        <w:t>יש מתחילת יום הראשון עד המנחה.</w:t>
      </w:r>
    </w:p>
    <w:p w14:paraId="4F999088" w14:textId="77777777" w:rsidR="00FB7828" w:rsidRDefault="00000000">
      <w:pPr>
        <w:numPr>
          <w:ilvl w:val="1"/>
          <w:numId w:val="8"/>
        </w:numPr>
        <w:rPr>
          <w:lang w:bidi="he-IL"/>
        </w:rPr>
      </w:pPr>
      <w:r>
        <w:rPr>
          <w:rtl/>
          <w:lang w:bidi="he-IL"/>
        </w:rPr>
        <w:t>יש מן המנחה עד יום השני.</w:t>
      </w:r>
    </w:p>
    <w:p w14:paraId="514A7E82" w14:textId="77777777" w:rsidR="00FB7828" w:rsidRDefault="00000000">
      <w:pPr>
        <w:numPr>
          <w:ilvl w:val="1"/>
          <w:numId w:val="8"/>
        </w:numPr>
        <w:rPr>
          <w:lang w:bidi="he-IL"/>
        </w:rPr>
      </w:pPr>
      <w:r>
        <w:rPr>
          <w:rtl/>
          <w:lang w:bidi="he-IL"/>
        </w:rPr>
        <w:t>יש יום השני.</w:t>
      </w:r>
    </w:p>
    <w:p w14:paraId="31E4178C" w14:textId="77777777" w:rsidR="00FB7828" w:rsidRDefault="00000000">
      <w:pPr>
        <w:ind w:left="720"/>
        <w:rPr>
          <w:lang w:bidi="he-IL"/>
        </w:rPr>
      </w:pPr>
      <w:r>
        <w:rPr>
          <w:rtl/>
          <w:lang w:bidi="he-IL"/>
        </w:rPr>
        <w:t>מובן למה נאמר שיגזרו רבנן על חלק שני, אבל לא פשוט למה גם תהיה גזירה שלהם על חלק ראשון:</w:t>
      </w:r>
    </w:p>
    <w:p w14:paraId="166812EE" w14:textId="77777777" w:rsidR="00FB7828" w:rsidRDefault="00000000">
      <w:pPr>
        <w:numPr>
          <w:ilvl w:val="1"/>
          <w:numId w:val="11"/>
        </w:numPr>
        <w:rPr>
          <w:lang w:bidi="he-IL"/>
        </w:rPr>
      </w:pPr>
      <w:r>
        <w:rPr>
          <w:rtl/>
          <w:lang w:bidi="he-IL"/>
        </w:rPr>
        <w:t>אפשר לפרש שאי אפשר לרבנן לעשות קדושה רק לחלק שני, כיון שהוא יום שווה לחלק ראשון.</w:t>
      </w:r>
    </w:p>
    <w:p w14:paraId="31AAE95D" w14:textId="77777777" w:rsidR="00FB7828" w:rsidRDefault="00000000">
      <w:pPr>
        <w:numPr>
          <w:ilvl w:val="1"/>
          <w:numId w:val="8"/>
        </w:numPr>
        <w:rPr>
          <w:lang w:bidi="he-IL"/>
        </w:rPr>
      </w:pPr>
      <w:r>
        <w:rPr>
          <w:rtl/>
          <w:lang w:bidi="he-IL"/>
        </w:rPr>
        <w:t>אפשר לפרש שכיון שעשו שחלק שני הוא אותו יום של חלק שלישי, והרי גם חלק ראשון הוא אותו יום של חלק שני, נמצא שכולם יום אחד.</w:t>
      </w:r>
    </w:p>
    <w:p w14:paraId="04C75168" w14:textId="77777777" w:rsidR="00FB7828" w:rsidRDefault="00000000">
      <w:pPr>
        <w:numPr>
          <w:ilvl w:val="1"/>
          <w:numId w:val="8"/>
        </w:numPr>
        <w:rPr>
          <w:lang w:bidi="he-IL"/>
        </w:rPr>
      </w:pPr>
      <w:r>
        <w:rPr>
          <w:rtl/>
          <w:lang w:bidi="he-IL"/>
        </w:rPr>
        <w:t>אפשר לפרש שכיון שעשו דינים על חלק שני, גם עשו אותם הדינים על חלק ראשון, כיון שיום אחד הם.</w:t>
      </w:r>
      <w:r>
        <w:rPr>
          <w:rStyle w:val="FootnoteReference"/>
          <w:rtl/>
          <w:lang w:bidi="he-IL"/>
        </w:rPr>
        <w:footnoteReference w:id="4"/>
      </w:r>
    </w:p>
    <w:p w14:paraId="6D8AB43B" w14:textId="77777777" w:rsidR="00FB7828" w:rsidRDefault="00000000">
      <w:pPr>
        <w:ind w:left="720"/>
        <w:rPr>
          <w:lang w:bidi="he-IL"/>
        </w:rPr>
      </w:pPr>
      <w:r>
        <w:rPr>
          <w:rtl/>
          <w:lang w:bidi="he-IL"/>
        </w:rPr>
        <w:t>בע"ה, לקמן נדון איזה סוג תקנה היא תקנה זו.</w:t>
      </w:r>
    </w:p>
    <w:p w14:paraId="7D313723" w14:textId="77777777" w:rsidR="00FB7828" w:rsidRDefault="00000000">
      <w:pPr>
        <w:ind w:left="720"/>
        <w:rPr>
          <w:lang w:bidi="he-IL"/>
        </w:rPr>
      </w:pPr>
      <w:r>
        <w:rPr>
          <w:rtl/>
          <w:lang w:bidi="he-IL"/>
        </w:rPr>
        <w:t>מלשון רשי משמע שזה רק אם באים עדים מן המנחה ולמעלה. קשה למה נאמר כן, שיהיה גם אם לא באים כלל. אפשר לפרש שמניחים שיבואו עדים, ויבואו או יום ראשון או יום שני. הרי, אם באים יום שני, הם מן המנחה ולמעלה (שיום שני קורה אחרי מנחה של יום ראשון).</w:t>
      </w:r>
    </w:p>
    <w:p w14:paraId="641D35B8" w14:textId="77777777" w:rsidR="00FB7828" w:rsidRDefault="00000000">
      <w:pPr>
        <w:numPr>
          <w:ilvl w:val="0"/>
          <w:numId w:val="3"/>
        </w:numPr>
        <w:rPr>
          <w:lang w:bidi="he-IL"/>
        </w:rPr>
      </w:pPr>
      <w:r>
        <w:rPr>
          <w:rtl/>
          <w:lang w:bidi="he-IL"/>
        </w:rPr>
        <w:t>תקנה שלישית היא תקנת רבן יוחנן בן זכאי, שאחרי חורבן בית המקדש, שלא הוצרכו עוד לחוש לשירת הלווים, מקבלים עדים כל יום ראשון של יו"ט.</w:t>
      </w:r>
    </w:p>
    <w:p w14:paraId="4FA2C55C" w14:textId="77777777" w:rsidR="00FB7828" w:rsidRDefault="00000000">
      <w:pPr>
        <w:numPr>
          <w:ilvl w:val="0"/>
          <w:numId w:val="3"/>
        </w:numPr>
        <w:rPr>
          <w:lang w:bidi="he-IL"/>
        </w:rPr>
      </w:pPr>
      <w:r>
        <w:rPr>
          <w:rtl/>
          <w:lang w:bidi="he-IL"/>
        </w:rPr>
        <w:t>תקנה רביעית היא שאחרי שבטלו הסמוכים מבנ"י, לא קדשו את החודש על פי ראייה, אלא על פי חשבון.</w:t>
      </w:r>
    </w:p>
    <w:p w14:paraId="327A3B61" w14:textId="77777777" w:rsidR="00FB7828" w:rsidRDefault="00000000">
      <w:pPr>
        <w:pStyle w:val="Heading1"/>
      </w:pPr>
      <w:r>
        <w:rPr>
          <w:rtl/>
        </w:rPr>
        <w:lastRenderedPageBreak/>
        <w:t>שלשה הזמנים:</w:t>
      </w:r>
    </w:p>
    <w:p w14:paraId="1644D3BB" w14:textId="77777777" w:rsidR="00FB7828" w:rsidRDefault="00000000">
      <w:pPr>
        <w:rPr>
          <w:lang w:bidi="he-IL"/>
        </w:rPr>
      </w:pPr>
      <w:r>
        <w:rPr>
          <w:rtl/>
          <w:lang w:bidi="he-IL"/>
        </w:rPr>
        <w:t>יש שלשה זמנים שבהם צריכים לדון:</w:t>
      </w:r>
    </w:p>
    <w:p w14:paraId="697B5817" w14:textId="77777777" w:rsidR="00FB7828" w:rsidRDefault="00000000">
      <w:pPr>
        <w:numPr>
          <w:ilvl w:val="0"/>
          <w:numId w:val="4"/>
        </w:numPr>
        <w:rPr>
          <w:lang w:bidi="he-IL"/>
        </w:rPr>
      </w:pPr>
      <w:r>
        <w:rPr>
          <w:rtl/>
          <w:lang w:bidi="he-IL"/>
        </w:rPr>
        <w:t>זמן ראשון הוא בין תקנה ראשונה לתקנה שלישית.</w:t>
      </w:r>
    </w:p>
    <w:p w14:paraId="3BEF5C2C" w14:textId="77777777" w:rsidR="00FB7828" w:rsidRDefault="00000000">
      <w:pPr>
        <w:numPr>
          <w:ilvl w:val="0"/>
          <w:numId w:val="4"/>
        </w:numPr>
        <w:rPr>
          <w:lang w:bidi="he-IL"/>
        </w:rPr>
      </w:pPr>
      <w:r>
        <w:rPr>
          <w:rtl/>
          <w:lang w:bidi="he-IL"/>
        </w:rPr>
        <w:t>זמן שני הוא בין תקנה שלישית לתקנה רביעית.</w:t>
      </w:r>
    </w:p>
    <w:p w14:paraId="68AFDA73" w14:textId="77777777" w:rsidR="00FB7828" w:rsidRDefault="00000000">
      <w:pPr>
        <w:numPr>
          <w:ilvl w:val="0"/>
          <w:numId w:val="4"/>
        </w:numPr>
        <w:rPr>
          <w:lang w:bidi="he-IL"/>
        </w:rPr>
      </w:pPr>
      <w:r>
        <w:rPr>
          <w:rtl/>
          <w:lang w:bidi="he-IL"/>
        </w:rPr>
        <w:t>זמן שלישי הוא אחרי תקנה רביעית. (באותו זמן אנחנו עומדים עכשיו.)</w:t>
      </w:r>
    </w:p>
    <w:p w14:paraId="3D5C5F25" w14:textId="77777777" w:rsidR="00FB7828" w:rsidRDefault="00000000">
      <w:pPr>
        <w:pStyle w:val="Heading1"/>
      </w:pPr>
      <w:r>
        <w:rPr>
          <w:rtl/>
        </w:rPr>
        <w:t>שלשה המקומות:</w:t>
      </w:r>
    </w:p>
    <w:p w14:paraId="1BBAE177" w14:textId="77777777" w:rsidR="00FB7828" w:rsidRDefault="00000000">
      <w:pPr>
        <w:rPr>
          <w:lang w:bidi="he-IL"/>
        </w:rPr>
      </w:pPr>
      <w:r>
        <w:rPr>
          <w:rtl/>
          <w:lang w:bidi="he-IL"/>
        </w:rPr>
        <w:t>יש שלשה מקומות שבהם צריכים לדון:</w:t>
      </w:r>
    </w:p>
    <w:p w14:paraId="6B684F98" w14:textId="77777777" w:rsidR="00FB7828" w:rsidRDefault="00000000">
      <w:pPr>
        <w:numPr>
          <w:ilvl w:val="0"/>
          <w:numId w:val="5"/>
        </w:numPr>
        <w:rPr>
          <w:lang w:bidi="he-IL"/>
        </w:rPr>
      </w:pPr>
      <w:r>
        <w:rPr>
          <w:rtl/>
          <w:lang w:bidi="he-IL"/>
        </w:rPr>
        <w:t>מקום ראשון הוא מקום הקרוב לבית דין שקובעים את החדש.</w:t>
      </w:r>
    </w:p>
    <w:p w14:paraId="1BC2715B" w14:textId="77777777" w:rsidR="00FB7828" w:rsidRDefault="00000000">
      <w:pPr>
        <w:numPr>
          <w:ilvl w:val="0"/>
          <w:numId w:val="5"/>
        </w:numPr>
        <w:rPr>
          <w:lang w:bidi="he-IL"/>
        </w:rPr>
      </w:pPr>
      <w:r>
        <w:rPr>
          <w:rtl/>
          <w:lang w:bidi="he-IL"/>
        </w:rPr>
        <w:t>מקום שני הוא מקום בא"י שלא קרוב לבית דין.</w:t>
      </w:r>
    </w:p>
    <w:p w14:paraId="0D8382B5" w14:textId="77777777" w:rsidR="00FB7828" w:rsidRDefault="00000000">
      <w:pPr>
        <w:numPr>
          <w:ilvl w:val="0"/>
          <w:numId w:val="5"/>
        </w:numPr>
        <w:rPr>
          <w:lang w:bidi="he-IL"/>
        </w:rPr>
      </w:pPr>
      <w:r>
        <w:rPr>
          <w:rtl/>
          <w:lang w:bidi="he-IL"/>
        </w:rPr>
        <w:t>מקום שלישי הוא חו"ל.</w:t>
      </w:r>
    </w:p>
    <w:p w14:paraId="093A1AA5" w14:textId="77777777" w:rsidR="00FB7828" w:rsidRDefault="00000000">
      <w:pPr>
        <w:pStyle w:val="Heading1"/>
      </w:pPr>
      <w:r>
        <w:rPr>
          <w:rtl/>
        </w:rPr>
        <w:t>שלשה השיטות:</w:t>
      </w:r>
    </w:p>
    <w:p w14:paraId="151CEAF6" w14:textId="77777777" w:rsidR="00FB7828" w:rsidRDefault="00000000">
      <w:pPr>
        <w:rPr>
          <w:lang w:bidi="he-IL"/>
        </w:rPr>
      </w:pPr>
      <w:r>
        <w:rPr>
          <w:rtl/>
          <w:lang w:bidi="he-IL"/>
        </w:rPr>
        <w:t>בין הכל, מצאנו שלשה שיטות (בענין מהו הדין) בשני ימים טובים של ראש השנה:</w:t>
      </w:r>
    </w:p>
    <w:p w14:paraId="116E89A1" w14:textId="77777777" w:rsidR="00FB7828" w:rsidRDefault="00000000">
      <w:pPr>
        <w:numPr>
          <w:ilvl w:val="0"/>
          <w:numId w:val="6"/>
        </w:numPr>
        <w:rPr>
          <w:lang w:bidi="he-IL"/>
        </w:rPr>
      </w:pPr>
      <w:r>
        <w:rPr>
          <w:rtl/>
          <w:lang w:bidi="he-IL"/>
        </w:rPr>
        <w:t>בזמן ראשון, בכל מקום, קדושה אחת הם. לעיל, כבר בארנו  למה זה נכון במקום ראשון. אבל, צריך ביאור למה זה נכון בשאר מקומות. הרי, שם, תמיד ספק הוא, ולא צריכים את הגזירה הזו שעושה את שני הימים ליום אחד. אולי צריכים לפרש שכיון שכבר גוזרים, גוזרים על כל מקום, שאין כל כך שינוי בשאר המקומות, ויותר רוצים שיהיו כל המקומות שוות בתקנה או בדין. גם אפשר להוסיף שאולי יותר סיבה למשוך את התקנה לכל מקום כיון שהוא גם נוגע שם, שגם בשאר מקומות, אם יעבור על אותו התקנה, יבוא לזלזל בו לשנה אחרת. אבל, יש לדון, שלא יעבור בו במחשבת היתר, ואולי זה לא יגרום לו לזלזל.</w:t>
      </w:r>
    </w:p>
    <w:p w14:paraId="58A2AA0C" w14:textId="77777777" w:rsidR="00FB7828" w:rsidRDefault="00000000">
      <w:pPr>
        <w:numPr>
          <w:ilvl w:val="0"/>
          <w:numId w:val="6"/>
        </w:numPr>
        <w:rPr>
          <w:lang w:bidi="he-IL"/>
        </w:rPr>
      </w:pPr>
      <w:r>
        <w:rPr>
          <w:rtl/>
          <w:lang w:bidi="he-IL"/>
        </w:rPr>
        <w:t>אולי רבה אמר שבזמן שני, בכל מקום, שתי קדושות הם</w:t>
      </w:r>
      <w:r>
        <w:rPr>
          <w:rStyle w:val="FootnoteReference"/>
          <w:rtl/>
          <w:lang w:bidi="he-IL"/>
        </w:rPr>
        <w:footnoteReference w:id="5"/>
      </w:r>
      <w:r>
        <w:rPr>
          <w:rtl/>
          <w:lang w:bidi="he-IL"/>
        </w:rPr>
        <w:t>. צריכים להבין לפי רבה למה לא אומרים ש"מנהג אבותיהם בידיהם,” כמו ששלחו מתם. הרי, לפני זמן, כולם נהגו קדושה אחת, עם כל החומרות שלו. אז, קשה להבין למה לא חייבים להמשיך לנהוג ככה:</w:t>
      </w:r>
    </w:p>
    <w:p w14:paraId="73626FEA" w14:textId="77777777" w:rsidR="00FB7828" w:rsidRDefault="00000000">
      <w:pPr>
        <w:numPr>
          <w:ilvl w:val="1"/>
          <w:numId w:val="6"/>
        </w:numPr>
        <w:rPr>
          <w:lang w:bidi="he-IL"/>
        </w:rPr>
      </w:pPr>
      <w:r>
        <w:rPr>
          <w:rtl/>
          <w:lang w:bidi="he-IL"/>
        </w:rPr>
        <w:t>אפשר לומר שאין זה נקרא מנהג. מה שנהגו שני ימים טובים לא נחשב מנהג כיון שאין זה דבר שנוהג. (יש שני דרכים להסביר את זה. אולי הוא שדבר בלי נפק"מ גדולה לא חשוב, ולא אומרים עליו מנהג, ואולי הוא שענין של מנהג אינו על לומדות, אלא על הדין; הכוח בא ממה שנוהגים ועושים ככה.) מה שנהגו לאסור ביצה וכדומה לא נחשב מנהג כיון שאין זה דבר שנהגו בקביעות, שבדרך כלל זה לא נוגע.</w:t>
      </w:r>
    </w:p>
    <w:p w14:paraId="226C50E1" w14:textId="77777777" w:rsidR="00FB7828" w:rsidRDefault="00000000">
      <w:pPr>
        <w:numPr>
          <w:ilvl w:val="1"/>
          <w:numId w:val="6"/>
        </w:numPr>
        <w:rPr>
          <w:lang w:bidi="he-IL"/>
        </w:rPr>
      </w:pPr>
      <w:r>
        <w:rPr>
          <w:rtl/>
          <w:lang w:bidi="he-IL"/>
        </w:rPr>
        <w:t>אפשר לומר שגמ’ לעיל לא כיון לסמוך על מנהג (או לסמוך על מנהג בפני עצמו), אלא על גזרה שמזכיר שם.</w:t>
      </w:r>
    </w:p>
    <w:p w14:paraId="30679EBB" w14:textId="77777777" w:rsidR="00FB7828" w:rsidRDefault="00000000">
      <w:pPr>
        <w:numPr>
          <w:ilvl w:val="1"/>
          <w:numId w:val="6"/>
        </w:numPr>
        <w:rPr>
          <w:lang w:bidi="he-IL"/>
        </w:rPr>
      </w:pPr>
      <w:r>
        <w:rPr>
          <w:rtl/>
          <w:lang w:bidi="he-IL"/>
        </w:rPr>
        <w:t>אפשר לומר שגמ’ לעיל הזכיר את הגזירה לומר שרק ממשיכים את המנהג כשיש עוד קצת סיבה לו. (אולי זה כדי שלא יהיו נראים החכמים כחוכא ואטלולא, ואולי זה כדי ליחס את הזמן לזמן שבו קיימו את המנהג.) הרי, אחרי שבוודאי לא יהיה שני ימים טובים בוודאי- אין שום סיבה לזה- לא ימשיכו את המנהג.</w:t>
      </w:r>
      <w:r>
        <w:rPr>
          <w:rStyle w:val="FootnoteReference"/>
          <w:rtl/>
          <w:lang w:bidi="he-IL"/>
        </w:rPr>
        <w:footnoteReference w:id="6"/>
      </w:r>
    </w:p>
    <w:p w14:paraId="1241415B" w14:textId="77777777" w:rsidR="00FB7828" w:rsidRDefault="00000000">
      <w:pPr>
        <w:numPr>
          <w:ilvl w:val="1"/>
          <w:numId w:val="6"/>
        </w:numPr>
        <w:rPr>
          <w:lang w:bidi="he-IL"/>
        </w:rPr>
      </w:pPr>
      <w:r>
        <w:rPr>
          <w:rtl/>
          <w:lang w:bidi="he-IL"/>
        </w:rPr>
        <w:t>אפשר לומר שחורבן בית המקדש או תקנה של רבי יוחנן מספיק לומר ששינה עד שאין מנהג הראשון נוהג.</w:t>
      </w:r>
    </w:p>
    <w:p w14:paraId="6C74F63B" w14:textId="77777777" w:rsidR="00FB7828" w:rsidRDefault="00000000">
      <w:pPr>
        <w:numPr>
          <w:ilvl w:val="1"/>
          <w:numId w:val="6"/>
        </w:numPr>
        <w:rPr>
          <w:lang w:bidi="he-IL"/>
        </w:rPr>
      </w:pPr>
      <w:r>
        <w:rPr>
          <w:rtl/>
          <w:lang w:bidi="he-IL"/>
        </w:rPr>
        <w:t>אפשר לפרש שסובר כמו שנאמר לרב ושמואל, וסובר שזה יתיר גם דין של שאר מקומות, כיון שכל המנהג שלהם תלוי בתקנה שהוא רק הוספה על תקנת מקום ראשון. אז, לא המשיכו את המנהג כשלא נוהג דין של מקום ראשון.</w:t>
      </w:r>
    </w:p>
    <w:p w14:paraId="5E171BC9" w14:textId="77777777" w:rsidR="00FB7828" w:rsidRDefault="00000000">
      <w:pPr>
        <w:numPr>
          <w:ilvl w:val="0"/>
          <w:numId w:val="6"/>
        </w:numPr>
        <w:rPr>
          <w:lang w:bidi="he-IL"/>
        </w:rPr>
      </w:pPr>
      <w:r>
        <w:rPr>
          <w:rtl/>
          <w:lang w:bidi="he-IL"/>
        </w:rPr>
        <w:t>רב ושמואל ואולי רב אמר שבזמן שני, במקום שלישי, שתי קדושות הם. במקום ראשון, קדושה אחת היא. לא פשוט מהו הדין של מקום שני; בע"ה, נדון בזה.</w:t>
      </w:r>
    </w:p>
    <w:p w14:paraId="3791CCA8" w14:textId="77777777" w:rsidR="00FB7828" w:rsidRDefault="00000000">
      <w:pPr>
        <w:ind w:left="720"/>
        <w:rPr>
          <w:lang w:bidi="he-IL"/>
        </w:rPr>
      </w:pPr>
      <w:r>
        <w:rPr>
          <w:rtl/>
          <w:lang w:bidi="he-IL"/>
        </w:rPr>
        <w:t xml:space="preserve">צריכים לבאר למה שתי קדושות הוא במקום ראשון. היה נראה לומר שלא יכולים לפרש כמו שבארנו ברבה, כי אז כל הדין יהיה כרבה. אבל, עדיין יכולים להצטרך את זה לסיבה אחר שנגיד בע"ה. גם נראה שנוכל לומר צד הרביעי, ולומר שכיון שלא היה סיבה מעולם בשאר מקומות (כמו שבארנו לעיל), לצד שני שבאותו הצד, יכול להמשיך גם אם לא נשאר לו סיבה. חוץ מזה, יכולים לומר שכיון שלא תמיד נהגו קדושה אחת (שיש שנים שיום ראשון הוא יו"ט), אין זה מנהג חזק. כמו כן, יש לומר (ואולי כן משמע מרשי) שכיון שיש שנה שמפסיק, אין ממשיכים את המנהג. בשני צדדים אלו, יש לדון אם זה מחליש את המנהג או </w:t>
      </w:r>
      <w:r>
        <w:rPr>
          <w:rtl/>
          <w:lang w:bidi="he-IL"/>
        </w:rPr>
        <w:lastRenderedPageBreak/>
        <w:t xml:space="preserve">עושה שיש גם מנהג שלא לעשות שני הימים כיום אחד. גם אפשר לומר שעיקר המנהג היה על חלק שני של היום, וזה נמשך לחלק ראשון. הרי, אין חלק שני של היום עוד. אז, אי אפשר להמשיך את המנהג.ני </w:t>
      </w:r>
    </w:p>
    <w:p w14:paraId="6F650C50" w14:textId="5CFB5310" w:rsidR="00FB7828" w:rsidRDefault="00000000">
      <w:pPr>
        <w:ind w:left="720"/>
        <w:rPr>
          <w:lang w:bidi="he-IL"/>
        </w:rPr>
      </w:pPr>
      <w:r>
        <w:rPr>
          <w:rtl/>
          <w:lang w:bidi="he-IL"/>
        </w:rPr>
        <w:t>תוס’ אומר שהחילוק הוא שבמקום ראשון, לא נמשך המנהג, וכבר קורה שינוי באיזה ימים הם יום טוב. אז, יכול להיות גם שינוי בקדושה אחת של השני ימים. אפשר לבאר שהוא מפני שיבלבלו בני אדם אם דבר אחד משתנה, ורק אם יש להם סימן בשינוי מן דבר אחר נוכל לשנות. גם אפשר לבאר שרוצים לקיים מנהג; כיון שדבר אחד כבר בטל, אין המנהג קיים. וא"ת איך יבטלו שני ימים טובים כשבאו עדים מן המנחה ולמעלה, שהרי לא היה שינוי במנהג קודם זה. ויש לומר שזה שאני, כיון שיש לו סיבה גדולה, שצריך לתקן את המועדות. יש להעיר שיש שינוי במנהג איזה ימים רק אם באו עדים מן המנחה ולמעלה. אבל, אם לא באו, אין שינוי. אבל, אולי (עיין לעיל למטה) יש שינוי בדין הימים (אם הם ימא חדא או שני ימים) אף אם לא באו עדים. (יש לדון, שאולי אין זה הדין, אבל כן נראה ממה שלא מחלק על פי זה.) יש להעיר שאפשר לומר שכל שנה שלא באים עדים ביום ראשון, בהכרח יש שינוי שבא מחמת התקנה, שמה שלא באו עדים יתכן שהוא מחמת התקנה. כיון שבני אדם יודעים שלא מקדשים מן המנחה ולמעלה, לא יבואו, שחוששים שלא יגיעו בזמן. אז, יותר מצוי שלא יהיו עדים ביום ראשון. מה שציור כזה מצוי עושה שיש סימן ושינוי מתקנת רבנן בכל שנה שזה קורה.</w:t>
      </w:r>
      <w:r w:rsidR="00AC3B6F">
        <w:rPr>
          <w:rStyle w:val="FootnoteReference"/>
          <w:rtl/>
          <w:lang w:bidi="he-IL"/>
        </w:rPr>
        <w:footnoteReference w:id="7"/>
      </w:r>
    </w:p>
    <w:p w14:paraId="12965D9D" w14:textId="77777777" w:rsidR="00FB7828" w:rsidRDefault="00000000">
      <w:pPr>
        <w:ind w:left="720"/>
        <w:rPr>
          <w:lang w:bidi="he-IL"/>
        </w:rPr>
      </w:pPr>
      <w:r>
        <w:rPr>
          <w:rtl/>
          <w:lang w:bidi="he-IL"/>
        </w:rPr>
        <w:t xml:space="preserve">לשון הגמ’ (שאומר "הא לן והא להו," שבדרך כלל מחלק בין א"י לבבל) משמע שמקום שני יש לו דין של מקום ראשון. כן משמע מסתימות רוב הראשונים. אבל הבעה"מ פי’- וכן נראה מן הסברה- שמקום שני הוא כמקום שלישי. צריכים לבאר את שיטת החולקים. אולי הביאור הוא שיכול להיות אצלם בית דין. כיון שכן, מנהג שלהם עומד לשנות, ואז אינו מנהג. במילים אחרים, מנהג זה אין לו כוח המשכה גדולה, שאפשר בקל שיבוא בית דין, והציור ישנה עד שלא נמשיך את המנהג.  </w:t>
      </w:r>
    </w:p>
    <w:p w14:paraId="2D920FF3" w14:textId="77777777" w:rsidR="00FB7828" w:rsidRDefault="00000000">
      <w:pPr>
        <w:numPr>
          <w:ilvl w:val="0"/>
          <w:numId w:val="6"/>
        </w:numPr>
        <w:rPr>
          <w:lang w:bidi="he-IL"/>
        </w:rPr>
      </w:pPr>
      <w:r>
        <w:rPr>
          <w:rtl/>
          <w:lang w:bidi="he-IL"/>
        </w:rPr>
        <w:t>רב יוסף, רב אדא, רב שלמן, ורבא אומרים שבזמן שני, בכל מקום, שתי קדושות הם. נתנו שלש סברות:</w:t>
      </w:r>
    </w:p>
    <w:p w14:paraId="577AB4CB" w14:textId="4C30EFE1" w:rsidR="00FB7828" w:rsidRDefault="00000000">
      <w:pPr>
        <w:numPr>
          <w:ilvl w:val="1"/>
          <w:numId w:val="6"/>
        </w:numPr>
        <w:rPr>
          <w:lang w:bidi="he-IL"/>
        </w:rPr>
      </w:pPr>
      <w:r>
        <w:rPr>
          <w:rtl/>
          <w:lang w:bidi="he-IL"/>
        </w:rPr>
        <w:t>רב יוסף אומר שהוא מפני ש"דבר שבמנין צריך מנין להתירו.” יש לדון מה סובר רב יוסף. אפשר שסובר שמנין קבעו את תקנה השנית. גם אפשר שסבר שחכם אחד קבע את תקנה השנית, אבל היה מוכרח לתקן אותו אחרי שתקנו את התקנה הראשונה, ואז נחשב דבר שבמנין. גם אפשר שחכם אחד קבע את התקנה השנית, וצריך חכם להתיר אותו, כמו שדבר שבמנין צריך מנין להתיר אותו. (אולי הלשון לא כל כך משמע כן, אבל נקודה טובה היא, שכך נראה מן המקור של רב יוסף, שמה שאמר ה’ צריך היתר ה’, ומה שאמר מנין צריך היתר מנין. אם נחלוק על זה, נאמר או שזה רק נוהג כשמישהו חשוב אמר אוסר אותו.)</w:t>
      </w:r>
      <w:r>
        <w:rPr>
          <w:rStyle w:val="FootnoteReference"/>
          <w:rtl/>
          <w:lang w:bidi="he-IL"/>
        </w:rPr>
        <w:footnoteReference w:id="8"/>
      </w:r>
      <w:r w:rsidR="00796BE7">
        <w:rPr>
          <w:rStyle w:val="FootnoteReference"/>
          <w:rtl/>
          <w:lang w:bidi="he-IL"/>
        </w:rPr>
        <w:footnoteReference w:id="9"/>
      </w:r>
    </w:p>
    <w:p w14:paraId="1976AF95" w14:textId="77777777" w:rsidR="00FB7828" w:rsidRDefault="00000000">
      <w:pPr>
        <w:ind w:left="1080"/>
        <w:rPr>
          <w:lang w:bidi="he-IL"/>
        </w:rPr>
      </w:pPr>
      <w:r>
        <w:rPr>
          <w:rtl/>
          <w:lang w:bidi="he-IL"/>
        </w:rPr>
        <w:t>אביי דוחה את זה</w:t>
      </w:r>
      <w:r>
        <w:rPr>
          <w:rStyle w:val="FootnoteReference"/>
          <w:rtl/>
          <w:lang w:bidi="he-IL"/>
        </w:rPr>
        <w:footnoteReference w:id="10"/>
      </w:r>
      <w:r>
        <w:rPr>
          <w:rtl/>
          <w:lang w:bidi="he-IL"/>
        </w:rPr>
        <w:t xml:space="preserve">, ואומר שלא היה מנין לאסור, אלא האיסור היה תלוי במה שבאו עדים מן המנחה ולמעלה, זמן שלא מקבלים עדים. יש לדון מהו הדחייה של אביי. לצד ראשון שכתבנו ברב יוסף, דוחה שלא היה מנין על תקנה שנית. לצד שני </w:t>
      </w:r>
      <w:r>
        <w:rPr>
          <w:rtl/>
          <w:lang w:bidi="he-IL"/>
        </w:rPr>
        <w:lastRenderedPageBreak/>
        <w:t>שכתבנו ברב יוסף, אולי דוחה שאינו כל כך מוכרח, ולא נחשב שיש בו מנין, ואולי דוחה שכיון שאין מנין בפירוש, אף שזה מוכרח על פי מה שנעשה במנין, אין בו מנין. גם אפשר שסובר שכיון שאין מנין חוץ מן מנין של תקנה ראשונה, אחרי ביטול תקנה ראשונה, נחשב דבר שאין בו מנין, וכיון שאין לו סיבה, לא עומד. לצד שלישי, אומר שרק דבר שבמנין צריך כנגדו להתיר, אבל לא דבר שמותר על פי חכם. אולי זה מפני שאין כוח שלו חזק, ואולי זה רק כלל שנודע להם, שכשחכם פוסק, ולא כשמנין פוסק, תולה את הדין על הטעם.</w:t>
      </w:r>
    </w:p>
    <w:p w14:paraId="793AA6D1" w14:textId="77777777" w:rsidR="00FB7828" w:rsidRDefault="00000000">
      <w:pPr>
        <w:numPr>
          <w:ilvl w:val="1"/>
          <w:numId w:val="6"/>
        </w:numPr>
        <w:rPr>
          <w:lang w:bidi="he-IL"/>
        </w:rPr>
      </w:pPr>
      <w:r>
        <w:rPr>
          <w:rtl/>
          <w:lang w:bidi="he-IL"/>
        </w:rPr>
        <w:t>רב אדא ורב שלמן אומר שהוא גזירה מפני ביאת המשיח. כשיבוא משיח, יזכרו שלפני כן נהגו שתי קדושות, וימשיכו בזה, ולא יבינו שלפעמים קדושה אחת היא. מובן למה זה נוהג בכל מקום, שבכל מקום יהיה קדושה אחת בביאת המשיח. יש להעיר שזה גזירה לגזירה.</w:t>
      </w:r>
    </w:p>
    <w:p w14:paraId="5A1E88E6" w14:textId="77777777" w:rsidR="00FB7828" w:rsidRDefault="00000000">
      <w:pPr>
        <w:ind w:left="1080"/>
        <w:rPr>
          <w:lang w:bidi="he-IL"/>
        </w:rPr>
      </w:pPr>
      <w:r>
        <w:rPr>
          <w:rtl/>
          <w:lang w:bidi="he-IL"/>
        </w:rPr>
        <w:t>יש להעיר שנמצא שדינים דרבנן נוהגים אחרי ביאת המשיח, אף שגמ’ מדבר על שחיטת יצר הרע. אולי זה לא דבר שבא מן יצר הרע, אלא מחסרון ידיעה. ויש לדון מהו זילזול, אם הוא שלא נוהג קדושה ביום ראשון, שנראה מוכח לו שאינו יום טוב, או שיזלזל בדברי רבנן שאומרים שזה י"ט, והוא יודע שאינו כן. לשני, לא בא רק מחשבון דעת.</w:t>
      </w:r>
    </w:p>
    <w:p w14:paraId="6076CBD3" w14:textId="77777777" w:rsidR="00FB7828" w:rsidRDefault="00000000">
      <w:pPr>
        <w:numPr>
          <w:ilvl w:val="1"/>
          <w:numId w:val="6"/>
        </w:numPr>
        <w:rPr>
          <w:lang w:bidi="he-IL"/>
        </w:rPr>
      </w:pPr>
      <w:r>
        <w:rPr>
          <w:rtl/>
          <w:lang w:bidi="he-IL"/>
        </w:rPr>
        <w:t>יש שני גרסאות בראשונים מה אמר רבא:</w:t>
      </w:r>
    </w:p>
    <w:p w14:paraId="4876498D" w14:textId="77777777" w:rsidR="00FB7828" w:rsidRDefault="00000000">
      <w:pPr>
        <w:numPr>
          <w:ilvl w:val="2"/>
          <w:numId w:val="6"/>
        </w:numPr>
        <w:rPr>
          <w:lang w:bidi="he-IL"/>
        </w:rPr>
      </w:pPr>
      <w:r>
        <w:rPr>
          <w:rtl/>
          <w:lang w:bidi="he-IL"/>
        </w:rPr>
        <w:t>רש"י אומר שרבא אמר שאם באים עדים מן המנחה, עדיין יום שני קדוש. הביאור הוא שאף שבאו בזמן שיכולים להקדיש את היום הראשון, והקדישו אותו, עדיין יום השני קדוש. אותה קדושה אינה מתורת ספק, אלא וודאי היא, ואז נמצא ששני הימים יום אחד. צריך ביאור למה תבוא אותה קדושה. אפשר לומר שרבן יוחנן רצה לשנות את התקנה והמנהג בדרך הכי קטן, והוא שרק שינה את דין החשבון (שזה צורך), אבל לא מה נוהגים קודש. אבל, יש להעיר שלפני זמן, נהגו יום שני קדוש מחמת דין דאו’, וגם יום אחר היה (שהיה יום ראשון בחדש), אבל לאחר תקנת רבן יוחנן, נהגו אותו מדרבנן, והיה יום שני בחדש.</w:t>
      </w:r>
    </w:p>
    <w:p w14:paraId="7CF06F46" w14:textId="77777777" w:rsidR="00FB7828" w:rsidRDefault="00000000">
      <w:pPr>
        <w:numPr>
          <w:ilvl w:val="2"/>
          <w:numId w:val="6"/>
        </w:numPr>
        <w:rPr>
          <w:lang w:bidi="he-IL"/>
        </w:rPr>
      </w:pPr>
      <w:r>
        <w:rPr>
          <w:rtl/>
          <w:lang w:bidi="he-IL"/>
        </w:rPr>
        <w:t>ר"ח אומר שרבא אמר שאם לא באים עדים מן המנחה, עדיין יום הראשון קדוש. הביאור הוא שיש זמן בסוף היום שיודעים שלא יבואו עדים, שאין עוד זמן להם להגיע</w:t>
      </w:r>
      <w:r>
        <w:rPr>
          <w:rStyle w:val="FootnoteReference"/>
          <w:rtl/>
          <w:lang w:bidi="he-IL"/>
        </w:rPr>
        <w:footnoteReference w:id="11"/>
      </w:r>
      <w:r>
        <w:rPr>
          <w:rtl/>
          <w:lang w:bidi="he-IL"/>
        </w:rPr>
        <w:t xml:space="preserve"> ולהיבדק. באותו זמן, נוהג אותו קדושה אחת, כמו שנהג בזמן ראשון.</w:t>
      </w:r>
    </w:p>
    <w:p w14:paraId="2EE9D474" w14:textId="77777777" w:rsidR="00FB7828" w:rsidRDefault="00000000">
      <w:pPr>
        <w:ind w:left="1440"/>
        <w:rPr>
          <w:lang w:bidi="he-IL"/>
        </w:rPr>
      </w:pPr>
      <w:r>
        <w:rPr>
          <w:rtl/>
          <w:lang w:bidi="he-IL"/>
        </w:rPr>
        <w:t xml:space="preserve">צריכים לבאר איך יהיה מי שחולק על זה. אולי החולקים סוברים שמותר לעשות מלאכה אז, שלא יזלזלו מחמת אותו זמן מועט. (יש להוסיף שלא פשוט כמה בני אדם יודעים על זמן זה בכלל.) גם אפשר שכיון שרוב בני אדם לא יודעים בזמן זה, לא תקנו לכל בני ישראל מחמתו. אולי, אז, לאותם בני אדם, קדושה אחת היא. גם יש לומר שכיון שזה רק זמן מעט, לא ימשך את חלק ראשון. (עיין לעיל, שאין זה פשוט, שאולי אין הענין המשך, אלא שלא יכולים רבנן להוסיף קדושה על מקצת היום; אולי כיון שקטן הוא לא מוסיפים קדושה, אלא דין.) </w:t>
      </w:r>
    </w:p>
    <w:p w14:paraId="5B884214" w14:textId="77777777" w:rsidR="00FB7828" w:rsidRDefault="00000000">
      <w:pPr>
        <w:pStyle w:val="Heading1"/>
      </w:pPr>
      <w:r>
        <w:rPr>
          <w:rtl/>
        </w:rPr>
        <w:t>דין בזמן שלישי:</w:t>
      </w:r>
    </w:p>
    <w:p w14:paraId="155BCE3D" w14:textId="77777777" w:rsidR="00FB7828" w:rsidRDefault="00000000">
      <w:pPr>
        <w:rPr>
          <w:lang w:bidi="he-IL"/>
        </w:rPr>
      </w:pPr>
      <w:r>
        <w:rPr>
          <w:rtl/>
          <w:lang w:bidi="he-IL"/>
        </w:rPr>
        <w:t>צריכים לדון מה יקרה בזמן השלישי. לכאו’, בני מקום ראשון, ואולי אף מקום שני (עיין לעיל), ינהגו רק יום אחד, שרואים שאין מנהג שלהם נמשך. אפשר לומר שרק אין מנהג שלהם נמשך לענין מה שהוא קדושה אחת, ולא מה ששומרים שני ימים טובים. (עיין לעיל, שמה שכתבנו יבאר את זה.) אבל, יש להעיר שזה רק יעשה שישמרו שני ימים טובים אם היום טוב הוא יום שני, אבל אם יו"ט הוא יום ראשון, אין מנהג להמשיך (על כל פנים, לבני מקום ראשון. אולי אין בני מקום ראשון היום, שלא מספיק שהיה להם בית דין. יש לדון למה; צריך לומר שהיה להם מנהג לשמור שני ימים טובים בלי הבית דין, ואחר כך בא הבית דין, ובאותו הזמן לא נהג המנהג לשמור את שני הימים. אבל, בלי בית דין, חוזרים למנהג הראשון. אבל, זה קשה לרש”י, שלפי רשי, הקושיה תהיה על כל בני א”י, שכבר ראינו שהם לא ממשיכים מנהג של קיום שני הימים. אולי יותר קשה להמשיך דין קדושה אחת, כיון שהוא רק דין שבא ממקום אחר (שאין סברה שיתקיים שם)).</w:t>
      </w:r>
    </w:p>
    <w:sectPr w:rsidR="00FB7828">
      <w:headerReference w:type="default" r:id="rId7"/>
      <w:footerReference w:type="default" r:id="rId8"/>
      <w:pgSz w:w="12240" w:h="15840"/>
      <w:pgMar w:top="1738" w:right="1134" w:bottom="1738"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5F4D4" w14:textId="77777777" w:rsidR="005332DC" w:rsidRDefault="005332DC">
      <w:r>
        <w:separator/>
      </w:r>
    </w:p>
  </w:endnote>
  <w:endnote w:type="continuationSeparator" w:id="0">
    <w:p w14:paraId="26F0F98A" w14:textId="77777777" w:rsidR="005332DC" w:rsidRDefault="0053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Aptos">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uttman Rashi">
    <w:panose1 w:val="02010401010101010101"/>
    <w:charset w:val="B1"/>
    <w:family w:val="auto"/>
    <w:pitch w:val="variable"/>
    <w:sig w:usb0="00000801" w:usb1="40000000" w:usb2="00000000" w:usb3="00000000" w:csb0="00000020" w:csb1="00000000"/>
  </w:font>
  <w:font w:name="Mekorot-Rashi">
    <w:panose1 w:val="02000603000000000000"/>
    <w:charset w:val="B1"/>
    <w:family w:val="auto"/>
    <w:pitch w:val="variable"/>
    <w:sig w:usb0="00000821" w:usb1="40000002" w:usb2="00000000" w:usb3="00000000" w:csb0="0000002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6BA75" w14:textId="77777777" w:rsidR="00FB7828" w:rsidRDefault="00000000">
    <w:pPr>
      <w:pStyle w:val="Footer"/>
      <w:jc w:val="center"/>
      <w:rPr>
        <w:rFonts w:cs="Mekorot-Rashi"/>
        <w:lang w:bidi="he-IL"/>
      </w:rPr>
    </w:pPr>
    <w:r>
      <w:rPr>
        <w:rFonts w:cs="Mekorot-Rashi"/>
        <w:rtl/>
        <w:lang w:bidi="he-IL"/>
      </w:rPr>
      <w:t>שי"ח ש"י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A2C75" w14:textId="77777777" w:rsidR="005332DC" w:rsidRDefault="005332DC">
      <w:pPr>
        <w:rPr>
          <w:sz w:val="12"/>
        </w:rPr>
      </w:pPr>
      <w:r>
        <w:separator/>
      </w:r>
    </w:p>
  </w:footnote>
  <w:footnote w:type="continuationSeparator" w:id="0">
    <w:p w14:paraId="54C23C63" w14:textId="77777777" w:rsidR="005332DC" w:rsidRDefault="005332DC">
      <w:pPr>
        <w:rPr>
          <w:sz w:val="12"/>
        </w:rPr>
      </w:pPr>
      <w:r>
        <w:continuationSeparator/>
      </w:r>
    </w:p>
  </w:footnote>
  <w:footnote w:id="1">
    <w:p w14:paraId="3D9ED6F8" w14:textId="77777777" w:rsidR="00FB7828" w:rsidRDefault="00000000">
      <w:pPr>
        <w:pStyle w:val="FootnoteText"/>
        <w:rPr>
          <w:lang w:bidi="he-IL"/>
        </w:rPr>
      </w:pPr>
      <w:r>
        <w:rPr>
          <w:rStyle w:val="FootnoteCharacters"/>
        </w:rPr>
        <w:footnoteRef/>
      </w:r>
      <w:r>
        <w:rPr>
          <w:rtl/>
          <w:lang w:bidi="he-IL"/>
        </w:rPr>
        <w:tab/>
        <w:t>רש"י מסביר שלא חוששים לקלקול של שיר של שחרית, כיון שלא תקנו לו שיר של יום טוב. יש סיבה שיהיה בה שיר של יום טוב, אבל אי אפשר, שלא מצוי שעדים יבוא כבר מאז. (וא"ת, הרי התמיד הובא דבר ראשון בבוקר, ואין מקדשים את החדש בלילה, ואז בהכרח לא באו כבר עדים. ויש לומר שהשיר הוא בשעת ניסוך היין, וזה כבר זמן אחרי תחילת הבוקר.) היה אפשר לומר שיש חשש גם בשחרית, אלא שאין מה לעשות, שלא רוצים תמיד לעבר את החדש, ומוכרחים לדחות את שיר של שחרית. אבל, במנחה, יש מה לעשות. אבל, רשי לא מפרש ככה; כנראה, רשי סובר שאין בעיה במה שלא שוררים את השיר הראוי, אלא במה שלא שוררים את מה שתקנו החכמים.</w:t>
      </w:r>
    </w:p>
  </w:footnote>
  <w:footnote w:id="2">
    <w:p w14:paraId="11A9CE60" w14:textId="77777777" w:rsidR="00FB7828" w:rsidRDefault="00000000">
      <w:pPr>
        <w:pStyle w:val="FootnoteText"/>
        <w:rPr>
          <w:lang w:bidi="he-IL"/>
        </w:rPr>
      </w:pPr>
      <w:r>
        <w:rPr>
          <w:rStyle w:val="FootnoteCharacters"/>
        </w:rPr>
        <w:footnoteRef/>
      </w:r>
      <w:r>
        <w:rPr>
          <w:rtl/>
          <w:lang w:bidi="he-IL"/>
        </w:rPr>
        <w:tab/>
        <w:t>מן הסברה היה נראה לומר שהדין הוא כן בין אם באו עדים מן המחנה ולמעלה בין אם לא באו. אבל, לשון הראשונים לא משמע כן. אולי "מן המנחה" רצה לומר מן מנחה של ראשון, וכולל כל יום שני, ומניחים שעדים יבואו, או יום ראשון או ביום שני. אבל, נראה שיש לומר כאותם ראשונים באופן אחר. אפשר לומר שכל טעם הגזרה לא נוגע אם לא באו עדים, שכבר נראה לבני אדם שאין יום ראשון יום טוב, ולא ישמרו בו לשנה הבאה, ובין כך ובין כך, יזלזלו בה. גם יש לומר שגזרו רבנן רק במה שהיו עסוקים- מה קורה אם באו עדים מן המנחה ולמעלה. אולי זה עושה שהוא יותר קל לגזור בו, ואין סיבה מספיקה לגזור במק"א. גם אפשר שרק צריכים גזירה בציור אחד, שמחמת זה, ייאסר בכ"מ (שנחוש שיבואו עדים), ונקטו את זה (כיון שהיו דנים בו, והיה יותר קל, כמש"כ).</w:t>
      </w:r>
    </w:p>
    <w:p w14:paraId="3A5EEA07" w14:textId="77777777" w:rsidR="00FB7828" w:rsidRDefault="00000000">
      <w:pPr>
        <w:pStyle w:val="FootnoteText"/>
        <w:rPr>
          <w:lang w:bidi="he-IL"/>
        </w:rPr>
      </w:pPr>
      <w:r>
        <w:rPr>
          <w:rtl/>
          <w:lang w:bidi="he-IL"/>
        </w:rPr>
        <w:tab/>
        <w:t>יש להעיר שסברות אלו יהיו נוגעים למש"א רבא, לגי’ ר"ח.</w:t>
      </w:r>
    </w:p>
  </w:footnote>
  <w:footnote w:id="3">
    <w:p w14:paraId="6644EE60" w14:textId="77777777" w:rsidR="00FB7828" w:rsidRDefault="00000000">
      <w:pPr>
        <w:pStyle w:val="FootnoteText"/>
        <w:rPr>
          <w:lang w:bidi="he-IL"/>
        </w:rPr>
      </w:pPr>
      <w:r>
        <w:rPr>
          <w:rStyle w:val="FootnoteCharacters"/>
        </w:rPr>
        <w:footnoteRef/>
      </w:r>
      <w:r>
        <w:rPr>
          <w:rtl/>
          <w:lang w:bidi="he-IL"/>
        </w:rPr>
        <w:tab/>
        <w:t>לא פשוט מה קורה באמת. לא פשוט אם יש קדושה בכלל ביום שהוא מדברנן, ולא פשוט אם אותה הקדושה היא. מה שכתבנו יכול להיות סיבה שתהיה לו אותה קדושה, וגם סיבה שתקנו דינים כאילו היו לה אותה קדושה, כי כן מציירים בני אדם בדעתם.</w:t>
      </w:r>
    </w:p>
  </w:footnote>
  <w:footnote w:id="4">
    <w:p w14:paraId="7D79BEED" w14:textId="77777777" w:rsidR="00FB7828" w:rsidRDefault="00000000">
      <w:pPr>
        <w:pStyle w:val="FootnoteText"/>
        <w:rPr>
          <w:lang w:bidi="he-IL"/>
        </w:rPr>
      </w:pPr>
      <w:r>
        <w:rPr>
          <w:rStyle w:val="FootnoteCharacters"/>
        </w:rPr>
        <w:footnoteRef/>
      </w:r>
      <w:r>
        <w:rPr>
          <w:rtl/>
          <w:lang w:bidi="he-IL"/>
        </w:rPr>
        <w:tab/>
        <w:t>זה לא שווה לצד ראשון; צד ראשון אומר שרבנן גזרו את הקדושה על יום שלם, וזאת אומרת שגזרו את הדינים על יום שלם. היה קל לחלק לומר רק את זה או רק את זה.</w:t>
      </w:r>
    </w:p>
  </w:footnote>
  <w:footnote w:id="5">
    <w:p w14:paraId="429E7313" w14:textId="77777777" w:rsidR="00FB7828" w:rsidRDefault="00000000">
      <w:pPr>
        <w:pStyle w:val="FootnoteText"/>
        <w:rPr>
          <w:lang w:bidi="he-IL"/>
        </w:rPr>
      </w:pPr>
      <w:r>
        <w:rPr>
          <w:rStyle w:val="FootnoteCharacters"/>
        </w:rPr>
        <w:footnoteRef/>
      </w:r>
      <w:r>
        <w:rPr>
          <w:rtl/>
          <w:lang w:bidi="he-IL"/>
        </w:rPr>
        <w:tab/>
        <w:t>זה תלוי מהו כוונת רבה כשאמר, “אנא אמינא רבי יוחנן ואת אמרת לי רב ושמואל.” אולי כיוון לומר שחשב שהם סותרים זה את זה, וכיון שהוא אומר כרבי יוחנן, לא חושש לרב ושמואל, או אולי מכוון לומר שהם שונים לגמרי, וזה רבי יוחנן, וזה רב ושמואל. יש להעיר שלא נראה לומר כצד השני, שאף רב ושמואל מודים למה שאמר רבי יוחנן. מה שקיים רק בא"י, לפי רב ושמואל, הוא מה שזה משנה את הדין לעשות אותם לשני ימים טובים. זה לא מה שאמר רבי יוחנן. אז, לשון הגמ’ לא משמע כן. (יש להוסיף שאפשר לומר ש"הא רב ושמואל" נאמר בתמיה, שתמה אם אמרו כן. אז, אמר, “הרי, לפנינו היא שיטת רבי יוחנן, ואיך נאמר שאמר רב ושמואל את זה.”)</w:t>
      </w:r>
    </w:p>
  </w:footnote>
  <w:footnote w:id="6">
    <w:p w14:paraId="53B165CF" w14:textId="77777777" w:rsidR="00FB7828" w:rsidRDefault="00000000">
      <w:pPr>
        <w:pStyle w:val="FootnoteText"/>
        <w:rPr>
          <w:lang w:bidi="he-IL"/>
        </w:rPr>
      </w:pPr>
      <w:r>
        <w:rPr>
          <w:rStyle w:val="FootnoteCharacters"/>
        </w:rPr>
        <w:footnoteRef/>
      </w:r>
      <w:r>
        <w:rPr>
          <w:rtl/>
          <w:lang w:bidi="he-IL"/>
        </w:rPr>
        <w:tab/>
        <w:t>לכאו’, צריך לומר כצד שני או שלשי שכתבנו כאן, שבלי זה, קשה להבין מה שאמר גמ’ לעיל. אפשר לומר שאותו מנהג לא כל כך נחשב מנהג שרק מחמת ספק הוא. כמו כן, אפשר לומר שלא כל כך נמשך, שקרה שינוי גדול, שיודעים את החשבון של הקביעות. גם אפשר שגמ’ מזכיר שני טעמים, וכל אחד בפני עצמו עומד. אבל, הגמ’ לא משמע כן.</w:t>
      </w:r>
    </w:p>
  </w:footnote>
  <w:footnote w:id="7">
    <w:p w14:paraId="30AE7E41" w14:textId="648B1C83" w:rsidR="00AC3B6F" w:rsidRDefault="00AC3B6F">
      <w:pPr>
        <w:pStyle w:val="FootnoteText"/>
        <w:rPr>
          <w:rFonts w:hint="cs"/>
        </w:rPr>
      </w:pPr>
      <w:r>
        <w:rPr>
          <w:rStyle w:val="FootnoteReference"/>
        </w:rPr>
        <w:footnoteRef/>
      </w:r>
      <w:r>
        <w:rPr>
          <w:rtl/>
          <w:lang w:bidi="he-IL"/>
        </w:rPr>
        <w:t xml:space="preserve"> </w:t>
      </w:r>
      <w:r>
        <w:rPr>
          <w:rtl/>
          <w:lang w:bidi="he-IL"/>
        </w:rPr>
        <w:tab/>
      </w:r>
      <w:r>
        <w:rPr>
          <w:rFonts w:hint="cs"/>
          <w:rtl/>
          <w:lang w:bidi="he-IL"/>
        </w:rPr>
        <w:t>עיין במה שאומר תוס', שנראה שסובר שזה מה שרש"י אומר. קשה ליישב את זה. נראה שהביאור הוא, בעיקר, כמו שכתבנו ברש"י, שהוא שיש הפסק במנהג. אבל, יש קושיה פשוטה על זה, והוא שאין זה הפסק במנהג יותר מסוכות; זה רק מקום שאין המנהג נוגע. כדי שיהיה הפסק במנהג, צריך להיות שנה שאילו לא נשנה שום דבר, היה המנהג נוהג, ועכשיו לא נוהג. אז, מפרש תוס' שכאן יש שינוי, ואז נוכל לומר שיש הפסק במנהג. זה פשט יפה מאד, אבל מה שלפעמים (ע' בתוס' בעירובין) תוס' אומר פשט זה, ולא מזכיר בכלל מה שאומר רשי לא משמע כן, שלפי מה שכתבנו, מה שאומר רשי הוא נקודה חשובה בפשט זה. אבל, לכאו', בין כך ובין כך, זה יהיה קשה, שתוס' כאן מזכיר אותו, ודבריו משמע שהאו מן עיקר הפשט, ותוס' שם לא מזכיר אותו בכלל. ותחשב.</w:t>
      </w:r>
    </w:p>
  </w:footnote>
  <w:footnote w:id="8">
    <w:p w14:paraId="579BA218" w14:textId="77777777" w:rsidR="00FB7828" w:rsidRDefault="00000000">
      <w:pPr>
        <w:pStyle w:val="FootnoteText"/>
        <w:rPr>
          <w:lang w:bidi="he-IL"/>
        </w:rPr>
      </w:pPr>
      <w:r>
        <w:rPr>
          <w:rStyle w:val="FootnoteCharacters"/>
        </w:rPr>
        <w:footnoteRef/>
      </w:r>
      <w:r>
        <w:rPr>
          <w:rtl/>
          <w:lang w:bidi="he-IL"/>
        </w:rPr>
        <w:tab/>
        <w:t>יש לדון למה ביטול התקנה היתה רק על תקנה ראשונה ולא תקנה שנית. יש בזה שתי קושיות:</w:t>
      </w:r>
    </w:p>
    <w:p w14:paraId="08A66224" w14:textId="77777777" w:rsidR="00FB7828" w:rsidRDefault="00000000">
      <w:pPr>
        <w:pStyle w:val="FootnoteText"/>
        <w:numPr>
          <w:ilvl w:val="0"/>
          <w:numId w:val="10"/>
        </w:numPr>
        <w:rPr>
          <w:lang w:bidi="he-IL"/>
        </w:rPr>
      </w:pPr>
      <w:r>
        <w:rPr>
          <w:rtl/>
          <w:lang w:bidi="he-IL"/>
        </w:rPr>
        <w:t>יש לשאול למה בחרו רבנן לבטל תקנה ראשונה ולא שנית. נראה שיש שני תירוצים:</w:t>
      </w:r>
    </w:p>
    <w:p w14:paraId="720FB65F" w14:textId="77777777" w:rsidR="00FB7828" w:rsidRDefault="00000000">
      <w:pPr>
        <w:pStyle w:val="FootnoteText"/>
        <w:numPr>
          <w:ilvl w:val="1"/>
          <w:numId w:val="10"/>
        </w:numPr>
        <w:rPr>
          <w:lang w:bidi="he-IL"/>
        </w:rPr>
      </w:pPr>
      <w:r>
        <w:rPr>
          <w:rtl/>
          <w:lang w:bidi="he-IL"/>
        </w:rPr>
        <w:t>תירוץ ראשון הוא שלא שינו רבנן את הדין, ולא ביטלו תקנה, בלי צורך. אבל, זה עצמו יש לדון בו- למה לא שינו לי צורך. לא קשה למצוא טעם; אולי חשבו שיותר קל לבני אדם לעשות כרגילם או שיזלזלו ברבנן.</w:t>
      </w:r>
    </w:p>
    <w:p w14:paraId="5FD45CA9" w14:textId="77777777" w:rsidR="00FB7828" w:rsidRDefault="00000000">
      <w:pPr>
        <w:pStyle w:val="FootnoteText"/>
        <w:numPr>
          <w:ilvl w:val="1"/>
          <w:numId w:val="10"/>
        </w:numPr>
        <w:rPr>
          <w:lang w:bidi="he-IL"/>
        </w:rPr>
      </w:pPr>
      <w:r>
        <w:rPr>
          <w:rtl/>
          <w:lang w:bidi="he-IL"/>
        </w:rPr>
        <w:t>תירוץ שני הוא שנשאר עוד קצת טוב במה שנוהג תקנה שנית. אולי זה מפני מה שאומר רב אדא ורב שלמן (ונמצא שרק מרחיבים חלק אחד ממה שאומר רב יוסף).</w:t>
      </w:r>
    </w:p>
    <w:p w14:paraId="70F3ACDD" w14:textId="77777777" w:rsidR="00FB7828" w:rsidRDefault="00000000">
      <w:pPr>
        <w:pStyle w:val="FootnoteText"/>
        <w:numPr>
          <w:ilvl w:val="0"/>
          <w:numId w:val="10"/>
        </w:numPr>
        <w:rPr>
          <w:lang w:bidi="he-IL"/>
        </w:rPr>
      </w:pPr>
      <w:r>
        <w:rPr>
          <w:rtl/>
          <w:lang w:bidi="he-IL"/>
        </w:rPr>
        <w:t>יש לשאול למה התקנה צריכה היתר, שלא נוהג עוד, שאין אותה מציאות קורה. ויש לדון איך נגדיר מציאות של התקנה (זה קצת שייך למה שדנינו לעיל, אם זה נוהג אף אם לא באו עדים ביום ראשון). אפשר לומר שמספיק מה שמציאות של שני ימים קורה, כיון שיש,אז, נפקא מינא של קדושה אחת או שני קדושות. ותחשב.</w:t>
      </w:r>
    </w:p>
    <w:p w14:paraId="4F3B8296" w14:textId="77777777" w:rsidR="00FB7828" w:rsidRDefault="00000000">
      <w:pPr>
        <w:pStyle w:val="FootnoteText"/>
        <w:ind w:left="720"/>
        <w:rPr>
          <w:lang w:bidi="he-IL"/>
        </w:rPr>
      </w:pPr>
      <w:r>
        <w:rPr>
          <w:rtl/>
          <w:lang w:bidi="he-IL"/>
        </w:rPr>
        <w:t>יש להעיר שזה יכול להיות הסיבה שאביי דוחה את דברי רב יוסף.</w:t>
      </w:r>
    </w:p>
  </w:footnote>
  <w:footnote w:id="9">
    <w:p w14:paraId="0C6F7717" w14:textId="2D54D8D1" w:rsidR="00796BE7" w:rsidRDefault="00796BE7">
      <w:pPr>
        <w:pStyle w:val="FootnoteText"/>
        <w:rPr>
          <w:rFonts w:hint="cs"/>
        </w:rPr>
      </w:pPr>
      <w:r>
        <w:rPr>
          <w:rStyle w:val="FootnoteReference"/>
        </w:rPr>
        <w:footnoteRef/>
      </w:r>
      <w:r>
        <w:rPr>
          <w:rtl/>
          <w:lang w:bidi="he-IL"/>
        </w:rPr>
        <w:t xml:space="preserve"> </w:t>
      </w:r>
      <w:r>
        <w:rPr>
          <w:rtl/>
          <w:lang w:bidi="he-IL"/>
        </w:rPr>
        <w:tab/>
      </w:r>
      <w:r>
        <w:rPr>
          <w:rFonts w:hint="cs"/>
          <w:rtl/>
          <w:lang w:bidi="he-IL"/>
        </w:rPr>
        <w:t>יש להסתפק מתי שומרים שני ימים טובים, לפי רב יוסף, אם אומרים שיש מנין גם על מה שישמור יום שני אם באו מן המנחה ולמעלה, או לא (כיון שהוא יום שונה). אם לא, עדיין יש זמנים שישמור שני ימים, כמו אם לא באו עדים ביום ראשון בכלל.</w:t>
      </w:r>
    </w:p>
  </w:footnote>
  <w:footnote w:id="10">
    <w:p w14:paraId="390D8856" w14:textId="77777777" w:rsidR="00FB7828" w:rsidRDefault="00000000">
      <w:pPr>
        <w:pStyle w:val="FootnoteText"/>
        <w:rPr>
          <w:lang w:bidi="he-IL"/>
        </w:rPr>
      </w:pPr>
      <w:r>
        <w:rPr>
          <w:rStyle w:val="FootnoteCharacters"/>
        </w:rPr>
        <w:footnoteRef/>
      </w:r>
      <w:r>
        <w:rPr>
          <w:rtl/>
          <w:lang w:bidi="he-IL"/>
        </w:rPr>
        <w:tab/>
        <w:t>יש להעיר שהיה נראה שיש קצת סתירה בשיטת אביי. הרי, אביי הוא המקשה את דברי רב ושמואל על רבה. לכאו’, צריך לומר שאביי סובר כאותו תשובה (שלא רוצה שיהיה סתירה). אז, צריך לומר שאין גזירה בטלה מחמת ביטול הטעם. אבל, כאן מקשה שלא נאמר שדבר שבמנין צריך מנין אחר להתירו. נמצא שבביטול טעם, גזרה בטלה. יש לומר שמה שסובר אביי בקושייתו על רבה הוא שיש בעיה בביטול גזירה בלי ביטול מנהג, כמש"א תוס’. אבל, חוץ מזה, ביטול טעם מספיק. יש נפקא מינא אם יש ביטול טעם ואין ביטול מנהג. גם יש לומר שאביי סובר שצריך ביטול רב אחד, ולא מספיק ביטול טעם. אבל, סובר שיבטלו את דין ביצה, אם יש בו ביטול מנהג. (כתבנו את זה בתוס’, אבל נראה שיכול להיות נכתב גם בשאר הפשטים שלנו.)</w:t>
      </w:r>
    </w:p>
  </w:footnote>
  <w:footnote w:id="11">
    <w:p w14:paraId="57342EE5" w14:textId="77777777" w:rsidR="00FB7828" w:rsidRDefault="00000000">
      <w:pPr>
        <w:pStyle w:val="FootnoteText"/>
        <w:rPr>
          <w:lang w:bidi="he-IL"/>
        </w:rPr>
      </w:pPr>
      <w:r>
        <w:rPr>
          <w:rStyle w:val="FootnoteCharacters"/>
        </w:rPr>
        <w:footnoteRef/>
      </w:r>
      <w:r>
        <w:rPr>
          <w:rtl/>
          <w:lang w:bidi="he-IL"/>
        </w:rPr>
        <w:tab/>
        <w:t>יש לדון בזה. יש לדון אם יכולים להביט ולראות אם יבואו עדים. אם הם, למשל, באמצע ירושלים, אולי לא פשוט, שאולי יש הרבה דרכים שהולכים לבית דין. יש לדון, שאולי ישימו שומרים שיפקידו לשערי העיר כל היום.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28EB93" w14:textId="77777777" w:rsidR="00FB7828" w:rsidRDefault="00000000">
    <w:pPr>
      <w:pStyle w:val="Header"/>
      <w:jc w:val="center"/>
      <w:rPr>
        <w:rFonts w:cs="Mekorot-Rashi"/>
        <w:lang w:bidi="he-IL"/>
      </w:rPr>
    </w:pPr>
    <w:r>
      <w:rPr>
        <w:rFonts w:cs="Mekorot-Rashi"/>
        <w:rtl/>
        <w:lang w:bidi="he-IL"/>
      </w:rPr>
      <w:t>שני ימים טובים של ראש השנה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15D87"/>
    <w:multiLevelType w:val="multilevel"/>
    <w:tmpl w:val="7D3E1CC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153D0ABF"/>
    <w:multiLevelType w:val="multilevel"/>
    <w:tmpl w:val="F656069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2D1D7B30"/>
    <w:multiLevelType w:val="multilevel"/>
    <w:tmpl w:val="8C9A643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3A7B415D"/>
    <w:multiLevelType w:val="multilevel"/>
    <w:tmpl w:val="A4D02A3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 w15:restartNumberingAfterBreak="0">
    <w:nsid w:val="4F622D85"/>
    <w:multiLevelType w:val="multilevel"/>
    <w:tmpl w:val="0396FF6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50FA3CC9"/>
    <w:multiLevelType w:val="multilevel"/>
    <w:tmpl w:val="7A5C8D0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56E01F81"/>
    <w:multiLevelType w:val="multilevel"/>
    <w:tmpl w:val="AE9045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5BF50511"/>
    <w:multiLevelType w:val="multilevel"/>
    <w:tmpl w:val="0D26DB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FAD3643"/>
    <w:multiLevelType w:val="multilevel"/>
    <w:tmpl w:val="D6F2ADC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9" w15:restartNumberingAfterBreak="0">
    <w:nsid w:val="761E1D9D"/>
    <w:multiLevelType w:val="multilevel"/>
    <w:tmpl w:val="71AE824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1191453168">
    <w:abstractNumId w:val="7"/>
  </w:num>
  <w:num w:numId="2" w16cid:durableId="992945979">
    <w:abstractNumId w:val="5"/>
  </w:num>
  <w:num w:numId="3" w16cid:durableId="264701074">
    <w:abstractNumId w:val="1"/>
  </w:num>
  <w:num w:numId="4" w16cid:durableId="1461223097">
    <w:abstractNumId w:val="2"/>
  </w:num>
  <w:num w:numId="5" w16cid:durableId="76248332">
    <w:abstractNumId w:val="6"/>
  </w:num>
  <w:num w:numId="6" w16cid:durableId="750850212">
    <w:abstractNumId w:val="8"/>
  </w:num>
  <w:num w:numId="7" w16cid:durableId="386228089">
    <w:abstractNumId w:val="9"/>
  </w:num>
  <w:num w:numId="8" w16cid:durableId="1713534977">
    <w:abstractNumId w:val="0"/>
  </w:num>
  <w:num w:numId="9" w16cid:durableId="347372608">
    <w:abstractNumId w:val="4"/>
  </w:num>
  <w:num w:numId="10" w16cid:durableId="542210816">
    <w:abstractNumId w:val="3"/>
  </w:num>
  <w:num w:numId="11" w16cid:durableId="2010592149">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828"/>
    <w:rsid w:val="005332DC"/>
    <w:rsid w:val="00796BE7"/>
    <w:rsid w:val="00AC3B6F"/>
    <w:rsid w:val="00D61152"/>
    <w:rsid w:val="00FB782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3866794"/>
  <w15:docId w15:val="{F4BD2279-9082-4A9B-A3B3-61D38E8D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NSimSun" w:hAnsi="Aptos"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Times New Roman"/>
      <w:szCs w:val="22"/>
    </w:rPr>
  </w:style>
  <w:style w:type="paragraph" w:styleId="Heading1">
    <w:name w:val="heading 1"/>
    <w:basedOn w:val="Heading"/>
    <w:next w:val="Normal"/>
    <w:uiPriority w:val="9"/>
    <w:qFormat/>
    <w:pPr>
      <w:numPr>
        <w:numId w:val="2"/>
      </w:numPr>
      <w:spacing w:before="0" w:after="0"/>
      <w:ind w:left="29"/>
      <w:outlineLvl w:val="0"/>
    </w:pPr>
    <w:rPr>
      <w:rFonts w:cs="Times New Roman"/>
      <w:b/>
      <w:bCs/>
      <w:sz w:val="36"/>
      <w:szCs w:val="22"/>
    </w:rPr>
  </w:style>
  <w:style w:type="paragraph" w:styleId="Heading2">
    <w:name w:val="heading 2"/>
    <w:basedOn w:val="Heading"/>
    <w:next w:val="BodyText"/>
    <w:uiPriority w:val="9"/>
    <w:semiHidden/>
    <w:unhideWhenUsed/>
    <w:qFormat/>
    <w:pPr>
      <w:numPr>
        <w:ilvl w:val="1"/>
        <w:numId w:val="2"/>
      </w:numPr>
      <w:spacing w:before="0" w:after="0"/>
      <w:ind w:left="58"/>
      <w:outlineLvl w:val="1"/>
    </w:pPr>
    <w:rPr>
      <w:rFonts w:cs="Times New Roman"/>
      <w:b/>
      <w:bCs/>
      <w:sz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FootnoteText">
    <w:name w:val="footnote text"/>
    <w:basedOn w:val="Normal"/>
    <w:pPr>
      <w:suppressLineNumbers/>
      <w:ind w:left="340" w:hanging="340"/>
    </w:pPr>
    <w:rPr>
      <w:rFonts w:cs="Guttman Rashi"/>
      <w:sz w:val="20"/>
      <w:szCs w:val="20"/>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Shaul Y Khayyat</cp:lastModifiedBy>
  <cp:revision>3</cp:revision>
  <dcterms:created xsi:type="dcterms:W3CDTF">2024-12-03T02:04:00Z</dcterms:created>
  <dcterms:modified xsi:type="dcterms:W3CDTF">2024-12-03T02:08:00Z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2024-11-27T10:09:35Z</dcterms:created>
  <dc:creator/>
  <dc:description/>
  <dc:language>en-US</dc:language>
  <cp:lastModifiedBy/>
  <dcterms:modified xsi:type="dcterms:W3CDTF">2024-12-02T11:21:53Z</dcterms:modified>
  <cp:revision>82</cp:revision>
  <dc:subject/>
  <dc:title/>
</cp:coreProperties>
</file>