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83BD1" w14:textId="0D2D956A" w:rsidR="003A03E3" w:rsidRPr="003A03E3" w:rsidRDefault="003A03E3" w:rsidP="003A03E3">
      <w:pPr>
        <w:pStyle w:val="Heading1"/>
        <w:bidi/>
        <w:rPr>
          <w:rtl/>
          <w:lang w:bidi="he-IL"/>
        </w:rPr>
      </w:pPr>
      <w:r>
        <w:rPr>
          <w:rFonts w:hint="cs"/>
          <w:rtl/>
          <w:lang w:bidi="he-IL"/>
        </w:rPr>
        <w:t>פרטים:</w:t>
      </w:r>
    </w:p>
    <w:p w14:paraId="3E925A7C" w14:textId="13A8CB18" w:rsidR="003A03E3" w:rsidRDefault="003A03E3" w:rsidP="003A03E3">
      <w:pPr>
        <w:pStyle w:val="ListParagraph"/>
        <w:numPr>
          <w:ilvl w:val="0"/>
          <w:numId w:val="3"/>
        </w:numPr>
        <w:bidi/>
        <w:rPr>
          <w:lang w:bidi="he-IL"/>
        </w:rPr>
      </w:pPr>
      <w:r>
        <w:rPr>
          <w:rFonts w:hint="cs"/>
          <w:rtl/>
          <w:lang w:bidi="he-IL"/>
        </w:rPr>
        <w:t>איזה מין- יש שני מיני סולמות, סולמות של עלייה וסולמות של שובך.</w:t>
      </w:r>
      <w:r w:rsidR="00793EF9">
        <w:rPr>
          <w:rStyle w:val="FootnoteReference"/>
          <w:rtl/>
          <w:lang w:bidi="he-IL"/>
        </w:rPr>
        <w:footnoteReference w:id="1"/>
      </w:r>
      <w:r>
        <w:rPr>
          <w:rFonts w:hint="cs"/>
          <w:rtl/>
          <w:lang w:bidi="he-IL"/>
        </w:rPr>
        <w:t xml:space="preserve"> </w:t>
      </w:r>
    </w:p>
    <w:p w14:paraId="2123FD1D" w14:textId="23C62048" w:rsidR="003A03E3" w:rsidRDefault="003A03E3" w:rsidP="003A03E3">
      <w:pPr>
        <w:pStyle w:val="ListParagraph"/>
        <w:numPr>
          <w:ilvl w:val="0"/>
          <w:numId w:val="3"/>
        </w:numPr>
        <w:bidi/>
        <w:rPr>
          <w:lang w:bidi="he-IL"/>
        </w:rPr>
      </w:pPr>
      <w:r>
        <w:rPr>
          <w:rFonts w:hint="cs"/>
          <w:rtl/>
          <w:lang w:bidi="he-IL"/>
        </w:rPr>
        <w:t xml:space="preserve">איזה גודל- יש שני </w:t>
      </w:r>
      <w:r w:rsidR="000A385E">
        <w:rPr>
          <w:rFonts w:hint="cs"/>
          <w:rtl/>
          <w:lang w:bidi="he-IL"/>
        </w:rPr>
        <w:t>גודלים של</w:t>
      </w:r>
      <w:r>
        <w:rPr>
          <w:rFonts w:hint="cs"/>
          <w:rtl/>
          <w:lang w:bidi="he-IL"/>
        </w:rPr>
        <w:t xml:space="preserve"> סולמות, סולם גדול וסולם קטן.</w:t>
      </w:r>
      <w:r w:rsidR="00942EAB">
        <w:rPr>
          <w:rStyle w:val="FootnoteReference"/>
          <w:rtl/>
          <w:lang w:bidi="he-IL"/>
        </w:rPr>
        <w:footnoteReference w:id="2"/>
      </w:r>
    </w:p>
    <w:p w14:paraId="1B8A0F8B" w14:textId="413C45F5" w:rsidR="003A03E3" w:rsidRDefault="003A03E3" w:rsidP="003A03E3">
      <w:pPr>
        <w:pStyle w:val="ListParagraph"/>
        <w:numPr>
          <w:ilvl w:val="0"/>
          <w:numId w:val="3"/>
        </w:numPr>
        <w:bidi/>
        <w:rPr>
          <w:lang w:bidi="he-IL"/>
        </w:rPr>
      </w:pPr>
      <w:r>
        <w:rPr>
          <w:rFonts w:hint="cs"/>
          <w:rtl/>
          <w:lang w:bidi="he-IL"/>
        </w:rPr>
        <w:t>איך- יש שלשה דרכים לטלטל סולם, הליכה המדדה והטיה.</w:t>
      </w:r>
      <w:r w:rsidR="00553ECB">
        <w:rPr>
          <w:rStyle w:val="FootnoteReference"/>
          <w:rtl/>
          <w:lang w:bidi="he-IL"/>
        </w:rPr>
        <w:footnoteReference w:id="3"/>
      </w:r>
    </w:p>
    <w:p w14:paraId="1D5014FB" w14:textId="068832F0" w:rsidR="003A03E3" w:rsidRDefault="003A03E3" w:rsidP="003A03E3">
      <w:pPr>
        <w:pStyle w:val="ListParagraph"/>
        <w:numPr>
          <w:ilvl w:val="0"/>
          <w:numId w:val="3"/>
        </w:numPr>
        <w:bidi/>
        <w:rPr>
          <w:lang w:bidi="he-IL"/>
        </w:rPr>
      </w:pPr>
      <w:r>
        <w:rPr>
          <w:rFonts w:hint="cs"/>
          <w:rtl/>
          <w:lang w:bidi="he-IL"/>
        </w:rPr>
        <w:t>הליכה חזרה- יש שני צורכים שיגרום לאדם לטלטל סולם, הליכה למקום שרוצה וחזרה ממנו.</w:t>
      </w:r>
      <w:r w:rsidR="00671A71">
        <w:rPr>
          <w:rStyle w:val="FootnoteReference"/>
          <w:rtl/>
          <w:lang w:bidi="he-IL"/>
        </w:rPr>
        <w:footnoteReference w:id="4"/>
      </w:r>
    </w:p>
    <w:p w14:paraId="4BCFD7CD" w14:textId="522D387F" w:rsidR="003A03E3" w:rsidRDefault="003A03E3" w:rsidP="003A03E3">
      <w:pPr>
        <w:pStyle w:val="ListParagraph"/>
        <w:numPr>
          <w:ilvl w:val="0"/>
          <w:numId w:val="3"/>
        </w:numPr>
        <w:bidi/>
        <w:rPr>
          <w:lang w:bidi="he-IL"/>
        </w:rPr>
      </w:pPr>
      <w:r>
        <w:rPr>
          <w:rFonts w:hint="cs"/>
          <w:rtl/>
          <w:lang w:bidi="he-IL"/>
        </w:rPr>
        <w:t>צורך- יש שני צורכים, לשובך (כדי לאכול עוף) או להטיח גג.</w:t>
      </w:r>
      <w:r w:rsidR="001A7F10">
        <w:rPr>
          <w:rStyle w:val="FootnoteReference"/>
          <w:rtl/>
          <w:lang w:bidi="he-IL"/>
        </w:rPr>
        <w:footnoteReference w:id="5"/>
      </w:r>
    </w:p>
    <w:p w14:paraId="64F4A043" w14:textId="2BEFB075" w:rsidR="003A03E3" w:rsidRDefault="003A03E3" w:rsidP="003A03E3">
      <w:pPr>
        <w:pStyle w:val="ListParagraph"/>
        <w:numPr>
          <w:ilvl w:val="0"/>
          <w:numId w:val="3"/>
        </w:numPr>
        <w:bidi/>
        <w:rPr>
          <w:lang w:bidi="he-IL"/>
        </w:rPr>
      </w:pPr>
      <w:r>
        <w:rPr>
          <w:rFonts w:hint="cs"/>
          <w:rtl/>
          <w:lang w:bidi="he-IL"/>
        </w:rPr>
        <w:t>איפה- יש שני מקומות, ברשות הרבים (שנראה לבני אדם) וברשות היחיד (שלא נראה לבני אדם).</w:t>
      </w:r>
      <w:r w:rsidR="001A7F10">
        <w:rPr>
          <w:rStyle w:val="FootnoteReference"/>
          <w:rtl/>
          <w:lang w:bidi="he-IL"/>
        </w:rPr>
        <w:footnoteReference w:id="6"/>
      </w:r>
    </w:p>
    <w:p w14:paraId="622AB0B2" w14:textId="1E8F7E3F" w:rsidR="003A03E3" w:rsidRDefault="003A03E3" w:rsidP="003A03E3">
      <w:pPr>
        <w:pStyle w:val="ListParagraph"/>
        <w:numPr>
          <w:ilvl w:val="0"/>
          <w:numId w:val="3"/>
        </w:numPr>
        <w:bidi/>
        <w:rPr>
          <w:lang w:bidi="he-IL"/>
        </w:rPr>
      </w:pPr>
      <w:r>
        <w:rPr>
          <w:rFonts w:hint="cs"/>
          <w:rtl/>
          <w:lang w:bidi="he-IL"/>
        </w:rPr>
        <w:t>מאיפה- יש שני מקומות שיכול להוציא ממנו, משובך או מעלייה.</w:t>
      </w:r>
      <w:r w:rsidR="00D872A0">
        <w:rPr>
          <w:rStyle w:val="FootnoteReference"/>
          <w:rtl/>
          <w:lang w:bidi="he-IL"/>
        </w:rPr>
        <w:footnoteReference w:id="7"/>
      </w:r>
    </w:p>
    <w:p w14:paraId="32E49719" w14:textId="3001210E" w:rsidR="001E3984" w:rsidRDefault="001E3984" w:rsidP="001E3984">
      <w:pPr>
        <w:pStyle w:val="ListParagraph"/>
        <w:numPr>
          <w:ilvl w:val="0"/>
          <w:numId w:val="3"/>
        </w:numPr>
        <w:bidi/>
        <w:rPr>
          <w:lang w:bidi="he-IL"/>
        </w:rPr>
      </w:pPr>
      <w:r>
        <w:rPr>
          <w:rFonts w:hint="cs"/>
          <w:rtl/>
          <w:lang w:bidi="he-IL"/>
        </w:rPr>
        <w:t>כמה- לכמה שובכים כבר הלך היום, למצוא עופות. (מרש"י יוצא שיש סברה שרק בשובך ראשון שלו יהיה מותר.)</w:t>
      </w:r>
      <w:r w:rsidR="00A81952">
        <w:rPr>
          <w:rStyle w:val="FootnoteReference"/>
          <w:rtl/>
          <w:lang w:bidi="he-IL"/>
        </w:rPr>
        <w:footnoteReference w:id="8"/>
      </w:r>
      <w:r w:rsidR="00A81952" w:rsidRPr="00A81952">
        <w:rPr>
          <w:rStyle w:val="FootnoteReference"/>
          <w:rtl/>
          <w:lang w:bidi="he-IL"/>
        </w:rPr>
        <w:t xml:space="preserve"> </w:t>
      </w:r>
      <w:r w:rsidR="00A81952">
        <w:rPr>
          <w:rStyle w:val="FootnoteReference"/>
          <w:rtl/>
          <w:lang w:bidi="he-IL"/>
        </w:rPr>
        <w:footnoteReference w:id="9"/>
      </w:r>
    </w:p>
    <w:p w14:paraId="49C88353" w14:textId="77777777" w:rsidR="003A03E3" w:rsidRDefault="003A03E3" w:rsidP="003A03E3">
      <w:pPr>
        <w:pStyle w:val="Heading1"/>
        <w:bidi/>
        <w:rPr>
          <w:rtl/>
          <w:lang w:bidi="he-IL"/>
        </w:rPr>
      </w:pPr>
      <w:r>
        <w:rPr>
          <w:rFonts w:hint="cs"/>
          <w:rtl/>
          <w:lang w:bidi="he-IL"/>
        </w:rPr>
        <w:t>מחלוקתים:</w:t>
      </w:r>
    </w:p>
    <w:p w14:paraId="2C62D228" w14:textId="0D83EEBD" w:rsidR="003A03E3" w:rsidRDefault="003A03E3" w:rsidP="00501767">
      <w:pPr>
        <w:pStyle w:val="ListParagraph"/>
        <w:numPr>
          <w:ilvl w:val="0"/>
          <w:numId w:val="4"/>
        </w:numPr>
        <w:bidi/>
        <w:rPr>
          <w:lang w:bidi="he-IL"/>
        </w:rPr>
      </w:pPr>
      <w:r>
        <w:rPr>
          <w:rFonts w:hint="cs"/>
          <w:rtl/>
          <w:lang w:bidi="he-IL"/>
        </w:rPr>
        <w:t xml:space="preserve">חולקים בית </w:t>
      </w:r>
      <w:r>
        <w:rPr>
          <w:rFonts w:hint="cs"/>
          <w:rtl/>
          <w:lang w:bidi="he-IL"/>
        </w:rPr>
        <w:t>הלל</w:t>
      </w:r>
      <w:r>
        <w:rPr>
          <w:rFonts w:hint="cs"/>
          <w:rtl/>
          <w:lang w:bidi="he-IL"/>
        </w:rPr>
        <w:t xml:space="preserve"> ובית </w:t>
      </w:r>
      <w:r>
        <w:rPr>
          <w:rFonts w:hint="cs"/>
          <w:rtl/>
          <w:lang w:bidi="he-IL"/>
        </w:rPr>
        <w:t>שמאי</w:t>
      </w:r>
      <w:r>
        <w:rPr>
          <w:rFonts w:hint="cs"/>
          <w:rtl/>
          <w:lang w:bidi="he-IL"/>
        </w:rPr>
        <w:t xml:space="preserve"> </w:t>
      </w:r>
      <w:r>
        <w:rPr>
          <w:rFonts w:hint="cs"/>
          <w:rtl/>
          <w:lang w:bidi="he-IL"/>
        </w:rPr>
        <w:t>איך יטלטל אותו (3), שבית הלל אומרים שמותר אף להוליך אותו ובית שמאי אומרים שרק מותר להטות אותו.</w:t>
      </w:r>
      <w:r>
        <w:rPr>
          <w:rFonts w:hint="cs"/>
          <w:rtl/>
          <w:lang w:bidi="he-IL"/>
        </w:rPr>
        <w:t xml:space="preserve"> </w:t>
      </w:r>
    </w:p>
    <w:p w14:paraId="07D6EDA5" w14:textId="6B7EB032" w:rsidR="003A03E3" w:rsidRDefault="003A03E3" w:rsidP="00501767">
      <w:pPr>
        <w:pStyle w:val="ListParagraph"/>
        <w:numPr>
          <w:ilvl w:val="0"/>
          <w:numId w:val="4"/>
        </w:numPr>
        <w:bidi/>
        <w:rPr>
          <w:lang w:bidi="he-IL"/>
        </w:rPr>
      </w:pPr>
      <w:r>
        <w:rPr>
          <w:rFonts w:hint="cs"/>
          <w:rtl/>
          <w:lang w:bidi="he-IL"/>
        </w:rPr>
        <w:t>חולקים באיזה מקום (6) בית שמאי ובית הלל חולקים. יש שלש שיטות:</w:t>
      </w:r>
    </w:p>
    <w:p w14:paraId="370B478A" w14:textId="322DC0FE" w:rsidR="003A03E3" w:rsidRDefault="003A03E3" w:rsidP="00501767">
      <w:pPr>
        <w:pStyle w:val="ListParagraph"/>
        <w:numPr>
          <w:ilvl w:val="1"/>
          <w:numId w:val="4"/>
        </w:numPr>
        <w:bidi/>
        <w:rPr>
          <w:lang w:bidi="he-IL"/>
        </w:rPr>
      </w:pPr>
      <w:r>
        <w:rPr>
          <w:rFonts w:hint="cs"/>
          <w:rtl/>
          <w:lang w:bidi="he-IL"/>
        </w:rPr>
        <w:t>רב חנן בלשון ראשון אומר שחולקים רק ברשות הרבים. אבל, ברה"י מותר.</w:t>
      </w:r>
    </w:p>
    <w:p w14:paraId="7562C9F3" w14:textId="0C8B7865" w:rsidR="003A03E3" w:rsidRDefault="003A03E3" w:rsidP="00501767">
      <w:pPr>
        <w:pStyle w:val="ListParagraph"/>
        <w:numPr>
          <w:ilvl w:val="1"/>
          <w:numId w:val="4"/>
        </w:numPr>
        <w:bidi/>
        <w:rPr>
          <w:lang w:bidi="he-IL"/>
        </w:rPr>
      </w:pPr>
      <w:r>
        <w:rPr>
          <w:rFonts w:hint="cs"/>
          <w:rtl/>
          <w:lang w:bidi="he-IL"/>
        </w:rPr>
        <w:t>רב חנן בלשון שני (ואולי רב) אומר שחולקים רק ברשות היחיד. אבל, ברה"ר, מותר.</w:t>
      </w:r>
    </w:p>
    <w:p w14:paraId="708E67F6" w14:textId="2ADCF996" w:rsidR="003A03E3" w:rsidRDefault="003A03E3" w:rsidP="00501767">
      <w:pPr>
        <w:pStyle w:val="ListParagraph"/>
        <w:numPr>
          <w:ilvl w:val="1"/>
          <w:numId w:val="4"/>
        </w:numPr>
        <w:bidi/>
        <w:rPr>
          <w:lang w:bidi="he-IL"/>
        </w:rPr>
      </w:pPr>
      <w:r>
        <w:rPr>
          <w:rFonts w:hint="cs"/>
          <w:rtl/>
          <w:lang w:bidi="he-IL"/>
        </w:rPr>
        <w:t>רב (לשיטת רש"י ותוס') אומר שחולקים ברשות היחיד וברשות הרבים.</w:t>
      </w:r>
    </w:p>
    <w:p w14:paraId="0499F568" w14:textId="217DBE4B" w:rsidR="003A03E3" w:rsidRDefault="003A03E3" w:rsidP="00501767">
      <w:pPr>
        <w:pStyle w:val="ListParagraph"/>
        <w:numPr>
          <w:ilvl w:val="0"/>
          <w:numId w:val="4"/>
        </w:numPr>
        <w:bidi/>
        <w:rPr>
          <w:lang w:bidi="he-IL"/>
        </w:rPr>
      </w:pPr>
      <w:r>
        <w:rPr>
          <w:rFonts w:hint="cs"/>
          <w:rtl/>
          <w:lang w:bidi="he-IL"/>
        </w:rPr>
        <w:t>חולקים אם בית שמאי ובית הלל חולקים בהליכה (כן סובר הת"ק) או רק בחזרה (כן סובר רבי שמעון בן אלעזר). זה פרט 4.</w:t>
      </w:r>
    </w:p>
    <w:p w14:paraId="01131B85" w14:textId="1318B3F7" w:rsidR="003A03E3" w:rsidRDefault="003A03E3" w:rsidP="00501767">
      <w:pPr>
        <w:pStyle w:val="ListParagraph"/>
        <w:numPr>
          <w:ilvl w:val="0"/>
          <w:numId w:val="4"/>
        </w:numPr>
        <w:bidi/>
        <w:rPr>
          <w:lang w:bidi="he-IL"/>
        </w:rPr>
      </w:pPr>
      <w:r>
        <w:rPr>
          <w:rFonts w:hint="cs"/>
          <w:rtl/>
          <w:lang w:bidi="he-IL"/>
        </w:rPr>
        <w:t>רבי יהודה אומר שצריך להיות סולם של עלייה (1). חולקים בגמ' אם ת"ק חולק עליו או לא חולק.</w:t>
      </w:r>
    </w:p>
    <w:p w14:paraId="2580816D" w14:textId="2718C74B" w:rsidR="003A03E3" w:rsidRDefault="003A03E3" w:rsidP="00501767">
      <w:pPr>
        <w:pStyle w:val="ListParagraph"/>
        <w:numPr>
          <w:ilvl w:val="0"/>
          <w:numId w:val="4"/>
        </w:numPr>
        <w:bidi/>
        <w:rPr>
          <w:lang w:bidi="he-IL"/>
        </w:rPr>
      </w:pPr>
      <w:r>
        <w:rPr>
          <w:rFonts w:hint="cs"/>
          <w:rtl/>
          <w:lang w:bidi="he-IL"/>
        </w:rPr>
        <w:t>חולקים איך מותר לטלטל אותו, שרבי דוסא אומר שרק מותר להטות אותו, ואחרים בשם רבי דוסא אומרים שמותר אף למדוד אותו. אולי תנא קמא אומר שמותר גם להוליך אותו.</w:t>
      </w:r>
    </w:p>
    <w:p w14:paraId="20F65CFA" w14:textId="0673189D" w:rsidR="00501767" w:rsidRDefault="00501767" w:rsidP="00501767">
      <w:pPr>
        <w:pStyle w:val="Heading1"/>
        <w:bidi/>
        <w:rPr>
          <w:rtl/>
          <w:lang w:bidi="he-IL"/>
        </w:rPr>
      </w:pPr>
      <w:r>
        <w:rPr>
          <w:rFonts w:hint="cs"/>
          <w:rtl/>
          <w:lang w:bidi="he-IL"/>
        </w:rPr>
        <w:t>דיונים:</w:t>
      </w:r>
    </w:p>
    <w:p w14:paraId="3E0B4603" w14:textId="29F333CD" w:rsidR="00501767" w:rsidRDefault="00501767" w:rsidP="00501767">
      <w:pPr>
        <w:pStyle w:val="ListParagraph"/>
        <w:numPr>
          <w:ilvl w:val="0"/>
          <w:numId w:val="5"/>
        </w:numPr>
        <w:bidi/>
        <w:rPr>
          <w:lang w:bidi="he-IL"/>
        </w:rPr>
      </w:pPr>
      <w:r>
        <w:rPr>
          <w:rFonts w:hint="cs"/>
          <w:rtl/>
          <w:lang w:bidi="he-IL"/>
        </w:rPr>
        <w:t>תנא קמא סובר (</w:t>
      </w:r>
      <w:r>
        <w:rPr>
          <w:lang w:bidi="he-IL"/>
        </w:rPr>
        <w:t>C</w:t>
      </w:r>
      <w:r>
        <w:rPr>
          <w:rFonts w:hint="cs"/>
          <w:rtl/>
          <w:lang w:bidi="he-IL"/>
        </w:rPr>
        <w:t>) שבית הלל מתירים בהליכה. יש לדון אם גם מתירים בחזרה או אוסרים. אם אוסר, יש לדון מה אוסר (ע' לקמן).</w:t>
      </w:r>
      <w:r w:rsidR="001E3984">
        <w:rPr>
          <w:rFonts w:hint="cs"/>
          <w:rtl/>
          <w:lang w:bidi="he-IL"/>
        </w:rPr>
        <w:t xml:space="preserve"> יכול להיות שזה תלוי בפרטים אחרים.</w:t>
      </w:r>
    </w:p>
    <w:p w14:paraId="39897593" w14:textId="27ABB763" w:rsidR="00501767" w:rsidRDefault="00501767" w:rsidP="00501767">
      <w:pPr>
        <w:pStyle w:val="ListParagraph"/>
        <w:numPr>
          <w:ilvl w:val="0"/>
          <w:numId w:val="5"/>
        </w:numPr>
        <w:bidi/>
        <w:rPr>
          <w:lang w:bidi="he-IL"/>
        </w:rPr>
      </w:pPr>
      <w:r>
        <w:rPr>
          <w:rFonts w:hint="cs"/>
          <w:rtl/>
          <w:lang w:bidi="he-IL"/>
        </w:rPr>
        <w:lastRenderedPageBreak/>
        <w:t>תנא קמא סובר (</w:t>
      </w:r>
      <w:r>
        <w:rPr>
          <w:lang w:bidi="he-IL"/>
        </w:rPr>
        <w:t>C</w:t>
      </w:r>
      <w:r>
        <w:rPr>
          <w:rFonts w:hint="cs"/>
          <w:rtl/>
          <w:lang w:bidi="he-IL"/>
        </w:rPr>
        <w:t>) שבית הלל מתירים בהליכה ובית שמאי רק מתירים להטות. יש לדון אם בית שמאי (ואולי זה גם נוגע לבית הלל) אוסרים הטיה בחזרה או מתירים.</w:t>
      </w:r>
      <w:r w:rsidR="001E3984">
        <w:rPr>
          <w:rFonts w:hint="cs"/>
          <w:rtl/>
          <w:lang w:bidi="he-IL"/>
        </w:rPr>
        <w:t xml:space="preserve"> יכול להיות שזה תלוי בפרטים אחרים.</w:t>
      </w:r>
    </w:p>
    <w:p w14:paraId="0489995E" w14:textId="6004B74C" w:rsidR="001E3984" w:rsidRDefault="001E3984" w:rsidP="001E3984">
      <w:pPr>
        <w:pStyle w:val="ListParagraph"/>
        <w:numPr>
          <w:ilvl w:val="0"/>
          <w:numId w:val="5"/>
        </w:numPr>
        <w:bidi/>
        <w:rPr>
          <w:lang w:bidi="he-IL"/>
        </w:rPr>
      </w:pPr>
      <w:r>
        <w:rPr>
          <w:rFonts w:hint="cs"/>
          <w:rtl/>
          <w:lang w:bidi="he-IL"/>
        </w:rPr>
        <w:t>יש לדון אם שיטת רבי יהודה (</w:t>
      </w:r>
      <w:r>
        <w:rPr>
          <w:lang w:bidi="he-IL"/>
        </w:rPr>
        <w:t>D</w:t>
      </w:r>
      <w:r>
        <w:rPr>
          <w:rFonts w:hint="cs"/>
          <w:rtl/>
          <w:lang w:bidi="he-IL"/>
        </w:rPr>
        <w:t>) נאמר על חזרה (והוא כרבי שמעון בן אלעזר) או על הליכה.</w:t>
      </w:r>
    </w:p>
    <w:p w14:paraId="76BA0390" w14:textId="3C809B6A" w:rsidR="001E3984" w:rsidRDefault="001E3984" w:rsidP="001E3984">
      <w:pPr>
        <w:pStyle w:val="ListParagraph"/>
        <w:numPr>
          <w:ilvl w:val="0"/>
          <w:numId w:val="5"/>
        </w:numPr>
        <w:bidi/>
        <w:rPr>
          <w:lang w:bidi="he-IL"/>
        </w:rPr>
      </w:pPr>
      <w:r>
        <w:rPr>
          <w:rFonts w:hint="cs"/>
          <w:rtl/>
          <w:lang w:bidi="he-IL"/>
        </w:rPr>
        <w:t>יש לדון אם שיטת רבי דוסא (</w:t>
      </w:r>
      <w:r>
        <w:rPr>
          <w:lang w:bidi="he-IL"/>
        </w:rPr>
        <w:t>E</w:t>
      </w:r>
      <w:r>
        <w:rPr>
          <w:rFonts w:hint="cs"/>
          <w:rtl/>
          <w:lang w:bidi="he-IL"/>
        </w:rPr>
        <w:t>) נאמר על סולם של עלייה או על סולם של שובך.</w:t>
      </w:r>
    </w:p>
    <w:p w14:paraId="56905510" w14:textId="3B688567" w:rsidR="001E3984" w:rsidRPr="00501767" w:rsidRDefault="001E3984" w:rsidP="001E3984">
      <w:pPr>
        <w:pStyle w:val="ListParagraph"/>
        <w:numPr>
          <w:ilvl w:val="0"/>
          <w:numId w:val="5"/>
        </w:numPr>
        <w:bidi/>
        <w:rPr>
          <w:lang w:bidi="he-IL"/>
        </w:rPr>
      </w:pPr>
      <w:r>
        <w:rPr>
          <w:rFonts w:hint="cs"/>
          <w:rtl/>
          <w:lang w:bidi="he-IL"/>
        </w:rPr>
        <w:t>יש לדון אם שיטת רבי דוסא (</w:t>
      </w:r>
      <w:r>
        <w:rPr>
          <w:lang w:bidi="he-IL"/>
        </w:rPr>
        <w:t>E</w:t>
      </w:r>
      <w:r>
        <w:rPr>
          <w:rFonts w:hint="cs"/>
          <w:rtl/>
          <w:lang w:bidi="he-IL"/>
        </w:rPr>
        <w:t>) נאמר על הליכה או חזרה.</w:t>
      </w:r>
    </w:p>
    <w:p w14:paraId="0CAF82D4" w14:textId="77777777" w:rsidR="00501767" w:rsidRPr="003A03E3" w:rsidRDefault="00501767" w:rsidP="00501767">
      <w:pPr>
        <w:bidi/>
        <w:rPr>
          <w:rtl/>
          <w:lang w:bidi="he-IL"/>
        </w:rPr>
      </w:pPr>
    </w:p>
    <w:p w14:paraId="789CCE4E" w14:textId="77777777" w:rsidR="003A03E3" w:rsidRPr="003A03E3" w:rsidRDefault="003A03E3" w:rsidP="003A03E3">
      <w:pPr>
        <w:bidi/>
        <w:rPr>
          <w:rtl/>
          <w:lang w:bidi="he-IL"/>
        </w:rPr>
      </w:pPr>
    </w:p>
    <w:p w14:paraId="5548214D" w14:textId="77777777" w:rsidR="003A03E3" w:rsidRPr="003A03E3" w:rsidRDefault="003A03E3" w:rsidP="003A03E3">
      <w:pPr>
        <w:bidi/>
        <w:rPr>
          <w:rFonts w:hint="cs"/>
          <w:lang w:bidi="he-IL"/>
        </w:rPr>
      </w:pPr>
    </w:p>
    <w:sectPr w:rsidR="003A03E3" w:rsidRPr="003A03E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865E1" w14:textId="77777777" w:rsidR="004A33DE" w:rsidRDefault="004A33DE" w:rsidP="003A03E3">
      <w:pPr>
        <w:spacing w:after="0" w:line="240" w:lineRule="auto"/>
      </w:pPr>
      <w:r>
        <w:separator/>
      </w:r>
    </w:p>
  </w:endnote>
  <w:endnote w:type="continuationSeparator" w:id="0">
    <w:p w14:paraId="74FCDD63" w14:textId="77777777" w:rsidR="004A33DE" w:rsidRDefault="004A33DE" w:rsidP="003A0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BL Hebrew">
    <w:panose1 w:val="02000000000000000000"/>
    <w:charset w:val="00"/>
    <w:family w:val="auto"/>
    <w:pitch w:val="variable"/>
    <w:sig w:usb0="8000086F" w:usb1="4000204A"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1C8A3" w14:textId="77777777" w:rsidR="004A33DE" w:rsidRDefault="004A33DE" w:rsidP="003A03E3">
      <w:pPr>
        <w:spacing w:after="0" w:line="240" w:lineRule="auto"/>
      </w:pPr>
      <w:r>
        <w:separator/>
      </w:r>
    </w:p>
  </w:footnote>
  <w:footnote w:type="continuationSeparator" w:id="0">
    <w:p w14:paraId="193385AA" w14:textId="77777777" w:rsidR="004A33DE" w:rsidRDefault="004A33DE" w:rsidP="003A03E3">
      <w:pPr>
        <w:spacing w:after="0" w:line="240" w:lineRule="auto"/>
      </w:pPr>
      <w:r>
        <w:continuationSeparator/>
      </w:r>
    </w:p>
  </w:footnote>
  <w:footnote w:id="1">
    <w:p w14:paraId="4D8417B5" w14:textId="444C17A8" w:rsidR="00793EF9" w:rsidRPr="00793EF9" w:rsidRDefault="00793EF9" w:rsidP="00793EF9">
      <w:pPr>
        <w:pStyle w:val="FootnoteText"/>
        <w:bidi/>
        <w:rPr>
          <w:rFonts w:hint="cs"/>
          <w:rtl/>
          <w:lang w:bidi="he-IL"/>
        </w:rPr>
      </w:pPr>
      <w:r>
        <w:rPr>
          <w:rStyle w:val="FootnoteReference"/>
        </w:rPr>
        <w:footnoteRef/>
      </w:r>
      <w:r>
        <w:t xml:space="preserve"> </w:t>
      </w:r>
      <w:r>
        <w:rPr>
          <w:rFonts w:hint="cs"/>
          <w:rtl/>
          <w:lang w:bidi="he-IL"/>
        </w:rPr>
        <w:t>רבי יהודה מזכיר חילוק זה. עיין לקמן, שדנים אם יש חולק עליו.</w:t>
      </w:r>
    </w:p>
  </w:footnote>
  <w:footnote w:id="2">
    <w:p w14:paraId="02D13A1C" w14:textId="6BE18F59" w:rsidR="00942EAB" w:rsidRPr="00942EAB" w:rsidRDefault="00942EAB" w:rsidP="00942EAB">
      <w:pPr>
        <w:pStyle w:val="FootnoteText"/>
        <w:bidi/>
        <w:rPr>
          <w:rFonts w:hint="cs"/>
          <w:rtl/>
          <w:lang w:bidi="he-IL"/>
        </w:rPr>
      </w:pPr>
      <w:r>
        <w:rPr>
          <w:rStyle w:val="FootnoteReference"/>
        </w:rPr>
        <w:footnoteRef/>
      </w:r>
      <w:r>
        <w:t xml:space="preserve"> </w:t>
      </w:r>
      <w:r>
        <w:rPr>
          <w:rFonts w:hint="cs"/>
          <w:rtl/>
          <w:lang w:bidi="he-IL"/>
        </w:rPr>
        <w:t>תוס' מזכיר חילוק זה</w:t>
      </w:r>
      <w:r w:rsidR="00577061">
        <w:rPr>
          <w:rFonts w:hint="cs"/>
          <w:rtl/>
          <w:lang w:bidi="he-IL"/>
        </w:rPr>
        <w:t xml:space="preserve">, ומבאר שלפי רבי דוסא יהיה מותר לטלטל סולם קטן. </w:t>
      </w:r>
    </w:p>
  </w:footnote>
  <w:footnote w:id="3">
    <w:p w14:paraId="4054A152" w14:textId="0E4AADB9" w:rsidR="00553ECB" w:rsidRPr="00553ECB" w:rsidRDefault="00553ECB" w:rsidP="00553ECB">
      <w:pPr>
        <w:pStyle w:val="FootnoteText"/>
        <w:bidi/>
        <w:rPr>
          <w:rFonts w:hint="cs"/>
          <w:rtl/>
          <w:lang w:bidi="he-IL"/>
        </w:rPr>
      </w:pPr>
      <w:r>
        <w:rPr>
          <w:rStyle w:val="FootnoteReference"/>
        </w:rPr>
        <w:footnoteRef/>
      </w:r>
      <w:r>
        <w:t xml:space="preserve"> </w:t>
      </w:r>
      <w:r>
        <w:rPr>
          <w:rFonts w:hint="cs"/>
          <w:rtl/>
          <w:lang w:bidi="he-IL"/>
        </w:rPr>
        <w:t>מצאנו חילוק זה בדברי בית שמאי וכן מצאנו אותו בדברי רבי דוסא.</w:t>
      </w:r>
    </w:p>
  </w:footnote>
  <w:footnote w:id="4">
    <w:p w14:paraId="3216DCAF" w14:textId="25DC11CC" w:rsidR="00671A71" w:rsidRPr="00671A71" w:rsidRDefault="00671A71" w:rsidP="00671A71">
      <w:pPr>
        <w:pStyle w:val="FootnoteText"/>
        <w:bidi/>
        <w:rPr>
          <w:rFonts w:hint="cs"/>
          <w:rtl/>
          <w:lang w:bidi="he-IL"/>
        </w:rPr>
      </w:pPr>
      <w:r>
        <w:rPr>
          <w:rStyle w:val="FootnoteReference"/>
        </w:rPr>
        <w:footnoteRef/>
      </w:r>
      <w:r>
        <w:t xml:space="preserve"> </w:t>
      </w:r>
      <w:r>
        <w:rPr>
          <w:rFonts w:hint="cs"/>
          <w:rtl/>
          <w:lang w:bidi="he-IL"/>
        </w:rPr>
        <w:t>מצאנו חילוק זה במחלקת תנא קמא ורשב"א במה חולקים בית שמאי ובית הלל.</w:t>
      </w:r>
    </w:p>
  </w:footnote>
  <w:footnote w:id="5">
    <w:p w14:paraId="2BDD34E2" w14:textId="453F6417" w:rsidR="001A7F10" w:rsidRPr="001A7F10" w:rsidRDefault="001A7F10" w:rsidP="001A7F10">
      <w:pPr>
        <w:pStyle w:val="FootnoteText"/>
        <w:bidi/>
        <w:rPr>
          <w:rFonts w:hint="cs"/>
          <w:rtl/>
          <w:lang w:bidi="he-IL"/>
        </w:rPr>
      </w:pPr>
      <w:r>
        <w:rPr>
          <w:rStyle w:val="FootnoteReference"/>
        </w:rPr>
        <w:footnoteRef/>
      </w:r>
      <w:r>
        <w:t xml:space="preserve"> </w:t>
      </w:r>
      <w:r>
        <w:rPr>
          <w:rFonts w:hint="cs"/>
          <w:rtl/>
          <w:lang w:bidi="he-IL"/>
        </w:rPr>
        <w:t>זה יוצא מן הגמ' בדיון שלו ב6.</w:t>
      </w:r>
    </w:p>
  </w:footnote>
  <w:footnote w:id="6">
    <w:p w14:paraId="255133C6" w14:textId="096BDEFB" w:rsidR="001A7F10" w:rsidRPr="001A7F10" w:rsidRDefault="001A7F10" w:rsidP="001A7F10">
      <w:pPr>
        <w:pStyle w:val="FootnoteText"/>
        <w:bidi/>
        <w:rPr>
          <w:rFonts w:hint="cs"/>
          <w:rtl/>
          <w:lang w:bidi="he-IL"/>
        </w:rPr>
      </w:pPr>
      <w:r>
        <w:rPr>
          <w:rStyle w:val="FootnoteReference"/>
        </w:rPr>
        <w:footnoteRef/>
      </w:r>
      <w:r>
        <w:t xml:space="preserve"> </w:t>
      </w:r>
      <w:r>
        <w:rPr>
          <w:rFonts w:hint="cs"/>
          <w:rtl/>
          <w:lang w:bidi="he-IL"/>
        </w:rPr>
        <w:t>רב ורב חנן דנים בחילוק זה.</w:t>
      </w:r>
      <w:r w:rsidR="003C0786">
        <w:rPr>
          <w:rFonts w:hint="cs"/>
          <w:rtl/>
          <w:lang w:bidi="he-IL"/>
        </w:rPr>
        <w:t xml:space="preserve"> רב (לרש"י) סובר שאין זה חילוק, ואי אפשר לחלק בין רשות הרבים לרשות היחיד.</w:t>
      </w:r>
    </w:p>
  </w:footnote>
  <w:footnote w:id="7">
    <w:p w14:paraId="6AA449F4" w14:textId="1310989C" w:rsidR="00D872A0" w:rsidRDefault="00D872A0" w:rsidP="00D872A0">
      <w:pPr>
        <w:pStyle w:val="FootnoteText"/>
        <w:bidi/>
        <w:rPr>
          <w:rFonts w:hint="cs"/>
          <w:rtl/>
          <w:lang w:bidi="he-IL"/>
        </w:rPr>
      </w:pPr>
      <w:r>
        <w:rPr>
          <w:rStyle w:val="FootnoteReference"/>
        </w:rPr>
        <w:footnoteRef/>
      </w:r>
      <w:r>
        <w:t xml:space="preserve"> </w:t>
      </w:r>
      <w:r>
        <w:rPr>
          <w:rFonts w:hint="cs"/>
          <w:rtl/>
          <w:lang w:bidi="he-IL"/>
        </w:rPr>
        <w:t>לא מצאנו נקודה זו בפירוש. אבל, צד אחד של הגמ' להתיר הוא ששוכבו מוכיח עליו. יש לדון אם רצה לומר "שובך של הסולם" או "שובך של האיש." לצד ראשון, יש לדון אם רצה לומר "השובך שממנו ניטל," או "השובך שלו הולך," או ה"שובכיות של הסולם." אבל, לצד ראשון, צריך לומר כאחד משני צדדים הראשונים.</w:t>
      </w:r>
      <w:r w:rsidR="00F63FEA">
        <w:rPr>
          <w:rFonts w:hint="cs"/>
          <w:rtl/>
          <w:lang w:bidi="he-IL"/>
        </w:rPr>
        <w:t xml:space="preserve"> אז, למקצת צדדים, צריך להיות שניטל מן השובך. גם מצאנו שידון גמ' במה שאומר "משובך," אם אומר שצריך להיות סולם של שובך, או שמשנה אומרת שבא מן השובך. מרש"י משמע שאין זה דווקא, ובא להתיר אף מה שבא מן השובך. אבל, אין זה פשוט, ואפשר שבא לומר שצריך להיות בא מן השובך כדי להיות מותר.</w:t>
      </w:r>
    </w:p>
  </w:footnote>
  <w:footnote w:id="8">
    <w:p w14:paraId="365DD481" w14:textId="34CF10C9" w:rsidR="00A81952" w:rsidRPr="00A81952" w:rsidRDefault="00A81952" w:rsidP="00A81952">
      <w:pPr>
        <w:pStyle w:val="FootnoteText"/>
        <w:bidi/>
        <w:rPr>
          <w:rFonts w:hint="cs"/>
          <w:rtl/>
          <w:lang w:bidi="he-IL"/>
        </w:rPr>
      </w:pPr>
      <w:r>
        <w:rPr>
          <w:rStyle w:val="FootnoteReference"/>
        </w:rPr>
        <w:footnoteRef/>
      </w:r>
      <w:r>
        <w:t xml:space="preserve"> </w:t>
      </w:r>
      <w:r>
        <w:rPr>
          <w:rFonts w:hint="cs"/>
          <w:rtl/>
          <w:lang w:bidi="he-IL"/>
        </w:rPr>
        <w:t>רשי מזכיר חילוק זה, ומבאר שמשנה מתיר אף אם כבר הלך לשובך.</w:t>
      </w:r>
    </w:p>
  </w:footnote>
  <w:footnote w:id="9">
    <w:p w14:paraId="2D55D623" w14:textId="77777777" w:rsidR="00A81952" w:rsidRDefault="00A81952" w:rsidP="00A81952">
      <w:pPr>
        <w:pStyle w:val="FootnoteText"/>
        <w:bidi/>
        <w:rPr>
          <w:rFonts w:hint="cs"/>
          <w:rtl/>
          <w:lang w:bidi="he-IL"/>
        </w:rPr>
      </w:pPr>
      <w:r>
        <w:rPr>
          <w:rStyle w:val="FootnoteReference"/>
        </w:rPr>
        <w:footnoteRef/>
      </w:r>
      <w:r>
        <w:t xml:space="preserve"> </w:t>
      </w:r>
      <w:r>
        <w:rPr>
          <w:rFonts w:hint="cs"/>
          <w:rtl/>
          <w:lang w:bidi="he-IL"/>
        </w:rPr>
        <w:t>כיון שיש לנו שמונה פרטים (ואחד מהם יש בו שלש צדדים), יכול להיות שלש מאות שמונים וארבע. בכל אחד מהם, יש לדון לפי בית שמאי ובית הלל, ובמקצתם, גם יש לדון בתנאים אחרים. אז, לא נדון בכולם.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5E906" w14:textId="4F955C9F" w:rsidR="003A03E3" w:rsidRPr="003A03E3" w:rsidRDefault="003A03E3" w:rsidP="003A03E3">
    <w:pPr>
      <w:pStyle w:val="Header"/>
      <w:bidi/>
      <w:jc w:val="center"/>
      <w:rPr>
        <w:rFonts w:ascii="SBL Hebrew" w:hAnsi="SBL Hebrew" w:cs="SBL Hebrew"/>
        <w:lang w:bidi="he-IL"/>
      </w:rPr>
    </w:pPr>
    <w:r w:rsidRPr="003A03E3">
      <w:rPr>
        <w:rFonts w:ascii="SBL Hebrew" w:hAnsi="SBL Hebrew" w:cs="SBL Hebrew"/>
        <w:rtl/>
        <w:lang w:bidi="he-IL"/>
      </w:rPr>
      <w:t>טילטול סולם ביום טוב</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11"/>
    <w:multiLevelType w:val="hybridMultilevel"/>
    <w:tmpl w:val="41A6C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95317"/>
    <w:multiLevelType w:val="hybridMultilevel"/>
    <w:tmpl w:val="9CD2996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7D38D9"/>
    <w:multiLevelType w:val="hybridMultilevel"/>
    <w:tmpl w:val="5A1C78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23B6E"/>
    <w:multiLevelType w:val="hybridMultilevel"/>
    <w:tmpl w:val="6D0C0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1B7112"/>
    <w:multiLevelType w:val="hybridMultilevel"/>
    <w:tmpl w:val="BDC6D3D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0728506">
    <w:abstractNumId w:val="0"/>
  </w:num>
  <w:num w:numId="2" w16cid:durableId="948513795">
    <w:abstractNumId w:val="2"/>
  </w:num>
  <w:num w:numId="3" w16cid:durableId="391732105">
    <w:abstractNumId w:val="4"/>
  </w:num>
  <w:num w:numId="4" w16cid:durableId="1199931300">
    <w:abstractNumId w:val="1"/>
  </w:num>
  <w:num w:numId="5" w16cid:durableId="1771584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2CD"/>
    <w:rsid w:val="000A385E"/>
    <w:rsid w:val="001A7F10"/>
    <w:rsid w:val="001E3984"/>
    <w:rsid w:val="00377AFB"/>
    <w:rsid w:val="003A03E3"/>
    <w:rsid w:val="003C0786"/>
    <w:rsid w:val="004A33DE"/>
    <w:rsid w:val="00501767"/>
    <w:rsid w:val="00553ECB"/>
    <w:rsid w:val="00577061"/>
    <w:rsid w:val="00671A71"/>
    <w:rsid w:val="00793EF9"/>
    <w:rsid w:val="008672CD"/>
    <w:rsid w:val="00942EAB"/>
    <w:rsid w:val="00972DCA"/>
    <w:rsid w:val="00A12B5C"/>
    <w:rsid w:val="00A81952"/>
    <w:rsid w:val="00CF7315"/>
    <w:rsid w:val="00D74694"/>
    <w:rsid w:val="00D872A0"/>
    <w:rsid w:val="00E143BF"/>
    <w:rsid w:val="00E35053"/>
    <w:rsid w:val="00E35A1D"/>
    <w:rsid w:val="00F63F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1A3B2"/>
  <w15:chartTrackingRefBased/>
  <w15:docId w15:val="{AB8B3893-DA12-4C14-8BD3-7E49694BD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2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2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2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2CD"/>
    <w:rPr>
      <w:rFonts w:eastAsiaTheme="majorEastAsia" w:cstheme="majorBidi"/>
      <w:color w:val="272727" w:themeColor="text1" w:themeTint="D8"/>
    </w:rPr>
  </w:style>
  <w:style w:type="paragraph" w:styleId="Title">
    <w:name w:val="Title"/>
    <w:basedOn w:val="Normal"/>
    <w:next w:val="Normal"/>
    <w:link w:val="TitleChar"/>
    <w:uiPriority w:val="10"/>
    <w:qFormat/>
    <w:rsid w:val="00867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2CD"/>
    <w:pPr>
      <w:spacing w:before="160"/>
      <w:jc w:val="center"/>
    </w:pPr>
    <w:rPr>
      <w:i/>
      <w:iCs/>
      <w:color w:val="404040" w:themeColor="text1" w:themeTint="BF"/>
    </w:rPr>
  </w:style>
  <w:style w:type="character" w:customStyle="1" w:styleId="QuoteChar">
    <w:name w:val="Quote Char"/>
    <w:basedOn w:val="DefaultParagraphFont"/>
    <w:link w:val="Quote"/>
    <w:uiPriority w:val="29"/>
    <w:rsid w:val="008672CD"/>
    <w:rPr>
      <w:i/>
      <w:iCs/>
      <w:color w:val="404040" w:themeColor="text1" w:themeTint="BF"/>
    </w:rPr>
  </w:style>
  <w:style w:type="paragraph" w:styleId="ListParagraph">
    <w:name w:val="List Paragraph"/>
    <w:basedOn w:val="Normal"/>
    <w:uiPriority w:val="34"/>
    <w:qFormat/>
    <w:rsid w:val="008672CD"/>
    <w:pPr>
      <w:ind w:left="720"/>
      <w:contextualSpacing/>
    </w:pPr>
  </w:style>
  <w:style w:type="character" w:styleId="IntenseEmphasis">
    <w:name w:val="Intense Emphasis"/>
    <w:basedOn w:val="DefaultParagraphFont"/>
    <w:uiPriority w:val="21"/>
    <w:qFormat/>
    <w:rsid w:val="008672CD"/>
    <w:rPr>
      <w:i/>
      <w:iCs/>
      <w:color w:val="0F4761" w:themeColor="accent1" w:themeShade="BF"/>
    </w:rPr>
  </w:style>
  <w:style w:type="paragraph" w:styleId="IntenseQuote">
    <w:name w:val="Intense Quote"/>
    <w:basedOn w:val="Normal"/>
    <w:next w:val="Normal"/>
    <w:link w:val="IntenseQuoteChar"/>
    <w:uiPriority w:val="30"/>
    <w:qFormat/>
    <w:rsid w:val="00867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2CD"/>
    <w:rPr>
      <w:i/>
      <w:iCs/>
      <w:color w:val="0F4761" w:themeColor="accent1" w:themeShade="BF"/>
    </w:rPr>
  </w:style>
  <w:style w:type="character" w:styleId="IntenseReference">
    <w:name w:val="Intense Reference"/>
    <w:basedOn w:val="DefaultParagraphFont"/>
    <w:uiPriority w:val="32"/>
    <w:qFormat/>
    <w:rsid w:val="008672CD"/>
    <w:rPr>
      <w:b/>
      <w:bCs/>
      <w:smallCaps/>
      <w:color w:val="0F4761" w:themeColor="accent1" w:themeShade="BF"/>
      <w:spacing w:val="5"/>
    </w:rPr>
  </w:style>
  <w:style w:type="paragraph" w:styleId="Header">
    <w:name w:val="header"/>
    <w:basedOn w:val="Normal"/>
    <w:link w:val="HeaderChar"/>
    <w:uiPriority w:val="99"/>
    <w:unhideWhenUsed/>
    <w:rsid w:val="003A03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3E3"/>
  </w:style>
  <w:style w:type="paragraph" w:styleId="Footer">
    <w:name w:val="footer"/>
    <w:basedOn w:val="Normal"/>
    <w:link w:val="FooterChar"/>
    <w:uiPriority w:val="99"/>
    <w:unhideWhenUsed/>
    <w:rsid w:val="003A03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3E3"/>
  </w:style>
  <w:style w:type="paragraph" w:styleId="FootnoteText">
    <w:name w:val="footnote text"/>
    <w:basedOn w:val="Normal"/>
    <w:link w:val="FootnoteTextChar"/>
    <w:uiPriority w:val="99"/>
    <w:semiHidden/>
    <w:unhideWhenUsed/>
    <w:rsid w:val="00972D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2DCA"/>
    <w:rPr>
      <w:sz w:val="20"/>
      <w:szCs w:val="20"/>
    </w:rPr>
  </w:style>
  <w:style w:type="character" w:styleId="FootnoteReference">
    <w:name w:val="footnote reference"/>
    <w:basedOn w:val="DefaultParagraphFont"/>
    <w:uiPriority w:val="99"/>
    <w:semiHidden/>
    <w:unhideWhenUsed/>
    <w:rsid w:val="00972D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Shaul Y Khayyat</dc:creator>
  <cp:keywords/>
  <dc:description/>
  <cp:lastModifiedBy>Shaul Y Khayyat</cp:lastModifiedBy>
  <cp:revision>17</cp:revision>
  <dcterms:created xsi:type="dcterms:W3CDTF">2025-02-20T16:00:00Z</dcterms:created>
  <dcterms:modified xsi:type="dcterms:W3CDTF">2025-02-20T16:30:00Z</dcterms:modified>
</cp:coreProperties>
</file>