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7316" w14:textId="2FE534B0" w:rsidR="00A12B5C" w:rsidRPr="00C216C9" w:rsidRDefault="00406A4B" w:rsidP="00406A4B">
      <w:pPr>
        <w:rPr>
          <w:rFonts w:ascii="David" w:hAnsi="David" w:cs="David"/>
          <w:rtl/>
          <w:lang w:bidi="he-IL"/>
        </w:rPr>
      </w:pPr>
      <w:r w:rsidRPr="00C216C9">
        <w:rPr>
          <w:rFonts w:ascii="David" w:hAnsi="David" w:cs="David"/>
          <w:rtl/>
          <w:lang w:bidi="he-IL"/>
        </w:rPr>
        <w:t xml:space="preserve">מצאנו הרבה מקומות שרבנן אסרו דבר מפני הדמיון בין אותו דבר לדברים האסורים. </w:t>
      </w:r>
      <w:proofErr w:type="spellStart"/>
      <w:r w:rsidRPr="00C216C9">
        <w:rPr>
          <w:rFonts w:ascii="David" w:hAnsi="David" w:cs="David"/>
          <w:rtl/>
          <w:lang w:bidi="he-IL"/>
        </w:rPr>
        <w:t>לכאו</w:t>
      </w:r>
      <w:proofErr w:type="spellEnd"/>
      <w:r w:rsidRPr="00C216C9">
        <w:rPr>
          <w:rFonts w:ascii="David" w:hAnsi="David" w:cs="David"/>
          <w:rtl/>
          <w:lang w:bidi="he-IL"/>
        </w:rPr>
        <w:t>', יש שני אופנים של גזירה כזה:</w:t>
      </w:r>
    </w:p>
    <w:p w14:paraId="66F2A737" w14:textId="7322C28C" w:rsidR="00406A4B" w:rsidRPr="00C216C9" w:rsidRDefault="00406A4B" w:rsidP="00406A4B">
      <w:pPr>
        <w:pStyle w:val="ListParagraph"/>
        <w:numPr>
          <w:ilvl w:val="0"/>
          <w:numId w:val="1"/>
        </w:numPr>
        <w:rPr>
          <w:rFonts w:ascii="David" w:hAnsi="David" w:cs="David"/>
          <w:lang w:bidi="he-IL"/>
        </w:rPr>
      </w:pPr>
      <w:r w:rsidRPr="00C216C9">
        <w:rPr>
          <w:rFonts w:ascii="David" w:hAnsi="David" w:cs="David"/>
          <w:rtl/>
          <w:lang w:bidi="he-IL"/>
        </w:rPr>
        <w:t>יש דברים שלא נראה חילוק ביניהם לבין דברים האסורים. למשל, לא נראה חילוק לבני אדם בין אכילת ביצה שנולדה ביום טוב לאכילת פירות שנשרו בי"ט.</w:t>
      </w:r>
    </w:p>
    <w:p w14:paraId="4EF71AF1" w14:textId="4C8BE4CE" w:rsidR="00406A4B" w:rsidRPr="00C216C9" w:rsidRDefault="00406A4B" w:rsidP="00406A4B">
      <w:pPr>
        <w:pStyle w:val="ListParagraph"/>
        <w:numPr>
          <w:ilvl w:val="0"/>
          <w:numId w:val="1"/>
        </w:numPr>
        <w:rPr>
          <w:rFonts w:ascii="David" w:hAnsi="David" w:cs="David"/>
          <w:lang w:bidi="he-IL"/>
        </w:rPr>
      </w:pPr>
      <w:r w:rsidRPr="00C216C9">
        <w:rPr>
          <w:rFonts w:ascii="David" w:hAnsi="David" w:cs="David"/>
          <w:rtl/>
          <w:lang w:bidi="he-IL"/>
        </w:rPr>
        <w:t>יש דברים שנראים שהם דברים האסורים. למשל, אסור ללבוש בגד שיש בו פשתן שנראה כצמר עם פשתן שנראה כפשתן, כיון שנראה שלובש צמר ופשתן.</w:t>
      </w:r>
    </w:p>
    <w:p w14:paraId="755D10B0" w14:textId="4359B093" w:rsidR="00406A4B" w:rsidRPr="00C216C9" w:rsidRDefault="00406A4B" w:rsidP="00406A4B">
      <w:pPr>
        <w:rPr>
          <w:rFonts w:ascii="David" w:hAnsi="David" w:cs="David"/>
          <w:rtl/>
          <w:lang w:bidi="he-IL"/>
        </w:rPr>
      </w:pPr>
      <w:r w:rsidRPr="00C216C9">
        <w:rPr>
          <w:rFonts w:ascii="David" w:hAnsi="David" w:cs="David"/>
          <w:rtl/>
          <w:lang w:bidi="he-IL"/>
        </w:rPr>
        <w:t xml:space="preserve">בכל אחד מהם, יש לדון מה, בדיוק, הוא החשש שגרם </w:t>
      </w:r>
      <w:proofErr w:type="spellStart"/>
      <w:r w:rsidRPr="00C216C9">
        <w:rPr>
          <w:rFonts w:ascii="David" w:hAnsi="David" w:cs="David"/>
          <w:rtl/>
          <w:lang w:bidi="he-IL"/>
        </w:rPr>
        <w:t>לרבנן</w:t>
      </w:r>
      <w:proofErr w:type="spellEnd"/>
      <w:r w:rsidRPr="00C216C9">
        <w:rPr>
          <w:rFonts w:ascii="David" w:hAnsi="David" w:cs="David"/>
          <w:rtl/>
          <w:lang w:bidi="he-IL"/>
        </w:rPr>
        <w:t xml:space="preserve"> לאסור אותו. נדון בצדדים לאסור – וצדדים אלו נוגעים, </w:t>
      </w:r>
      <w:proofErr w:type="spellStart"/>
      <w:r w:rsidRPr="00C216C9">
        <w:rPr>
          <w:rFonts w:ascii="David" w:hAnsi="David" w:cs="David"/>
          <w:rtl/>
          <w:lang w:bidi="he-IL"/>
        </w:rPr>
        <w:t>לכאו</w:t>
      </w:r>
      <w:proofErr w:type="spellEnd"/>
      <w:r w:rsidRPr="00C216C9">
        <w:rPr>
          <w:rFonts w:ascii="David" w:hAnsi="David" w:cs="David"/>
          <w:rtl/>
          <w:lang w:bidi="he-IL"/>
        </w:rPr>
        <w:t xml:space="preserve">', לשניהם – אבל נזכור שלא צריכים להיות שווים, אלא יכול להיות שלאחד יש סיבה שונה </w:t>
      </w:r>
      <w:proofErr w:type="spellStart"/>
      <w:r w:rsidRPr="00C216C9">
        <w:rPr>
          <w:rFonts w:ascii="David" w:hAnsi="David" w:cs="David"/>
          <w:rtl/>
          <w:lang w:bidi="he-IL"/>
        </w:rPr>
        <w:t>מחבירו</w:t>
      </w:r>
      <w:proofErr w:type="spellEnd"/>
      <w:r w:rsidRPr="00C216C9">
        <w:rPr>
          <w:rFonts w:ascii="David" w:hAnsi="David" w:cs="David"/>
          <w:rtl/>
          <w:lang w:bidi="he-IL"/>
        </w:rPr>
        <w:t>.</w:t>
      </w:r>
    </w:p>
    <w:p w14:paraId="0C608AC0" w14:textId="34067259" w:rsidR="00406A4B" w:rsidRPr="00C216C9" w:rsidRDefault="00406A4B" w:rsidP="00406A4B">
      <w:pPr>
        <w:pStyle w:val="ListParagraph"/>
        <w:numPr>
          <w:ilvl w:val="0"/>
          <w:numId w:val="2"/>
        </w:numPr>
        <w:rPr>
          <w:rFonts w:ascii="David" w:hAnsi="David" w:cs="David"/>
          <w:lang w:bidi="he-IL"/>
        </w:rPr>
      </w:pPr>
      <w:r w:rsidRPr="00C216C9">
        <w:rPr>
          <w:rFonts w:ascii="David" w:hAnsi="David" w:cs="David"/>
          <w:rtl/>
          <w:lang w:bidi="he-IL"/>
        </w:rPr>
        <w:t>חוששים שנראה שמה שעושה מותר.</w:t>
      </w:r>
    </w:p>
    <w:p w14:paraId="6913B123" w14:textId="428504E0"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הרואים ילמדו שדבר שבאמת אסור הוא מותר.</w:t>
      </w:r>
    </w:p>
    <w:p w14:paraId="22F54A4E" w14:textId="7509B1D2"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מי שיודע ההלכה ילמד ממנו שדבר שבאמת אסור הוא מותר. (אז, רק חוששים לבני אדם שיודעים קצת הלכות, ויודעים שזה מותר, ולא יודעים מה שאסור.)</w:t>
      </w:r>
    </w:p>
    <w:p w14:paraId="2B91D04A" w14:textId="1C732F4D"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מי שעשה כן, יזכור שעשה כן, וילמד שדבר שבאמת אסור הוא מותר.</w:t>
      </w:r>
    </w:p>
    <w:p w14:paraId="7C38E676" w14:textId="64F6181F" w:rsidR="00406A4B" w:rsidRPr="00C216C9" w:rsidRDefault="00406A4B" w:rsidP="00406A4B">
      <w:pPr>
        <w:pStyle w:val="ListParagraph"/>
        <w:numPr>
          <w:ilvl w:val="0"/>
          <w:numId w:val="2"/>
        </w:numPr>
        <w:rPr>
          <w:rFonts w:ascii="David" w:hAnsi="David" w:cs="David"/>
          <w:lang w:bidi="he-IL"/>
        </w:rPr>
      </w:pPr>
      <w:r w:rsidRPr="00C216C9">
        <w:rPr>
          <w:rFonts w:ascii="David" w:hAnsi="David" w:cs="David"/>
          <w:rtl/>
          <w:lang w:bidi="he-IL"/>
        </w:rPr>
        <w:t>חוששים שנראה שמה שעושה אסור.</w:t>
      </w:r>
    </w:p>
    <w:p w14:paraId="7CBB61D8" w14:textId="07B2FA9E"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הרואים יראו שעשה איסור:</w:t>
      </w:r>
    </w:p>
    <w:p w14:paraId="10AC7956" w14:textId="00A6EA58" w:rsidR="00406A4B" w:rsidRPr="00C216C9" w:rsidRDefault="00406A4B" w:rsidP="00406A4B">
      <w:pPr>
        <w:pStyle w:val="ListParagraph"/>
        <w:numPr>
          <w:ilvl w:val="2"/>
          <w:numId w:val="2"/>
        </w:numPr>
        <w:rPr>
          <w:rFonts w:ascii="David" w:hAnsi="David" w:cs="David"/>
          <w:lang w:bidi="he-IL"/>
        </w:rPr>
      </w:pPr>
      <w:r w:rsidRPr="00C216C9">
        <w:rPr>
          <w:rFonts w:ascii="David" w:hAnsi="David" w:cs="David"/>
          <w:rtl/>
          <w:lang w:bidi="he-IL"/>
        </w:rPr>
        <w:t>יחשבו עליו לרע, ויחשוב על עצמו לרע, ויהיה רע, כמו שבארנו בנכפל במאה.</w:t>
      </w:r>
    </w:p>
    <w:p w14:paraId="265B8D5E" w14:textId="53EA6AF2" w:rsidR="00406A4B" w:rsidRPr="00C216C9" w:rsidRDefault="00406A4B" w:rsidP="00406A4B">
      <w:pPr>
        <w:pStyle w:val="ListParagraph"/>
        <w:numPr>
          <w:ilvl w:val="2"/>
          <w:numId w:val="2"/>
        </w:numPr>
        <w:rPr>
          <w:rFonts w:ascii="David" w:hAnsi="David" w:cs="David"/>
          <w:lang w:bidi="he-IL"/>
        </w:rPr>
      </w:pPr>
      <w:r w:rsidRPr="00C216C9">
        <w:rPr>
          <w:rFonts w:ascii="David" w:hAnsi="David" w:cs="David"/>
          <w:rtl/>
          <w:lang w:bidi="he-IL"/>
        </w:rPr>
        <w:t xml:space="preserve">כל אותו </w:t>
      </w:r>
      <w:proofErr w:type="spellStart"/>
      <w:r w:rsidRPr="00C216C9">
        <w:rPr>
          <w:rFonts w:ascii="David" w:hAnsi="David" w:cs="David"/>
          <w:rtl/>
          <w:lang w:bidi="he-IL"/>
        </w:rPr>
        <w:t>הענין</w:t>
      </w:r>
      <w:proofErr w:type="spellEnd"/>
      <w:r w:rsidRPr="00C216C9">
        <w:rPr>
          <w:rFonts w:ascii="David" w:hAnsi="David" w:cs="David"/>
          <w:rtl/>
          <w:lang w:bidi="he-IL"/>
        </w:rPr>
        <w:t xml:space="preserve"> (למשל, אם בדיני שבת הוא, יאמרו כן בכל דיני שבת) יהיה קל בעיניהם, שרואים מי שלא מקפיד עליו.</w:t>
      </w:r>
    </w:p>
    <w:p w14:paraId="53A3927C" w14:textId="350FD79F" w:rsidR="00406A4B" w:rsidRPr="00C216C9" w:rsidRDefault="00406A4B" w:rsidP="00406A4B">
      <w:pPr>
        <w:pStyle w:val="ListParagraph"/>
        <w:numPr>
          <w:ilvl w:val="2"/>
          <w:numId w:val="2"/>
        </w:numPr>
        <w:rPr>
          <w:rFonts w:ascii="David" w:hAnsi="David" w:cs="David"/>
          <w:lang w:bidi="he-IL"/>
        </w:rPr>
      </w:pPr>
      <w:r w:rsidRPr="00C216C9">
        <w:rPr>
          <w:rFonts w:ascii="David" w:hAnsi="David" w:cs="David"/>
          <w:rtl/>
          <w:lang w:bidi="he-IL"/>
        </w:rPr>
        <w:t>נמצא שחושדים בו בדבר שאין בו, וזה אסור.</w:t>
      </w:r>
    </w:p>
    <w:p w14:paraId="2E63A054" w14:textId="780009AC"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הוא יזכור מה שעשה, ויחשוב שעשה איסור. יחשוב על עצמו לרע, ויהיה רע, כמו שבארנו בנכפל במאה.</w:t>
      </w:r>
    </w:p>
    <w:p w14:paraId="1F5A7457" w14:textId="31B24336" w:rsidR="00406A4B" w:rsidRPr="00C216C9" w:rsidRDefault="00406A4B" w:rsidP="00406A4B">
      <w:pPr>
        <w:pStyle w:val="ListParagraph"/>
        <w:numPr>
          <w:ilvl w:val="1"/>
          <w:numId w:val="2"/>
        </w:numPr>
        <w:rPr>
          <w:rFonts w:ascii="David" w:hAnsi="David" w:cs="David"/>
          <w:lang w:bidi="he-IL"/>
        </w:rPr>
      </w:pPr>
      <w:r w:rsidRPr="00C216C9">
        <w:rPr>
          <w:rFonts w:ascii="David" w:hAnsi="David" w:cs="David"/>
          <w:rtl/>
          <w:lang w:bidi="he-IL"/>
        </w:rPr>
        <w:t xml:space="preserve">מה שאחרים מחשיבים את המעשה שעשה להיות מעשה עבירה עושה אותה מעשה עבירה. (זה יותר קל לבאר בשבת, ששם יש לומר שזה עושה אותו </w:t>
      </w:r>
      <w:proofErr w:type="spellStart"/>
      <w:r w:rsidRPr="00C216C9">
        <w:rPr>
          <w:rFonts w:ascii="David" w:hAnsi="David" w:cs="David"/>
          <w:rtl/>
          <w:lang w:bidi="he-IL"/>
        </w:rPr>
        <w:t>עובדא</w:t>
      </w:r>
      <w:proofErr w:type="spellEnd"/>
      <w:r w:rsidRPr="00C216C9">
        <w:rPr>
          <w:rFonts w:ascii="David" w:hAnsi="David" w:cs="David"/>
          <w:rtl/>
          <w:lang w:bidi="he-IL"/>
        </w:rPr>
        <w:t xml:space="preserve"> </w:t>
      </w:r>
      <w:proofErr w:type="spellStart"/>
      <w:r w:rsidRPr="00C216C9">
        <w:rPr>
          <w:rFonts w:ascii="David" w:hAnsi="David" w:cs="David"/>
          <w:rtl/>
          <w:lang w:bidi="he-IL"/>
        </w:rPr>
        <w:t>דחול</w:t>
      </w:r>
      <w:proofErr w:type="spellEnd"/>
      <w:r w:rsidRPr="00C216C9">
        <w:rPr>
          <w:rFonts w:ascii="David" w:hAnsi="David" w:cs="David"/>
          <w:rtl/>
          <w:lang w:bidi="he-IL"/>
        </w:rPr>
        <w:t xml:space="preserve"> או שזה עושה אותו מלאכה חשובה. זה גם קל לומר בעבודה זרה, שאולי עיקר האיסור תלוי במה שעושה דבר שמראה כבוד לעבודה זרה.)</w:t>
      </w:r>
    </w:p>
    <w:p w14:paraId="298ED1F5" w14:textId="51CB5726" w:rsidR="00406A4B" w:rsidRPr="00C216C9" w:rsidRDefault="00406A4B" w:rsidP="00406A4B">
      <w:pPr>
        <w:pStyle w:val="ListParagraph"/>
        <w:ind w:left="1440"/>
        <w:rPr>
          <w:rFonts w:ascii="David" w:hAnsi="David" w:cs="David"/>
          <w:rtl/>
          <w:lang w:bidi="he-IL"/>
        </w:rPr>
      </w:pPr>
      <w:r w:rsidRPr="00C216C9">
        <w:rPr>
          <w:rFonts w:ascii="David" w:hAnsi="David" w:cs="David"/>
          <w:rtl/>
          <w:lang w:bidi="he-IL"/>
        </w:rPr>
        <w:t>יש להעיר שלא בדיוק על מעשה שלו חושבים, בציור שני. אז, צריך לומר אחד משלשה מהלכים. מהלך ראשון הוא שחושבים על מעשה כללי שעשה, שחושבים על לבישת בגד שנראה כצמר ופשתן. מהלך שני הוא שחושבים על "מעשה זה" שעשה. אף שטועים מהו "מעשה זה," עדיין על "מעשה זה" הוא שחושבים. מהלך שלישי הוא מחשיבים את המעשה במה שעשיית המעשה גרם אותו מחשבה של חשיבות שלהם.</w:t>
      </w:r>
    </w:p>
    <w:p w14:paraId="52D87A44" w14:textId="5EC14E4F" w:rsidR="00406A4B" w:rsidRPr="00C216C9" w:rsidRDefault="00406A4B" w:rsidP="00406A4B">
      <w:pPr>
        <w:pStyle w:val="ListParagraph"/>
        <w:ind w:left="1440"/>
        <w:rPr>
          <w:rFonts w:ascii="David" w:hAnsi="David" w:cs="David"/>
          <w:rtl/>
          <w:lang w:bidi="he-IL"/>
        </w:rPr>
      </w:pPr>
      <w:r w:rsidRPr="00C216C9">
        <w:rPr>
          <w:rFonts w:ascii="David" w:hAnsi="David" w:cs="David"/>
          <w:rtl/>
          <w:lang w:bidi="he-IL"/>
        </w:rPr>
        <w:t>יש לומר את זה בשני אופנים. אופן ראשון הוא שאסור לחשוב לאותה מחשבה של אחרים, ואופן שני (שנראה יותר) הוא שאסור לעשות מה שאחרים מחשיבים.</w:t>
      </w:r>
    </w:p>
    <w:p w14:paraId="1AC962F1" w14:textId="7B4685D7" w:rsidR="00406A4B" w:rsidRPr="00C216C9" w:rsidRDefault="00406A4B" w:rsidP="00406A4B">
      <w:pPr>
        <w:rPr>
          <w:rFonts w:ascii="David" w:hAnsi="David" w:cs="David"/>
          <w:rtl/>
          <w:lang w:bidi="he-IL"/>
        </w:rPr>
      </w:pPr>
      <w:r w:rsidRPr="00C216C9">
        <w:rPr>
          <w:rFonts w:ascii="David" w:hAnsi="David" w:cs="David"/>
          <w:rtl/>
          <w:lang w:bidi="he-IL"/>
        </w:rPr>
        <w:t>לפעמים, דברים אסורים גם בחדרי חדרים. יש לדון למה ייאסרו בחדרי חדרים, שאין אחר שרואה אותו. נראה שיש הרבה פירושים שיכולים לומר:</w:t>
      </w:r>
    </w:p>
    <w:p w14:paraId="472BC473" w14:textId="182219F2"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אם הבעיה הוא מחמת מה שחושב על עצמו, הרי יש לאסור גם בחדרי חדרים, שהוא תמיד שם.</w:t>
      </w:r>
    </w:p>
    <w:p w14:paraId="0AA13DC6" w14:textId="4D521B42"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 xml:space="preserve">אם הבעיה הוא מחמת ההלכה, אפשר שיש לאסור, שאולי </w:t>
      </w:r>
      <w:proofErr w:type="spellStart"/>
      <w:r w:rsidRPr="00C216C9">
        <w:rPr>
          <w:rFonts w:ascii="David" w:hAnsi="David" w:cs="David"/>
          <w:rtl/>
          <w:lang w:bidi="he-IL"/>
        </w:rPr>
        <w:t>ילמוד</w:t>
      </w:r>
      <w:proofErr w:type="spellEnd"/>
      <w:r w:rsidRPr="00C216C9">
        <w:rPr>
          <w:rFonts w:ascii="David" w:hAnsi="David" w:cs="David"/>
          <w:rtl/>
          <w:lang w:bidi="he-IL"/>
        </w:rPr>
        <w:t xml:space="preserve"> מן ההלכה שמותר בחדרי חדרים. יש לדון, שהיה נראה לומר שיבינו בני אדם שלא ללמוד ממנו ממה שרק בחדרי חדרים מותר.</w:t>
      </w:r>
    </w:p>
    <w:p w14:paraId="4D0DC6A3" w14:textId="38C9524B"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חוששים שיעשה אותו כשנראה (או מפני שלא מבין שנראה או מפני שלא מסתבר לו לחלק).</w:t>
      </w:r>
    </w:p>
    <w:p w14:paraId="6923F9B3" w14:textId="4A2B56A7"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חוששים שיגיד לבני אדם מה שעשה, וכאילו עשה אותו ברבים.</w:t>
      </w:r>
    </w:p>
    <w:p w14:paraId="57C69F73" w14:textId="0AC5E00D"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 xml:space="preserve">אולי לא </w:t>
      </w:r>
      <w:proofErr w:type="spellStart"/>
      <w:r w:rsidRPr="00C216C9">
        <w:rPr>
          <w:rFonts w:ascii="David" w:hAnsi="David" w:cs="David"/>
          <w:rtl/>
          <w:lang w:bidi="he-IL"/>
        </w:rPr>
        <w:t>פלוג</w:t>
      </w:r>
      <w:proofErr w:type="spellEnd"/>
      <w:r w:rsidRPr="00C216C9">
        <w:rPr>
          <w:rFonts w:ascii="David" w:hAnsi="David" w:cs="David"/>
          <w:rtl/>
          <w:lang w:bidi="he-IL"/>
        </w:rPr>
        <w:t xml:space="preserve"> הוא, שרוצים חכמים להשוות את הדינים, ואז אסרו אותו בכל מקום.</w:t>
      </w:r>
    </w:p>
    <w:p w14:paraId="4804017C" w14:textId="7A4DDDB5" w:rsidR="00406A4B" w:rsidRPr="00C216C9" w:rsidRDefault="00406A4B" w:rsidP="00406A4B">
      <w:pPr>
        <w:pStyle w:val="ListParagraph"/>
        <w:numPr>
          <w:ilvl w:val="0"/>
          <w:numId w:val="3"/>
        </w:numPr>
        <w:rPr>
          <w:rFonts w:ascii="David" w:hAnsi="David" w:cs="David"/>
          <w:lang w:bidi="he-IL"/>
        </w:rPr>
      </w:pPr>
      <w:r w:rsidRPr="00C216C9">
        <w:rPr>
          <w:rFonts w:ascii="David" w:hAnsi="David" w:cs="David"/>
          <w:rtl/>
          <w:lang w:bidi="he-IL"/>
        </w:rPr>
        <w:t>אם הוא אסור מפני איך שאחרים מחשיבים עליו, אולי זה עושה איסור ממש, ולא רק כשאחרים מחשיבים עליו.</w:t>
      </w:r>
    </w:p>
    <w:p w14:paraId="06EC5399" w14:textId="5410E17B" w:rsidR="009C52B4" w:rsidRPr="00C216C9" w:rsidRDefault="00406A4B" w:rsidP="009C52B4">
      <w:pPr>
        <w:pStyle w:val="ListParagraph"/>
        <w:numPr>
          <w:ilvl w:val="0"/>
          <w:numId w:val="3"/>
        </w:numPr>
        <w:rPr>
          <w:rFonts w:ascii="David" w:hAnsi="David" w:cs="David"/>
          <w:lang w:bidi="he-IL"/>
        </w:rPr>
      </w:pPr>
      <w:r w:rsidRPr="00C216C9">
        <w:rPr>
          <w:rFonts w:ascii="David" w:hAnsi="David" w:cs="David"/>
          <w:rtl/>
          <w:lang w:bidi="he-IL"/>
        </w:rPr>
        <w:t>לא רוצים שיעשה דבר שונה בצנעה מברבים, שאין זה מדה טובה.</w:t>
      </w:r>
    </w:p>
    <w:p w14:paraId="708037DE" w14:textId="4F3E5F52" w:rsidR="009C52B4" w:rsidRPr="00C216C9" w:rsidRDefault="009C52B4" w:rsidP="009C52B4">
      <w:pPr>
        <w:rPr>
          <w:rFonts w:ascii="David" w:hAnsi="David" w:cs="David"/>
          <w:rtl/>
          <w:lang w:bidi="he-IL"/>
        </w:rPr>
      </w:pPr>
      <w:r w:rsidRPr="00C216C9">
        <w:rPr>
          <w:rFonts w:ascii="David" w:hAnsi="David" w:cs="David"/>
          <w:rtl/>
          <w:lang w:bidi="he-IL"/>
        </w:rPr>
        <w:t>צריכים לבאר למה יש אומרים שאסור בצנעה, אבל לא אומרים שאסור כשיש דברים אחרים שעושה שאין הסיבה נוגעת עוד לאסור. נראה שהביאור הוא שכשהוא בצנעה, הוא אותו מעשה, ולא שינה פרטים חשובים של המעשה. לכן, הוא נאסר. (נגיד את זה במילים אחרים. כאן, נשאר מה שנוכל לומר שאילו היו אחרים רואים אותו, היו חושבים עליו לרע, והיה אסור. אבל, בשאר ציורים, אי אפשר לומר שאילו היה אותו פרט המתיר נשתנה היה אסור, שאז לא היה אותו דבר, אלא יהיה דבר אחר. אבל, כאן, אף בשינוי כמה הוא נראה, אינו מעשה אחר.)</w:t>
      </w:r>
    </w:p>
    <w:p w14:paraId="538E806B" w14:textId="55BACC45" w:rsidR="009C52B4" w:rsidRPr="00C216C9" w:rsidRDefault="009C52B4" w:rsidP="009C52B4">
      <w:pPr>
        <w:rPr>
          <w:rFonts w:ascii="David" w:hAnsi="David" w:cs="David"/>
          <w:rtl/>
          <w:lang w:bidi="he-IL"/>
        </w:rPr>
      </w:pPr>
      <w:r w:rsidRPr="00C216C9">
        <w:rPr>
          <w:rFonts w:ascii="David" w:hAnsi="David" w:cs="David"/>
          <w:rtl/>
          <w:lang w:bidi="he-IL"/>
        </w:rPr>
        <w:lastRenderedPageBreak/>
        <w:t xml:space="preserve">עיין </w:t>
      </w:r>
      <w:proofErr w:type="spellStart"/>
      <w:r w:rsidRPr="00C216C9">
        <w:rPr>
          <w:rFonts w:ascii="David" w:hAnsi="David" w:cs="David"/>
          <w:rtl/>
          <w:lang w:bidi="he-IL"/>
        </w:rPr>
        <w:t>בר"ן</w:t>
      </w:r>
      <w:proofErr w:type="spellEnd"/>
      <w:r w:rsidRPr="00C216C9">
        <w:rPr>
          <w:rFonts w:ascii="David" w:hAnsi="David" w:cs="David"/>
          <w:rtl/>
          <w:lang w:bidi="he-IL"/>
        </w:rPr>
        <w:t xml:space="preserve"> </w:t>
      </w:r>
      <w:proofErr w:type="spellStart"/>
      <w:r w:rsidRPr="00C216C9">
        <w:rPr>
          <w:rFonts w:ascii="David" w:hAnsi="David" w:cs="David"/>
          <w:rtl/>
          <w:lang w:bidi="he-IL"/>
        </w:rPr>
        <w:t>ורשב"א</w:t>
      </w:r>
      <w:proofErr w:type="spellEnd"/>
      <w:r w:rsidRPr="00C216C9">
        <w:rPr>
          <w:rFonts w:ascii="David" w:hAnsi="David" w:cs="David"/>
          <w:rtl/>
          <w:lang w:bidi="he-IL"/>
        </w:rPr>
        <w:t>, שמחלקים בין שני מיני גזירה. אומרים שבראשון רק אסור בפני בני אדם (אולי אינו בכל ציורים של ראשון, אלא באלו שאין לחוש לו, אלא רק לאחרים</w:t>
      </w:r>
      <w:r w:rsidR="00104F81" w:rsidRPr="00C216C9">
        <w:rPr>
          <w:rStyle w:val="FootnoteReference"/>
          <w:rFonts w:ascii="David" w:hAnsi="David" w:cs="David"/>
          <w:rtl/>
          <w:lang w:bidi="he-IL"/>
        </w:rPr>
        <w:footnoteReference w:id="1"/>
      </w:r>
      <w:r w:rsidRPr="00C216C9">
        <w:rPr>
          <w:rFonts w:ascii="David" w:hAnsi="David" w:cs="David"/>
          <w:rtl/>
          <w:lang w:bidi="he-IL"/>
        </w:rPr>
        <w:t>), אבל בשני אסור אפילו בצנעה.</w:t>
      </w:r>
      <w:r w:rsidR="001E2C89" w:rsidRPr="00C216C9">
        <w:rPr>
          <w:rFonts w:ascii="David" w:hAnsi="David" w:cs="David"/>
          <w:rtl/>
          <w:lang w:bidi="he-IL"/>
        </w:rPr>
        <w:t xml:space="preserve"> יש לדון למה נחלק. אפשר לומר שמה שמחשיבים אותו לרע יותר גדול בציור שני </w:t>
      </w:r>
      <w:proofErr w:type="spellStart"/>
      <w:r w:rsidR="001E2C89" w:rsidRPr="00C216C9">
        <w:rPr>
          <w:rFonts w:ascii="David" w:hAnsi="David" w:cs="David"/>
          <w:rtl/>
          <w:lang w:bidi="he-IL"/>
        </w:rPr>
        <w:t>מבציור</w:t>
      </w:r>
      <w:proofErr w:type="spellEnd"/>
      <w:r w:rsidR="001E2C89" w:rsidRPr="00C216C9">
        <w:rPr>
          <w:rFonts w:ascii="David" w:hAnsi="David" w:cs="David"/>
          <w:rtl/>
          <w:lang w:bidi="he-IL"/>
        </w:rPr>
        <w:t xml:space="preserve"> ראשון. </w:t>
      </w:r>
      <w:proofErr w:type="spellStart"/>
      <w:r w:rsidR="001E2C89" w:rsidRPr="00C216C9">
        <w:rPr>
          <w:rFonts w:ascii="David" w:hAnsi="David" w:cs="David"/>
          <w:rtl/>
          <w:lang w:bidi="he-IL"/>
        </w:rPr>
        <w:t>לכאו</w:t>
      </w:r>
      <w:proofErr w:type="spellEnd"/>
      <w:r w:rsidR="001E2C89" w:rsidRPr="00C216C9">
        <w:rPr>
          <w:rFonts w:ascii="David" w:hAnsi="David" w:cs="David"/>
          <w:rtl/>
          <w:lang w:bidi="he-IL"/>
        </w:rPr>
        <w:t>', הביאור הוא שעושה דבר שבהרגל בני אדם חושבים עליו להיות דבר אחר האסור. אבל, לא נוכל לומר שבהרגל חושבים עליו להיות אסור, שהיה להם ללמוד. אז, אין זה כל כך הסיבה למחשבה שלהם, וגם אין כל כך יחס בין זה למחשבה, שהם רק חושבים אותו מחמת טעות שלא מסתבר לטעות.</w:t>
      </w:r>
      <w:r w:rsidR="0092594D" w:rsidRPr="00C216C9">
        <w:rPr>
          <w:rFonts w:ascii="David" w:hAnsi="David" w:cs="David"/>
          <w:rtl/>
          <w:lang w:bidi="he-IL"/>
        </w:rPr>
        <w:t xml:space="preserve"> גם אפשר לומר שאין הרבה בני אדם טועים בראשון, ויותר בני אדם טועים בשני. אז, צריכים להחמיר בו יותר. גם אפשר שבשני, כיון שאדם יודע מה עושה, ויודע שאין בו שום איסור, יעשה אותו ברשות הרבים, וצריכים לגזור. אבל, בראשון, שמה שעושה קרוב לעבירה, אף העושה יכיר בזה, ולא יעשה אותו ברשות הרבים.</w:t>
      </w:r>
      <w:r w:rsidR="00A16145" w:rsidRPr="00C216C9">
        <w:rPr>
          <w:rFonts w:ascii="David" w:hAnsi="David" w:cs="David"/>
          <w:rtl/>
          <w:lang w:bidi="he-IL"/>
        </w:rPr>
        <w:t xml:space="preserve"> </w:t>
      </w:r>
      <w:proofErr w:type="spellStart"/>
      <w:r w:rsidR="00A16145" w:rsidRPr="00C216C9">
        <w:rPr>
          <w:rFonts w:ascii="David" w:hAnsi="David" w:cs="David"/>
          <w:rtl/>
          <w:lang w:bidi="he-IL"/>
        </w:rPr>
        <w:t>גי"ל</w:t>
      </w:r>
      <w:proofErr w:type="spellEnd"/>
      <w:r w:rsidR="00A16145" w:rsidRPr="00C216C9">
        <w:rPr>
          <w:rFonts w:ascii="David" w:hAnsi="David" w:cs="David"/>
          <w:rtl/>
          <w:lang w:bidi="he-IL"/>
        </w:rPr>
        <w:t xml:space="preserve"> שהשני הוא גזירה מחמת עצמו (שאולי ישכח פרטי הציור שבו עשה אותו), אבל אין לגזור כן כל כך בראשון (שזוכר אדם טעם ההיתר).</w:t>
      </w:r>
    </w:p>
    <w:p w14:paraId="53B10789" w14:textId="77777777" w:rsidR="00A16145" w:rsidRPr="00C216C9" w:rsidRDefault="00A16145" w:rsidP="00A16145">
      <w:pPr>
        <w:rPr>
          <w:rFonts w:ascii="David" w:hAnsi="David" w:cs="David"/>
          <w:rtl/>
          <w:lang w:bidi="he-IL"/>
        </w:rPr>
      </w:pPr>
    </w:p>
    <w:p w14:paraId="7B64B67A" w14:textId="77777777" w:rsidR="00406A4B" w:rsidRPr="00C216C9" w:rsidRDefault="00406A4B" w:rsidP="00406A4B">
      <w:pPr>
        <w:rPr>
          <w:rFonts w:ascii="David" w:hAnsi="David" w:cs="David"/>
          <w:lang w:bidi="he-IL"/>
        </w:rPr>
      </w:pPr>
    </w:p>
    <w:sectPr w:rsidR="00406A4B" w:rsidRPr="00C216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933E" w14:textId="77777777" w:rsidR="003213DF" w:rsidRDefault="003213DF" w:rsidP="00104F81">
      <w:pPr>
        <w:spacing w:before="0" w:after="0" w:line="240" w:lineRule="auto"/>
      </w:pPr>
      <w:r>
        <w:separator/>
      </w:r>
    </w:p>
  </w:endnote>
  <w:endnote w:type="continuationSeparator" w:id="0">
    <w:p w14:paraId="2F8B649D" w14:textId="77777777" w:rsidR="003213DF" w:rsidRDefault="003213DF" w:rsidP="00104F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AE25E" w14:textId="77777777" w:rsidR="003213DF" w:rsidRDefault="003213DF" w:rsidP="00104F81">
      <w:pPr>
        <w:spacing w:before="0" w:after="0" w:line="240" w:lineRule="auto"/>
      </w:pPr>
      <w:r>
        <w:separator/>
      </w:r>
    </w:p>
  </w:footnote>
  <w:footnote w:type="continuationSeparator" w:id="0">
    <w:p w14:paraId="092E1A9F" w14:textId="77777777" w:rsidR="003213DF" w:rsidRDefault="003213DF" w:rsidP="00104F81">
      <w:pPr>
        <w:spacing w:before="0" w:after="0" w:line="240" w:lineRule="auto"/>
      </w:pPr>
      <w:r>
        <w:continuationSeparator/>
      </w:r>
    </w:p>
  </w:footnote>
  <w:footnote w:id="1">
    <w:p w14:paraId="1EA04843" w14:textId="4533C872" w:rsidR="00104F81" w:rsidRDefault="00104F81" w:rsidP="00104F81">
      <w:pPr>
        <w:pStyle w:val="FootnoteText"/>
        <w:rPr>
          <w:rFonts w:hint="cs"/>
          <w:rtl/>
          <w:lang w:bidi="he-IL"/>
        </w:rPr>
      </w:pPr>
      <w:r>
        <w:rPr>
          <w:rStyle w:val="FootnoteReference"/>
        </w:rPr>
        <w:footnoteRef/>
      </w:r>
      <w:r>
        <w:t xml:space="preserve"> </w:t>
      </w:r>
      <w:r>
        <w:rPr>
          <w:rFonts w:hint="cs"/>
          <w:rtl/>
          <w:lang w:bidi="he-IL"/>
        </w:rPr>
        <w:t>יותר קל לחוש לאחרים, שיש הרבה בני אדם שרואים אותו, ומסתמא אחד מהם הוא עם הארץ. אבל, יש רק אחד הוא, ואין כל כך חשש שהוא לא יודע. במילים אחרים, אם נגיד שלכל אחד יש חמישים אחוז צד שלא יודע, אז אם רק הוא שם, יש רק חמישים אחוז צד של רע. אבל, אם יש הרבה בני אדם שם, יש קרוב למאה אחוז צד שאחד מהם לא יודע.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77F"/>
    <w:multiLevelType w:val="hybridMultilevel"/>
    <w:tmpl w:val="52282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600313"/>
    <w:multiLevelType w:val="hybridMultilevel"/>
    <w:tmpl w:val="5B88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857888"/>
    <w:multiLevelType w:val="hybridMultilevel"/>
    <w:tmpl w:val="7F4C2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449575">
    <w:abstractNumId w:val="1"/>
  </w:num>
  <w:num w:numId="2" w16cid:durableId="1860922922">
    <w:abstractNumId w:val="0"/>
  </w:num>
  <w:num w:numId="3" w16cid:durableId="1085954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B6"/>
    <w:rsid w:val="00104F81"/>
    <w:rsid w:val="001E2C89"/>
    <w:rsid w:val="003213DF"/>
    <w:rsid w:val="00406A4B"/>
    <w:rsid w:val="00480AB6"/>
    <w:rsid w:val="0092594D"/>
    <w:rsid w:val="009C52B4"/>
    <w:rsid w:val="00A12B5C"/>
    <w:rsid w:val="00A16145"/>
    <w:rsid w:val="00C216C9"/>
    <w:rsid w:val="00CF7315"/>
    <w:rsid w:val="00E143BF"/>
    <w:rsid w:val="00E35053"/>
    <w:rsid w:val="00E35A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5DE8"/>
  <w15:chartTrackingRefBased/>
  <w15:docId w15:val="{4158D6B9-9E2E-4B62-8AD0-D2629000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6C9"/>
    <w:pPr>
      <w:bidi/>
      <w:spacing w:before="40" w:after="40"/>
    </w:pPr>
  </w:style>
  <w:style w:type="paragraph" w:styleId="Heading1">
    <w:name w:val="heading 1"/>
    <w:basedOn w:val="Normal"/>
    <w:next w:val="Normal"/>
    <w:link w:val="Heading1Char"/>
    <w:uiPriority w:val="9"/>
    <w:qFormat/>
    <w:rsid w:val="00480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AB6"/>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AB6"/>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AB6"/>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AB6"/>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B6"/>
    <w:rPr>
      <w:rFonts w:eastAsiaTheme="majorEastAsia" w:cstheme="majorBidi"/>
      <w:color w:val="272727" w:themeColor="text1" w:themeTint="D8"/>
    </w:rPr>
  </w:style>
  <w:style w:type="paragraph" w:styleId="Title">
    <w:name w:val="Title"/>
    <w:basedOn w:val="Normal"/>
    <w:next w:val="Normal"/>
    <w:link w:val="TitleChar"/>
    <w:uiPriority w:val="10"/>
    <w:qFormat/>
    <w:rsid w:val="00480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B6"/>
    <w:pPr>
      <w:spacing w:before="160"/>
      <w:jc w:val="center"/>
    </w:pPr>
    <w:rPr>
      <w:i/>
      <w:iCs/>
      <w:color w:val="404040" w:themeColor="text1" w:themeTint="BF"/>
    </w:rPr>
  </w:style>
  <w:style w:type="character" w:customStyle="1" w:styleId="QuoteChar">
    <w:name w:val="Quote Char"/>
    <w:basedOn w:val="DefaultParagraphFont"/>
    <w:link w:val="Quote"/>
    <w:uiPriority w:val="29"/>
    <w:rsid w:val="00480AB6"/>
    <w:rPr>
      <w:i/>
      <w:iCs/>
      <w:color w:val="404040" w:themeColor="text1" w:themeTint="BF"/>
    </w:rPr>
  </w:style>
  <w:style w:type="paragraph" w:styleId="ListParagraph">
    <w:name w:val="List Paragraph"/>
    <w:basedOn w:val="Normal"/>
    <w:uiPriority w:val="34"/>
    <w:qFormat/>
    <w:rsid w:val="00C216C9"/>
    <w:pPr>
      <w:ind w:left="720"/>
    </w:pPr>
  </w:style>
  <w:style w:type="character" w:styleId="IntenseEmphasis">
    <w:name w:val="Intense Emphasis"/>
    <w:basedOn w:val="DefaultParagraphFont"/>
    <w:uiPriority w:val="21"/>
    <w:qFormat/>
    <w:rsid w:val="00480AB6"/>
    <w:rPr>
      <w:i/>
      <w:iCs/>
      <w:color w:val="0F4761" w:themeColor="accent1" w:themeShade="BF"/>
    </w:rPr>
  </w:style>
  <w:style w:type="paragraph" w:styleId="IntenseQuote">
    <w:name w:val="Intense Quote"/>
    <w:basedOn w:val="Normal"/>
    <w:next w:val="Normal"/>
    <w:link w:val="IntenseQuoteChar"/>
    <w:uiPriority w:val="30"/>
    <w:qFormat/>
    <w:rsid w:val="00480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AB6"/>
    <w:rPr>
      <w:i/>
      <w:iCs/>
      <w:color w:val="0F4761" w:themeColor="accent1" w:themeShade="BF"/>
    </w:rPr>
  </w:style>
  <w:style w:type="character" w:styleId="IntenseReference">
    <w:name w:val="Intense Reference"/>
    <w:basedOn w:val="DefaultParagraphFont"/>
    <w:uiPriority w:val="32"/>
    <w:qFormat/>
    <w:rsid w:val="00480AB6"/>
    <w:rPr>
      <w:b/>
      <w:bCs/>
      <w:smallCaps/>
      <w:color w:val="0F4761" w:themeColor="accent1" w:themeShade="BF"/>
      <w:spacing w:val="5"/>
    </w:rPr>
  </w:style>
  <w:style w:type="paragraph" w:styleId="FootnoteText">
    <w:name w:val="footnote text"/>
    <w:basedOn w:val="Normal"/>
    <w:link w:val="FootnoteTextChar"/>
    <w:uiPriority w:val="99"/>
    <w:semiHidden/>
    <w:unhideWhenUsed/>
    <w:rsid w:val="00104F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4F81"/>
    <w:rPr>
      <w:sz w:val="20"/>
      <w:szCs w:val="20"/>
    </w:rPr>
  </w:style>
  <w:style w:type="character" w:styleId="FootnoteReference">
    <w:name w:val="footnote reference"/>
    <w:basedOn w:val="DefaultParagraphFont"/>
    <w:uiPriority w:val="99"/>
    <w:semiHidden/>
    <w:unhideWhenUsed/>
    <w:rsid w:val="00104F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9</cp:revision>
  <dcterms:created xsi:type="dcterms:W3CDTF">2025-02-20T15:36:00Z</dcterms:created>
  <dcterms:modified xsi:type="dcterms:W3CDTF">2025-02-20T16:00:00Z</dcterms:modified>
</cp:coreProperties>
</file>