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D44D" w14:textId="2364D309" w:rsidR="00C11F83" w:rsidRDefault="00C11F83" w:rsidP="00C11F83">
      <w:pPr>
        <w:pStyle w:val="Heading1"/>
        <w:rPr>
          <w:rtl/>
          <w:lang w:bidi="he-IL"/>
        </w:rPr>
      </w:pPr>
      <w:r>
        <w:rPr>
          <w:rFonts w:hint="cs"/>
          <w:rtl/>
          <w:lang w:bidi="he-IL"/>
        </w:rPr>
        <w:t>פסוקים:</w:t>
      </w:r>
    </w:p>
    <w:p w14:paraId="4B7C98E9" w14:textId="0370FC93" w:rsidR="00C11F83" w:rsidRDefault="00C11F83" w:rsidP="00C11F83">
      <w:pPr>
        <w:rPr>
          <w:rtl/>
          <w:lang w:bidi="he-IL"/>
        </w:rPr>
      </w:pPr>
      <w:r>
        <w:rPr>
          <w:rFonts w:hint="cs"/>
          <w:rtl/>
          <w:lang w:bidi="he-IL"/>
        </w:rPr>
        <w:t>מצאנו שלש פסוקים שנוגעים לזה:</w:t>
      </w:r>
    </w:p>
    <w:p w14:paraId="3D6F76D6" w14:textId="70E5B21E" w:rsidR="00C11F83" w:rsidRDefault="00C11F83" w:rsidP="00C11F83">
      <w:pPr>
        <w:pStyle w:val="ListParagraph"/>
        <w:numPr>
          <w:ilvl w:val="0"/>
          <w:numId w:val="1"/>
        </w:numPr>
        <w:rPr>
          <w:lang w:bidi="he-IL"/>
        </w:rPr>
      </w:pPr>
      <w:r>
        <w:rPr>
          <w:rFonts w:hint="cs"/>
          <w:rtl/>
          <w:lang w:bidi="he-IL"/>
        </w:rPr>
        <w:t>"תשביתו שאור מבתיכם כי כל אוכל חמץ ונכרתה...."</w:t>
      </w:r>
    </w:p>
    <w:p w14:paraId="0E8431B8" w14:textId="3F4ACC2A" w:rsidR="00C11F83" w:rsidRDefault="00C11F83" w:rsidP="00C11F83">
      <w:pPr>
        <w:pStyle w:val="ListParagraph"/>
        <w:numPr>
          <w:ilvl w:val="0"/>
          <w:numId w:val="1"/>
        </w:numPr>
        <w:rPr>
          <w:lang w:bidi="he-IL"/>
        </w:rPr>
      </w:pPr>
      <w:r>
        <w:rPr>
          <w:rFonts w:hint="cs"/>
          <w:rtl/>
          <w:lang w:bidi="he-IL"/>
        </w:rPr>
        <w:t>"שאור לא ימצא בבתיכם כי כל אוכל מחמצת ונכרתה...."</w:t>
      </w:r>
    </w:p>
    <w:p w14:paraId="63E24FE5" w14:textId="5C36AB7B" w:rsidR="00C11F83" w:rsidRPr="00C11F83" w:rsidRDefault="00C11F83" w:rsidP="00C11F83">
      <w:pPr>
        <w:pStyle w:val="ListParagraph"/>
        <w:numPr>
          <w:ilvl w:val="0"/>
          <w:numId w:val="1"/>
        </w:numPr>
        <w:rPr>
          <w:rtl/>
          <w:lang w:bidi="he-IL"/>
        </w:rPr>
      </w:pPr>
      <w:r>
        <w:rPr>
          <w:rFonts w:hint="cs"/>
          <w:rtl/>
          <w:lang w:bidi="he-IL"/>
        </w:rPr>
        <w:t>"ולא יראה חמץ ולא יראה שאור...."</w:t>
      </w:r>
    </w:p>
    <w:p w14:paraId="344127C5" w14:textId="5FF0852F" w:rsidR="00C11F83" w:rsidRPr="00C11F83" w:rsidRDefault="00C11F83" w:rsidP="00C11F83">
      <w:pPr>
        <w:pStyle w:val="Heading1"/>
        <w:rPr>
          <w:rtl/>
          <w:lang w:bidi="he-IL"/>
        </w:rPr>
      </w:pPr>
      <w:r>
        <w:rPr>
          <w:rFonts w:hint="cs"/>
          <w:rtl/>
          <w:lang w:bidi="he-IL"/>
        </w:rPr>
        <w:t>גמרא:</w:t>
      </w:r>
      <w:r w:rsidR="00F64FBB">
        <w:rPr>
          <w:rStyle w:val="FootnoteReference"/>
          <w:rtl/>
          <w:lang w:bidi="he-IL"/>
        </w:rPr>
        <w:footnoteReference w:id="1"/>
      </w:r>
    </w:p>
    <w:p w14:paraId="5E93DC26" w14:textId="17FC61CC" w:rsidR="00A12B5C" w:rsidRDefault="00C11F83" w:rsidP="004E6FAF">
      <w:pPr>
        <w:rPr>
          <w:rtl/>
          <w:lang w:bidi="he-IL"/>
        </w:rPr>
      </w:pPr>
      <w:r w:rsidRPr="00C11F83">
        <w:rPr>
          <w:rtl/>
          <w:lang w:bidi="he-IL"/>
        </w:rPr>
        <w:t>בית שמאי אומרים שאור בכזית: מאי טעמייהו דב''ש</w:t>
      </w:r>
      <w:r w:rsidR="006E6FDC">
        <w:rPr>
          <w:rStyle w:val="FootnoteReference"/>
          <w:rtl/>
          <w:lang w:bidi="he-IL"/>
        </w:rPr>
        <w:footnoteReference w:id="2"/>
      </w:r>
      <w:r w:rsidRPr="00C11F83">
        <w:rPr>
          <w:rtl/>
          <w:lang w:bidi="he-IL"/>
        </w:rPr>
        <w:t xml:space="preserve"> א''כ לכתוב רחמנא חמץ ולא בעי שאור</w:t>
      </w:r>
      <w:r w:rsidR="00662181">
        <w:rPr>
          <w:rStyle w:val="FootnoteReference"/>
          <w:rtl/>
          <w:lang w:bidi="he-IL"/>
        </w:rPr>
        <w:footnoteReference w:id="3"/>
      </w:r>
      <w:r w:rsidRPr="00C11F83">
        <w:rPr>
          <w:rtl/>
          <w:lang w:bidi="he-IL"/>
        </w:rPr>
        <w:t xml:space="preserve"> ואנא אמינא ומה חמץ שאין חמוצו קשה בכזית שאור שחמוצו קשה</w:t>
      </w:r>
      <w:r>
        <w:rPr>
          <w:rStyle w:val="FootnoteReference"/>
          <w:rtl/>
          <w:lang w:bidi="he-IL"/>
        </w:rPr>
        <w:footnoteReference w:id="4"/>
      </w:r>
      <w:r w:rsidRPr="00C11F83">
        <w:rPr>
          <w:rtl/>
          <w:lang w:bidi="he-IL"/>
        </w:rPr>
        <w:t xml:space="preserve"> לא כל שכן</w:t>
      </w:r>
      <w:r w:rsidR="00CF1A07">
        <w:rPr>
          <w:rStyle w:val="FootnoteReference"/>
          <w:rtl/>
          <w:lang w:bidi="he-IL"/>
        </w:rPr>
        <w:footnoteReference w:id="5"/>
      </w:r>
      <w:r w:rsidR="000A4B41">
        <w:rPr>
          <w:rStyle w:val="FootnoteReference"/>
          <w:rtl/>
          <w:lang w:bidi="he-IL"/>
        </w:rPr>
        <w:footnoteReference w:id="6"/>
      </w:r>
      <w:r w:rsidRPr="00C11F83">
        <w:rPr>
          <w:rtl/>
          <w:lang w:bidi="he-IL"/>
        </w:rPr>
        <w:t xml:space="preserve"> שאור דכתב רחמנא למה לי לומר לך שיעורו של זה לא כשיעורו של זה</w:t>
      </w:r>
      <w:r w:rsidR="004E6FAF">
        <w:rPr>
          <w:rStyle w:val="FootnoteReference"/>
          <w:rtl/>
          <w:lang w:bidi="he-IL"/>
        </w:rPr>
        <w:footnoteReference w:id="7"/>
      </w:r>
      <w:r w:rsidR="00994030">
        <w:rPr>
          <w:rFonts w:hint="cs"/>
          <w:rtl/>
          <w:lang w:bidi="he-IL"/>
        </w:rPr>
        <w:t xml:space="preserve"> </w:t>
      </w:r>
      <w:r w:rsidRPr="00C11F83">
        <w:rPr>
          <w:rtl/>
          <w:lang w:bidi="he-IL"/>
        </w:rPr>
        <w:t xml:space="preserve">ובית הלל צריכי דאי כתב רחמנא שאור הוה אמינא משום דחמוצו קשה אבל חמץ דאין חמוצו קשה אימא לא צריכא ואי כתב רחמנא חמץ משום דראוי </w:t>
      </w:r>
      <w:r w:rsidRPr="00C11F83">
        <w:rPr>
          <w:rtl/>
          <w:lang w:bidi="he-IL"/>
        </w:rPr>
        <w:lastRenderedPageBreak/>
        <w:t>לאכילה אבל שאור שאין ראוי לאכילה</w:t>
      </w:r>
      <w:r w:rsidR="00F65EA5">
        <w:rPr>
          <w:rStyle w:val="FootnoteReference"/>
          <w:rtl/>
          <w:lang w:bidi="he-IL"/>
        </w:rPr>
        <w:footnoteReference w:id="8"/>
      </w:r>
      <w:r w:rsidRPr="00C11F83">
        <w:rPr>
          <w:rtl/>
          <w:lang w:bidi="he-IL"/>
        </w:rPr>
        <w:t xml:space="preserve"> אימא לא צריכא</w:t>
      </w:r>
      <w:r w:rsidR="00A5191F">
        <w:rPr>
          <w:rStyle w:val="FootnoteReference"/>
          <w:rtl/>
          <w:lang w:bidi="he-IL"/>
        </w:rPr>
        <w:footnoteReference w:id="9"/>
      </w:r>
      <w:r w:rsidRPr="00C11F83">
        <w:rPr>
          <w:rtl/>
          <w:lang w:bidi="he-IL"/>
        </w:rPr>
        <w:t xml:space="preserve"> ובית שמאי לית להו דרבי זירא דאמר רבי זירא פתח הכתוב בשאור וסיים בחמץ לומר לך זהו שאור זהו חמץ</w:t>
      </w:r>
      <w:r w:rsidR="009B375C">
        <w:rPr>
          <w:rStyle w:val="FootnoteReference"/>
          <w:rtl/>
          <w:lang w:bidi="he-IL"/>
        </w:rPr>
        <w:footnoteReference w:id="10"/>
      </w:r>
      <w:r w:rsidR="00CE5BD9">
        <w:rPr>
          <w:rStyle w:val="FootnoteReference"/>
          <w:rtl/>
          <w:lang w:bidi="he-IL"/>
        </w:rPr>
        <w:footnoteReference w:id="11"/>
      </w:r>
      <w:r w:rsidRPr="00C11F83">
        <w:rPr>
          <w:rtl/>
          <w:lang w:bidi="he-IL"/>
        </w:rPr>
        <w:t xml:space="preserve"> לענין אכילה כולי עלמא לא פליגי כי פליגי לענין ביעור בית שמאי סברי לא ילפינן ביעור מאכילה ובית הלל סברי ילפינן ביעור מאכילה</w:t>
      </w:r>
      <w:r w:rsidR="00652C11">
        <w:rPr>
          <w:rStyle w:val="FootnoteReference"/>
          <w:rtl/>
          <w:lang w:bidi="he-IL"/>
        </w:rPr>
        <w:footnoteReference w:id="12"/>
      </w:r>
      <w:r w:rsidR="009F5C46">
        <w:rPr>
          <w:rStyle w:val="FootnoteReference"/>
          <w:rtl/>
          <w:lang w:bidi="he-IL"/>
        </w:rPr>
        <w:footnoteReference w:id="13"/>
      </w:r>
      <w:r w:rsidR="00456987">
        <w:rPr>
          <w:rStyle w:val="FootnoteReference"/>
          <w:rtl/>
          <w:lang w:bidi="he-IL"/>
        </w:rPr>
        <w:footnoteReference w:id="14"/>
      </w:r>
      <w:r w:rsidRPr="00C11F83">
        <w:rPr>
          <w:rtl/>
          <w:lang w:bidi="he-IL"/>
        </w:rPr>
        <w:t xml:space="preserve"> אתמר נמי א''ר יוסי בר חנינא מחלוקת לענין ביעור אבל לענין אכילה דברי הכל זה וזה </w:t>
      </w:r>
      <w:r w:rsidRPr="00C11F83">
        <w:rPr>
          <w:rtl/>
          <w:lang w:bidi="he-IL"/>
        </w:rPr>
        <w:lastRenderedPageBreak/>
        <w:t xml:space="preserve">בכזית תניא נמי הכי </w:t>
      </w:r>
      <w:hyperlink r:id="rId7" w:anchor="bm:0000761-#שמות פרק-יג-{ז}!" w:history="1">
        <w:r w:rsidRPr="00C11F83">
          <w:rPr>
            <w:rStyle w:val="Hyperlink"/>
            <w:b/>
            <w:bCs/>
            <w:rtl/>
          </w:rPr>
          <w:t>{</w:t>
        </w:r>
        <w:r w:rsidRPr="00C11F83">
          <w:rPr>
            <w:rStyle w:val="Hyperlink"/>
            <w:b/>
            <w:bCs/>
            <w:rtl/>
            <w:lang w:bidi="he-IL"/>
          </w:rPr>
          <w:t>שמות יג-ז}</w:t>
        </w:r>
      </w:hyperlink>
      <w:r w:rsidRPr="00C11F83">
        <w:rPr>
          <w:rtl/>
          <w:lang w:bidi="he-IL"/>
        </w:rPr>
        <w:t xml:space="preserve"> ולא יראה לך (שאור) ולא יראה לך (חמץ)</w:t>
      </w:r>
      <w:r w:rsidR="009F444F">
        <w:rPr>
          <w:rStyle w:val="FootnoteReference"/>
          <w:rtl/>
          <w:lang w:bidi="he-IL"/>
        </w:rPr>
        <w:footnoteReference w:id="15"/>
      </w:r>
      <w:r w:rsidRPr="00C11F83">
        <w:rPr>
          <w:rtl/>
          <w:lang w:bidi="he-IL"/>
        </w:rPr>
        <w:t xml:space="preserve"> זהו מחלוקת שבין בית שמאי וב''ה שב''ש אומרים שאור בכזית וחמץ בככותבת וב''ה אומרים זה וזה בכזית:</w:t>
      </w:r>
    </w:p>
    <w:p w14:paraId="030CF14D" w14:textId="289F2481" w:rsidR="00C11F83" w:rsidRPr="00C11F83" w:rsidRDefault="00C11F83" w:rsidP="00C11F83">
      <w:pPr>
        <w:pStyle w:val="Heading1"/>
        <w:rPr>
          <w:b/>
          <w:bCs w:val="0"/>
          <w:rtl/>
          <w:lang w:bidi="he-IL"/>
        </w:rPr>
      </w:pPr>
      <w:r w:rsidRPr="00C11F83">
        <w:rPr>
          <w:rStyle w:val="Heading1Char"/>
          <w:rFonts w:hint="cs"/>
          <w:b/>
          <w:bCs/>
          <w:rtl/>
        </w:rPr>
        <w:t>רש</w:t>
      </w:r>
      <w:r w:rsidR="009F444F">
        <w:rPr>
          <w:rStyle w:val="Heading1Char"/>
          <w:rFonts w:hint="cs"/>
          <w:b/>
          <w:bCs/>
          <w:rtl/>
          <w:lang w:bidi="he-IL"/>
        </w:rPr>
        <w:t>"</w:t>
      </w:r>
      <w:r w:rsidRPr="00C11F83">
        <w:rPr>
          <w:rStyle w:val="Heading1Char"/>
          <w:rFonts w:hint="cs"/>
          <w:b/>
          <w:bCs/>
          <w:rtl/>
        </w:rPr>
        <w:t>י</w:t>
      </w:r>
      <w:r w:rsidRPr="00C11F83">
        <w:rPr>
          <w:rFonts w:hint="cs"/>
          <w:b/>
          <w:bCs w:val="0"/>
          <w:rtl/>
          <w:lang w:bidi="he-IL"/>
        </w:rPr>
        <w:t>:</w:t>
      </w:r>
      <w:r w:rsidR="00F64FBB">
        <w:rPr>
          <w:rStyle w:val="FootnoteReference"/>
          <w:b/>
          <w:bCs w:val="0"/>
          <w:rtl/>
          <w:lang w:bidi="he-IL"/>
        </w:rPr>
        <w:footnoteReference w:id="16"/>
      </w:r>
    </w:p>
    <w:p w14:paraId="20D5E4CA" w14:textId="77777777" w:rsidR="00D312B9" w:rsidRDefault="00C11F83" w:rsidP="00257EFF">
      <w:pPr>
        <w:spacing w:before="60" w:after="60"/>
        <w:rPr>
          <w:b/>
          <w:bCs/>
          <w:rtl/>
          <w:lang w:bidi="he-IL"/>
        </w:rPr>
      </w:pPr>
      <w:r w:rsidRPr="00C11F83">
        <w:rPr>
          <w:b/>
          <w:bCs/>
          <w:rtl/>
          <w:lang w:bidi="he-IL"/>
        </w:rPr>
        <w:t>אם כן</w:t>
      </w:r>
      <w:r w:rsidRPr="00C11F83">
        <w:rPr>
          <w:rtl/>
        </w:rPr>
        <w:t xml:space="preserve">. </w:t>
      </w:r>
      <w:r w:rsidRPr="00C11F83">
        <w:rPr>
          <w:rtl/>
          <w:lang w:bidi="he-IL"/>
        </w:rPr>
        <w:t>דחד שיעורא לתרוייהו:</w:t>
      </w:r>
      <w:r w:rsidRPr="00C11F83">
        <w:rPr>
          <w:b/>
          <w:bCs/>
          <w:rtl/>
          <w:lang w:bidi="he-IL"/>
        </w:rPr>
        <w:t xml:space="preserve"> </w:t>
      </w:r>
    </w:p>
    <w:p w14:paraId="27AD07CB" w14:textId="031DC2E8" w:rsidR="00D312B9" w:rsidRDefault="00C11F83" w:rsidP="00257EFF">
      <w:pPr>
        <w:spacing w:before="60" w:after="60"/>
        <w:rPr>
          <w:b/>
          <w:bCs/>
          <w:rtl/>
          <w:lang w:bidi="he-IL"/>
        </w:rPr>
      </w:pPr>
      <w:r w:rsidRPr="00C11F83">
        <w:rPr>
          <w:b/>
          <w:bCs/>
          <w:rtl/>
          <w:lang w:bidi="he-IL"/>
        </w:rPr>
        <w:t>שיעורו של זה כו'</w:t>
      </w:r>
      <w:r w:rsidRPr="00C11F83">
        <w:rPr>
          <w:rtl/>
        </w:rPr>
        <w:t xml:space="preserve">. </w:t>
      </w:r>
      <w:r w:rsidRPr="00C11F83">
        <w:rPr>
          <w:rtl/>
          <w:lang w:bidi="he-IL"/>
        </w:rPr>
        <w:t>להכי לא יליף שאור מחמץ משום דחמץ בככותבת דלא תימא דיו לבא מן הדין להיות כנדון</w:t>
      </w:r>
      <w:r w:rsidR="00E42744">
        <w:rPr>
          <w:rStyle w:val="FootnoteReference"/>
          <w:rtl/>
          <w:lang w:bidi="he-IL"/>
        </w:rPr>
        <w:footnoteReference w:id="17"/>
      </w:r>
      <w:r w:rsidRPr="00C11F83">
        <w:rPr>
          <w:rtl/>
          <w:lang w:bidi="he-IL"/>
        </w:rPr>
        <w:t xml:space="preserve"> ושאור נמי בככותבת להכי כתביה בהדיא לשעורי בשיעורא זוטא ושיעורא רבא</w:t>
      </w:r>
      <w:r w:rsidR="00F64FBB">
        <w:rPr>
          <w:rStyle w:val="FootnoteReference"/>
          <w:rtl/>
          <w:lang w:bidi="he-IL"/>
        </w:rPr>
        <w:footnoteReference w:id="18"/>
      </w:r>
      <w:r w:rsidRPr="00C11F83">
        <w:rPr>
          <w:rtl/>
          <w:lang w:bidi="he-IL"/>
        </w:rPr>
        <w:t xml:space="preserve"> ולהכי נקט כותבת דבהכי הוי יתובי דעתא</w:t>
      </w:r>
      <w:r w:rsidR="00523936">
        <w:rPr>
          <w:rStyle w:val="FootnoteReference"/>
          <w:rtl/>
          <w:lang w:bidi="he-IL"/>
        </w:rPr>
        <w:footnoteReference w:id="19"/>
      </w:r>
      <w:r w:rsidR="000D531B">
        <w:rPr>
          <w:rStyle w:val="FootnoteReference"/>
          <w:rtl/>
          <w:lang w:bidi="he-IL"/>
        </w:rPr>
        <w:footnoteReference w:id="20"/>
      </w:r>
      <w:r w:rsidRPr="00C11F83">
        <w:rPr>
          <w:rtl/>
          <w:lang w:bidi="he-IL"/>
        </w:rPr>
        <w:t xml:space="preserve"> כדמפרש טעמא ביומא (דף עט.) אי נמי שיעורין הלכה למשה מסיני</w:t>
      </w:r>
      <w:r w:rsidR="005F56FE">
        <w:rPr>
          <w:rStyle w:val="FootnoteReference"/>
          <w:rtl/>
          <w:lang w:bidi="he-IL"/>
        </w:rPr>
        <w:footnoteReference w:id="21"/>
      </w:r>
      <w:r w:rsidRPr="00C11F83">
        <w:rPr>
          <w:rtl/>
          <w:lang w:bidi="he-IL"/>
        </w:rPr>
        <w:t>:</w:t>
      </w:r>
      <w:r w:rsidRPr="00C11F83">
        <w:rPr>
          <w:b/>
          <w:bCs/>
          <w:rtl/>
          <w:lang w:bidi="he-IL"/>
        </w:rPr>
        <w:t xml:space="preserve"> </w:t>
      </w:r>
    </w:p>
    <w:p w14:paraId="030DC874" w14:textId="77777777" w:rsidR="00D312B9" w:rsidRDefault="00C11F83" w:rsidP="00257EFF">
      <w:pPr>
        <w:spacing w:before="60" w:after="60"/>
        <w:rPr>
          <w:b/>
          <w:bCs/>
          <w:rtl/>
          <w:lang w:bidi="he-IL"/>
        </w:rPr>
      </w:pPr>
      <w:r w:rsidRPr="00C11F83">
        <w:rPr>
          <w:b/>
          <w:bCs/>
          <w:rtl/>
          <w:lang w:bidi="he-IL"/>
        </w:rPr>
        <w:t>לית להו דרבי זירא</w:t>
      </w:r>
      <w:r w:rsidRPr="00C11F83">
        <w:rPr>
          <w:rtl/>
        </w:rPr>
        <w:t xml:space="preserve">. </w:t>
      </w:r>
      <w:r w:rsidRPr="00C11F83">
        <w:rPr>
          <w:rtl/>
          <w:lang w:bidi="he-IL"/>
        </w:rPr>
        <w:t>בתמיה והא קרא בהדיא כתיב:</w:t>
      </w:r>
      <w:r w:rsidRPr="00C11F83">
        <w:rPr>
          <w:b/>
          <w:bCs/>
          <w:rtl/>
          <w:lang w:bidi="he-IL"/>
        </w:rPr>
        <w:t xml:space="preserve"> </w:t>
      </w:r>
    </w:p>
    <w:p w14:paraId="37C6BB45" w14:textId="77777777" w:rsidR="00D312B9" w:rsidRDefault="00C11F83" w:rsidP="00257EFF">
      <w:pPr>
        <w:spacing w:before="60" w:after="60"/>
        <w:rPr>
          <w:b/>
          <w:bCs/>
          <w:rtl/>
          <w:lang w:bidi="he-IL"/>
        </w:rPr>
      </w:pPr>
      <w:r w:rsidRPr="00C11F83">
        <w:rPr>
          <w:b/>
          <w:bCs/>
          <w:rtl/>
          <w:lang w:bidi="he-IL"/>
        </w:rPr>
        <w:t>פתח הכתוב בשאור</w:t>
      </w:r>
      <w:r w:rsidRPr="00C11F83">
        <w:rPr>
          <w:rtl/>
        </w:rPr>
        <w:t xml:space="preserve">. </w:t>
      </w:r>
      <w:r w:rsidRPr="00C11F83">
        <w:rPr>
          <w:rtl/>
          <w:lang w:bidi="he-IL"/>
        </w:rPr>
        <w:t>שאור לא ימצא בבתיכם (שמות יב):</w:t>
      </w:r>
      <w:r w:rsidRPr="00C11F83">
        <w:rPr>
          <w:b/>
          <w:bCs/>
          <w:rtl/>
          <w:lang w:bidi="he-IL"/>
        </w:rPr>
        <w:t xml:space="preserve"> </w:t>
      </w:r>
    </w:p>
    <w:p w14:paraId="3A629657" w14:textId="6BFACF4E" w:rsidR="00D312B9" w:rsidRDefault="00C11F83" w:rsidP="00257EFF">
      <w:pPr>
        <w:spacing w:before="60" w:after="60"/>
        <w:rPr>
          <w:rtl/>
          <w:lang w:bidi="he-IL"/>
        </w:rPr>
      </w:pPr>
      <w:r w:rsidRPr="00C11F83">
        <w:rPr>
          <w:b/>
          <w:bCs/>
          <w:rtl/>
          <w:lang w:bidi="he-IL"/>
        </w:rPr>
        <w:t>וסיים בחמץ</w:t>
      </w:r>
      <w:r w:rsidRPr="00C11F83">
        <w:rPr>
          <w:rtl/>
        </w:rPr>
        <w:t xml:space="preserve">. </w:t>
      </w:r>
      <w:r w:rsidRPr="00C11F83">
        <w:rPr>
          <w:rtl/>
          <w:lang w:bidi="he-IL"/>
        </w:rPr>
        <w:t>כי כל אוכל [מחמצת]</w:t>
      </w:r>
      <w:r w:rsidR="009A14E7">
        <w:rPr>
          <w:rStyle w:val="FootnoteReference"/>
          <w:rtl/>
          <w:lang w:bidi="he-IL"/>
        </w:rPr>
        <w:footnoteReference w:id="22"/>
      </w:r>
      <w:r w:rsidRPr="00C11F83">
        <w:rPr>
          <w:rtl/>
          <w:lang w:bidi="he-IL"/>
        </w:rPr>
        <w:t xml:space="preserve"> והוה ליה למכתב כי כל אוכל שאור כו'</w:t>
      </w:r>
      <w:r w:rsidR="00674D50">
        <w:rPr>
          <w:rStyle w:val="FootnoteReference"/>
          <w:rtl/>
          <w:lang w:bidi="he-IL"/>
        </w:rPr>
        <w:footnoteReference w:id="23"/>
      </w:r>
      <w:r w:rsidRPr="00C11F83">
        <w:rPr>
          <w:rtl/>
          <w:lang w:bidi="he-IL"/>
        </w:rPr>
        <w:t xml:space="preserve"> דהא אתיא עונשו עם אזהרתו</w:t>
      </w:r>
      <w:r w:rsidR="00FE3E8B">
        <w:rPr>
          <w:rStyle w:val="FootnoteReference"/>
          <w:rtl/>
          <w:lang w:bidi="he-IL"/>
        </w:rPr>
        <w:footnoteReference w:id="24"/>
      </w:r>
      <w:r w:rsidR="00FE3E8B">
        <w:rPr>
          <w:rFonts w:hint="cs"/>
          <w:rtl/>
          <w:lang w:bidi="he-IL"/>
        </w:rPr>
        <w:t>:</w:t>
      </w:r>
      <w:r w:rsidRPr="00C11F83">
        <w:rPr>
          <w:rtl/>
          <w:lang w:bidi="he-IL"/>
        </w:rPr>
        <w:t xml:space="preserve"> </w:t>
      </w:r>
    </w:p>
    <w:p w14:paraId="6B8EDC0E" w14:textId="0A5F7021" w:rsidR="00D312B9" w:rsidRDefault="00C11F83" w:rsidP="00257EFF">
      <w:pPr>
        <w:spacing w:before="60" w:after="60"/>
        <w:rPr>
          <w:b/>
          <w:bCs/>
          <w:rtl/>
          <w:lang w:bidi="he-IL"/>
        </w:rPr>
      </w:pPr>
      <w:r w:rsidRPr="00D312B9">
        <w:rPr>
          <w:b/>
          <w:bCs/>
          <w:rtl/>
          <w:lang w:bidi="he-IL"/>
        </w:rPr>
        <w:t>זהו שאור וכו'</w:t>
      </w:r>
      <w:r w:rsidRPr="00C11F83">
        <w:rPr>
          <w:rtl/>
          <w:lang w:bidi="he-IL"/>
        </w:rPr>
        <w:t>. כזה כן זה</w:t>
      </w:r>
      <w:r w:rsidR="0079374C">
        <w:rPr>
          <w:rStyle w:val="FootnoteReference"/>
          <w:rtl/>
          <w:lang w:bidi="he-IL"/>
        </w:rPr>
        <w:footnoteReference w:id="25"/>
      </w:r>
      <w:r w:rsidRPr="00C11F83">
        <w:rPr>
          <w:rtl/>
          <w:lang w:bidi="he-IL"/>
        </w:rPr>
        <w:t>:</w:t>
      </w:r>
      <w:r w:rsidRPr="00C11F83">
        <w:rPr>
          <w:b/>
          <w:bCs/>
          <w:rtl/>
          <w:lang w:bidi="he-IL"/>
        </w:rPr>
        <w:t xml:space="preserve"> </w:t>
      </w:r>
    </w:p>
    <w:p w14:paraId="557702EC" w14:textId="77777777" w:rsidR="00D312B9" w:rsidRDefault="00C11F83" w:rsidP="00257EFF">
      <w:pPr>
        <w:spacing w:before="60" w:after="60"/>
        <w:rPr>
          <w:b/>
          <w:bCs/>
          <w:rtl/>
          <w:lang w:bidi="he-IL"/>
        </w:rPr>
      </w:pPr>
      <w:r w:rsidRPr="00C11F83">
        <w:rPr>
          <w:b/>
          <w:bCs/>
          <w:rtl/>
          <w:lang w:bidi="he-IL"/>
        </w:rPr>
        <w:t>לענין אכילה כולי עלמא לא פליגי</w:t>
      </w:r>
      <w:r w:rsidRPr="00C11F83">
        <w:rPr>
          <w:rtl/>
        </w:rPr>
        <w:t xml:space="preserve">. </w:t>
      </w:r>
      <w:r w:rsidRPr="00C11F83">
        <w:rPr>
          <w:rtl/>
          <w:lang w:bidi="he-IL"/>
        </w:rPr>
        <w:t>דאפילו ב''ש מודו דחמץ חייב בכזית כשאור באכילתו וכדר' זירא אבל לביעור לב''ש לא השוו מדאיצטריך קרא למכתבינהו לתרוייהו לא יראה לך חמץ ולא יראה לך שאור לא ילפינן למימר כי היכי דבאכילה השוה הכתוב אכילת חמץ לביעור שאור אף לביעורו השוה לו דמדאיצטריך למכתבינהו יש חלוק בשיעורן:</w:t>
      </w:r>
      <w:r w:rsidRPr="00C11F83">
        <w:rPr>
          <w:b/>
          <w:bCs/>
          <w:rtl/>
          <w:lang w:bidi="he-IL"/>
        </w:rPr>
        <w:t xml:space="preserve"> </w:t>
      </w:r>
    </w:p>
    <w:p w14:paraId="07D2A853" w14:textId="0415A872" w:rsidR="00C11F83" w:rsidRDefault="00C11F83" w:rsidP="00257EFF">
      <w:pPr>
        <w:spacing w:before="60"/>
        <w:rPr>
          <w:rtl/>
          <w:lang w:bidi="he-IL"/>
        </w:rPr>
      </w:pPr>
      <w:r w:rsidRPr="00C11F83">
        <w:rPr>
          <w:b/>
          <w:bCs/>
          <w:rtl/>
          <w:lang w:bidi="he-IL"/>
        </w:rPr>
        <w:lastRenderedPageBreak/>
        <w:t>תניא נמי הכי</w:t>
      </w:r>
      <w:r w:rsidRPr="00C11F83">
        <w:rPr>
          <w:rtl/>
        </w:rPr>
        <w:t xml:space="preserve">. </w:t>
      </w:r>
      <w:r w:rsidRPr="00C11F83">
        <w:rPr>
          <w:rtl/>
          <w:lang w:bidi="he-IL"/>
        </w:rPr>
        <w:t>דבביעור הוא דפליגי ולא באכילה</w:t>
      </w:r>
      <w:r w:rsidR="00DA3AE8">
        <w:rPr>
          <w:rStyle w:val="FootnoteReference"/>
          <w:rtl/>
          <w:lang w:bidi="he-IL"/>
        </w:rPr>
        <w:footnoteReference w:id="26"/>
      </w:r>
      <w:r w:rsidRPr="00C11F83">
        <w:rPr>
          <w:rtl/>
          <w:lang w:bidi="he-IL"/>
        </w:rPr>
        <w:t>:</w:t>
      </w:r>
    </w:p>
    <w:p w14:paraId="510B169B" w14:textId="77777777" w:rsidR="00C11F83" w:rsidRPr="00C11F83" w:rsidRDefault="00C11F83" w:rsidP="00C11F83">
      <w:pPr>
        <w:pStyle w:val="Heading1"/>
        <w:rPr>
          <w:b/>
          <w:bCs w:val="0"/>
          <w:rtl/>
          <w:lang w:bidi="he-IL"/>
        </w:rPr>
      </w:pPr>
      <w:r w:rsidRPr="00C11F83">
        <w:rPr>
          <w:rStyle w:val="Heading1Char"/>
          <w:rFonts w:hint="cs"/>
          <w:b/>
          <w:bCs/>
          <w:rtl/>
        </w:rPr>
        <w:t>תוס'</w:t>
      </w:r>
      <w:r w:rsidRPr="00C11F83">
        <w:rPr>
          <w:rFonts w:hint="cs"/>
          <w:b/>
          <w:bCs w:val="0"/>
          <w:rtl/>
          <w:lang w:bidi="he-IL"/>
        </w:rPr>
        <w:t>:</w:t>
      </w:r>
    </w:p>
    <w:p w14:paraId="210A4FA9" w14:textId="77777777" w:rsidR="00C4271D" w:rsidRDefault="00C11F83" w:rsidP="00C11F83">
      <w:pPr>
        <w:rPr>
          <w:rtl/>
          <w:lang w:bidi="he-IL"/>
        </w:rPr>
      </w:pPr>
      <w:r w:rsidRPr="00E42744">
        <w:rPr>
          <w:b/>
          <w:bCs/>
          <w:rtl/>
          <w:lang w:bidi="he-IL"/>
        </w:rPr>
        <w:t>לומר לך שיעורו של זה לא כשיעורו של זה</w:t>
      </w:r>
      <w:r w:rsidRPr="00C11F83">
        <w:rPr>
          <w:rtl/>
          <w:lang w:bidi="he-IL"/>
        </w:rPr>
        <w:t>. פירש רש''י דאי לא כתב שאור הייתי אומר דיו לבא מן הדין להיות כנדון ודוקא בככותבת וא''ת</w:t>
      </w:r>
      <w:r w:rsidR="00A51684">
        <w:rPr>
          <w:rStyle w:val="FootnoteReference"/>
          <w:rtl/>
          <w:lang w:bidi="he-IL"/>
        </w:rPr>
        <w:footnoteReference w:id="27"/>
      </w:r>
      <w:r w:rsidRPr="00C11F83">
        <w:rPr>
          <w:rtl/>
          <w:lang w:bidi="he-IL"/>
        </w:rPr>
        <w:t xml:space="preserve"> מנלן דשיעור חמץ בככותבת אימא כביצה או כשיעור אחר ופ''ה דהלכתא גמירי לה דהוי ככותבת ולא נהירא דא''כ קרא למה לי</w:t>
      </w:r>
      <w:r w:rsidR="00EA6664">
        <w:rPr>
          <w:rStyle w:val="FootnoteReference"/>
          <w:rtl/>
          <w:lang w:bidi="he-IL"/>
        </w:rPr>
        <w:footnoteReference w:id="28"/>
      </w:r>
      <w:r w:rsidRPr="00C11F83">
        <w:rPr>
          <w:rtl/>
          <w:lang w:bidi="he-IL"/>
        </w:rPr>
        <w:t xml:space="preserve"> ע''כ נראה פירוש (אחר) הואיל וידענא דשיעורו של זה לא כשיעורו של זה נוקים ליה שיעורו כדאשכחנא בעלמא גבי יום כפור (יומא דף עט. ושם) דהוי בככותבת: </w:t>
      </w:r>
    </w:p>
    <w:p w14:paraId="7CCED927" w14:textId="22B11467" w:rsidR="00C11F83" w:rsidRDefault="00C11F83" w:rsidP="00C11F83">
      <w:pPr>
        <w:rPr>
          <w:rtl/>
          <w:lang w:bidi="he-IL"/>
        </w:rPr>
      </w:pPr>
      <w:r w:rsidRPr="00AA1AF7">
        <w:rPr>
          <w:b/>
          <w:bCs/>
          <w:rtl/>
          <w:lang w:bidi="he-IL"/>
        </w:rPr>
        <w:t>דאמר רבי זירא פתח הכתוב בשאור וסיים בחמץ וכו' ובית הלל סברי ילפינן ביעור מאכילה</w:t>
      </w:r>
      <w:r w:rsidRPr="00C11F83">
        <w:rPr>
          <w:rtl/>
          <w:lang w:bidi="he-IL"/>
        </w:rPr>
        <w:t>. ואם תאמר למה ליה צריכותא דלעיל</w:t>
      </w:r>
      <w:r w:rsidR="00C4271D">
        <w:rPr>
          <w:rStyle w:val="FootnoteReference"/>
          <w:rtl/>
          <w:lang w:bidi="he-IL"/>
        </w:rPr>
        <w:footnoteReference w:id="29"/>
      </w:r>
      <w:r w:rsidRPr="00C11F83">
        <w:rPr>
          <w:rtl/>
          <w:lang w:bidi="he-IL"/>
        </w:rPr>
        <w:t xml:space="preserve"> הא ידענא שפיר [דחמץ] בכזית מהכא וי''ל שלא תטעה לומר הואיל וחלקן הכתוב בשני לאוין ולא יראה לך (. שאור) ולא יראה לך (. חמץ) ודאי אין שיעורן שוה דזה בככותבת וזה בכזית קמ''ל הצריכתות</w:t>
      </w:r>
      <w:r w:rsidR="00266E18">
        <w:rPr>
          <w:rStyle w:val="FootnoteReference"/>
          <w:rtl/>
          <w:lang w:bidi="he-IL"/>
        </w:rPr>
        <w:footnoteReference w:id="30"/>
      </w:r>
      <w:r w:rsidRPr="00C11F83">
        <w:rPr>
          <w:rtl/>
          <w:lang w:bidi="he-IL"/>
        </w:rPr>
        <w:t xml:space="preserve"> וא''ת הואיל ואית להו הצריכתות למה להו דר' זירא</w:t>
      </w:r>
      <w:r w:rsidR="00A25529">
        <w:rPr>
          <w:rStyle w:val="FootnoteReference"/>
          <w:rtl/>
          <w:lang w:bidi="he-IL"/>
        </w:rPr>
        <w:footnoteReference w:id="31"/>
      </w:r>
      <w:r w:rsidRPr="00C11F83">
        <w:rPr>
          <w:rtl/>
          <w:lang w:bidi="he-IL"/>
        </w:rPr>
        <w:t xml:space="preserve"> י''ל לא הייתי משים כרת אלא בחמץ דכתיב ביה כרת</w:t>
      </w:r>
      <w:r w:rsidR="009A47B1">
        <w:rPr>
          <w:rStyle w:val="FootnoteReference"/>
          <w:rtl/>
          <w:lang w:bidi="he-IL"/>
        </w:rPr>
        <w:footnoteReference w:id="32"/>
      </w:r>
      <w:r w:rsidRPr="00C11F83">
        <w:rPr>
          <w:rtl/>
          <w:lang w:bidi="he-IL"/>
        </w:rPr>
        <w:t xml:space="preserve">: </w:t>
      </w:r>
      <w:r w:rsidRPr="00C11F83">
        <w:rPr>
          <w:rtl/>
        </w:rPr>
        <w:t>(</w:t>
      </w:r>
      <w:r w:rsidRPr="00C11F83">
        <w:rPr>
          <w:rtl/>
          <w:lang w:bidi="he-IL"/>
        </w:rPr>
        <w:t>תוספות)</w:t>
      </w:r>
    </w:p>
    <w:p w14:paraId="4FEA45D7" w14:textId="495573D4" w:rsidR="00C11F83" w:rsidRDefault="00C11F83" w:rsidP="00C11F83">
      <w:pPr>
        <w:rPr>
          <w:rtl/>
          <w:lang w:bidi="he-IL"/>
        </w:rPr>
      </w:pPr>
    </w:p>
    <w:sectPr w:rsidR="00C11F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2FEB" w14:textId="77777777" w:rsidR="00FB0C9A" w:rsidRDefault="00FB0C9A" w:rsidP="00C11F83">
      <w:pPr>
        <w:spacing w:before="0" w:after="0" w:line="240" w:lineRule="auto"/>
      </w:pPr>
      <w:r>
        <w:separator/>
      </w:r>
    </w:p>
  </w:endnote>
  <w:endnote w:type="continuationSeparator" w:id="0">
    <w:p w14:paraId="25730371" w14:textId="77777777" w:rsidR="00FB0C9A" w:rsidRDefault="00FB0C9A" w:rsidP="00C11F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1D47" w14:textId="77777777" w:rsidR="00FB0C9A" w:rsidRDefault="00FB0C9A" w:rsidP="00C11F83">
      <w:pPr>
        <w:spacing w:before="0" w:after="0" w:line="240" w:lineRule="auto"/>
      </w:pPr>
      <w:r>
        <w:separator/>
      </w:r>
    </w:p>
  </w:footnote>
  <w:footnote w:type="continuationSeparator" w:id="0">
    <w:p w14:paraId="0854D78B" w14:textId="77777777" w:rsidR="00FB0C9A" w:rsidRDefault="00FB0C9A" w:rsidP="00C11F83">
      <w:pPr>
        <w:spacing w:before="0" w:after="0" w:line="240" w:lineRule="auto"/>
      </w:pPr>
      <w:r>
        <w:continuationSeparator/>
      </w:r>
    </w:p>
  </w:footnote>
  <w:footnote w:id="1">
    <w:p w14:paraId="29323E62" w14:textId="59659201" w:rsidR="00F64FBB" w:rsidRPr="00E27FDD" w:rsidRDefault="00F64FBB">
      <w:pPr>
        <w:pStyle w:val="FootnoteText"/>
        <w:rPr>
          <w:rFonts w:asciiTheme="majorBidi" w:hAnsiTheme="majorBidi" w:cstheme="majorBidi"/>
          <w:b/>
          <w:bCs/>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b/>
          <w:bCs/>
          <w:u w:val="single"/>
          <w:rtl/>
          <w:lang w:bidi="he-IL"/>
        </w:rPr>
        <w:t>גמרא:</w:t>
      </w:r>
    </w:p>
  </w:footnote>
  <w:footnote w:id="2">
    <w:p w14:paraId="10420849" w14:textId="5BEA0E87" w:rsidR="006E6FDC" w:rsidRPr="00E27FDD" w:rsidRDefault="006E6FDC" w:rsidP="006E6FDC">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לקמן, גמ' יפרש שחולקים רק בשיעור ביעור. אבל, עכשיו, לא מניחים כן. יש לדון מה מניחים – שחולקים רק בדין אכילה או שחולקים בשני הדינים</w:t>
      </w:r>
      <w:r w:rsidR="00053A98" w:rsidRPr="00E27FDD">
        <w:rPr>
          <w:rFonts w:asciiTheme="majorBidi" w:hAnsiTheme="majorBidi" w:cstheme="majorBidi"/>
          <w:rtl/>
          <w:lang w:bidi="he-IL"/>
        </w:rPr>
        <w:t xml:space="preserve"> (או מפני שיש מחלקת בפני עצמו בשניהם או מפני ששני הדינים תלויים)</w:t>
      </w:r>
      <w:r w:rsidRPr="00E27FDD">
        <w:rPr>
          <w:rFonts w:asciiTheme="majorBidi" w:hAnsiTheme="majorBidi" w:cstheme="majorBidi"/>
          <w:rtl/>
          <w:lang w:bidi="he-IL"/>
        </w:rPr>
        <w:t>. מטעם של בית שמאי נראה שחולקים בביעור, שהרי בית שמאי דו</w:t>
      </w:r>
      <w:r w:rsidR="009F444F" w:rsidRPr="00E27FDD">
        <w:rPr>
          <w:rFonts w:asciiTheme="majorBidi" w:hAnsiTheme="majorBidi" w:cstheme="majorBidi"/>
          <w:rtl/>
          <w:lang w:bidi="he-IL"/>
        </w:rPr>
        <w:t>רש”י</w:t>
      </w:r>
      <w:r w:rsidRPr="00E27FDD">
        <w:rPr>
          <w:rFonts w:asciiTheme="majorBidi" w:hAnsiTheme="majorBidi" w:cstheme="majorBidi"/>
          <w:rtl/>
          <w:lang w:bidi="he-IL"/>
        </w:rPr>
        <w:t>ם מפסוק מיותר; הרי, בוודאי יש פסוק מיותר בביעור. הדרך לדחות הוא לומר שאולי בביעור כיון שנאמרו על אותו הדין, הוקשו זה לזה להשוות את השיעור (ואז נאמר שטרח וכתב ליה קרא). אבל, בפסוקים של אכילה, לא הוקשו, ואז נוכל לחלק ביניהם. ותחשב.</w:t>
      </w:r>
      <w:r w:rsidR="0090359F" w:rsidRPr="00E27FDD">
        <w:rPr>
          <w:rFonts w:asciiTheme="majorBidi" w:hAnsiTheme="majorBidi" w:cstheme="majorBidi"/>
          <w:rtl/>
          <w:lang w:bidi="he-IL"/>
        </w:rPr>
        <w:t xml:space="preserve"> גם אפשר לבאר על פי מה שנכ' לקמן בס"ד לענין אין עונשים מן הדין.</w:t>
      </w:r>
      <w:r w:rsidR="007B4129" w:rsidRPr="00E27FDD">
        <w:rPr>
          <w:rFonts w:asciiTheme="majorBidi" w:hAnsiTheme="majorBidi" w:cstheme="majorBidi"/>
          <w:rtl/>
          <w:lang w:bidi="he-IL"/>
        </w:rPr>
        <w:t xml:space="preserve"> </w:t>
      </w:r>
    </w:p>
  </w:footnote>
  <w:footnote w:id="3">
    <w:p w14:paraId="602FAA5B" w14:textId="496E8C3D" w:rsidR="00662181" w:rsidRPr="00E27FDD" w:rsidRDefault="00662181">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 xml:space="preserve">צריך ביאור מה היה לו לכתוב. יש שני פסוקים שמדברים באכילה, כמו שכתבנו, ויש, בין הכל, שלשה פסוקים שמדברים בביעור. פשוט איך יש פסוק מיותר בענין ביעור, אבל לא פשוט מהו הייתור לענין אכילה. אפשר לומר שלא היה לו להוסיף מילת שאור בתחילת הפסוק, שהיה לו לומר אותו סתם, ויהיה פשוט שנאמר על חמץ. גם אפשר לומר שלא היה לו לומר שאור שם, אלא היה לו לומר חמץ שם, כדי שיהיה שווה. </w:t>
      </w:r>
    </w:p>
  </w:footnote>
  <w:footnote w:id="4">
    <w:p w14:paraId="012F0C3D" w14:textId="76FE1AAE" w:rsidR="00C11F83" w:rsidRPr="00E27FDD" w:rsidRDefault="00C11F83">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 xml:space="preserve">הגמ' אומר שיש יותר סיבה לאסור שאור מלאסור ביצה כיון שחימוץ של שאור יותר חזק מחימוץ של ביצה. (יש לדון אם זה רק מפני שהוא יותר נחמץ או שהוא מפני שיש בו כוח להחמיץ לאחרים.) </w:t>
      </w:r>
      <w:r w:rsidR="00517E9F" w:rsidRPr="00E27FDD">
        <w:rPr>
          <w:rFonts w:asciiTheme="majorBidi" w:hAnsiTheme="majorBidi" w:cstheme="majorBidi"/>
          <w:rtl/>
          <w:lang w:bidi="he-IL"/>
        </w:rPr>
        <w:t>הסיבה שזה יגרום יותר חומר הוא שאותו פרט שעושה חמץ רע בפסח הוא מה שהוא חמץ – מה שנחמץ. אז, מסתבר שמה שיותר נחמץ יהיה יותר גרוע.</w:t>
      </w:r>
    </w:p>
  </w:footnote>
  <w:footnote w:id="5">
    <w:p w14:paraId="55DEF99D" w14:textId="5A213DDE" w:rsidR="00CF1A07" w:rsidRPr="00E27FDD" w:rsidRDefault="00CF1A07">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מעניין שמשתמשים בכל שכן. הייתי חושב שאינו כל שכן, אלא שהוא בכלל חמץ. חמץ הוא כל דבר הנחמץ, ולא יגרע מזה שאור מחמת שהוא יותר נחמץ. (יש להעיר שאולי יש לדון בזה אף אחרי ששניהם נזכרים ואולי אף אחרי שלשניהם יש דין שונה.)</w:t>
      </w:r>
      <w:r w:rsidR="00256B20" w:rsidRPr="00E27FDD">
        <w:rPr>
          <w:rFonts w:asciiTheme="majorBidi" w:hAnsiTheme="majorBidi" w:cstheme="majorBidi"/>
          <w:rtl/>
          <w:lang w:bidi="he-IL"/>
        </w:rPr>
        <w:t xml:space="preserve"> אבל, מלשון הגמ' לא משמע כן, אלא משמע שאינם דבר אחד, אלא שלומדים קל וחומר.</w:t>
      </w:r>
    </w:p>
  </w:footnote>
  <w:footnote w:id="6">
    <w:p w14:paraId="7FEE6836" w14:textId="34CCBFA3" w:rsidR="000A4B41" w:rsidRPr="00E27FDD" w:rsidRDefault="000A4B41">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קצת קשה, שנמצא שמזהירים מן הדין, ועונשים מזה כרת.</w:t>
      </w:r>
      <w:r w:rsidR="00CE600F" w:rsidRPr="00E27FDD">
        <w:rPr>
          <w:rFonts w:asciiTheme="majorBidi" w:hAnsiTheme="majorBidi" w:cstheme="majorBidi"/>
          <w:rtl/>
          <w:lang w:bidi="he-IL"/>
        </w:rPr>
        <w:t xml:space="preserve"> צריך לומר שזה רק גילוי מילתא לומר שהוא נחשב </w:t>
      </w:r>
      <w:r w:rsidR="00682E58" w:rsidRPr="00E27FDD">
        <w:rPr>
          <w:rFonts w:asciiTheme="majorBidi" w:hAnsiTheme="majorBidi" w:cstheme="majorBidi"/>
          <w:rtl/>
          <w:lang w:bidi="he-IL"/>
        </w:rPr>
        <w:t>בתוך אותו הכלל, והם דבר אחד.</w:t>
      </w:r>
      <w:r w:rsidR="002D4A88" w:rsidRPr="00E27FDD">
        <w:rPr>
          <w:rFonts w:asciiTheme="majorBidi" w:hAnsiTheme="majorBidi" w:cstheme="majorBidi"/>
          <w:rtl/>
          <w:lang w:bidi="he-IL"/>
        </w:rPr>
        <w:t xml:space="preserve"> אם נאמר שרק דנים באכילה (או, כמו שיאמר גמ' לקמן, שרק דנים בביעור) יכולים לומר שכיון שכתוב בביעור כבר, יודעים מסברה שיש בו דין אכילה.</w:t>
      </w:r>
      <w:r w:rsidR="007B4129" w:rsidRPr="00E27FDD">
        <w:rPr>
          <w:rFonts w:asciiTheme="majorBidi" w:hAnsiTheme="majorBidi" w:cstheme="majorBidi"/>
          <w:rtl/>
          <w:lang w:bidi="he-IL"/>
        </w:rPr>
        <w:t xml:space="preserve"> (אבל, יש לדון איך נדע איזה נכתב לחדש הדין ואיזה נכתב לדרשת בית שמאי.)</w:t>
      </w:r>
    </w:p>
  </w:footnote>
  <w:footnote w:id="7">
    <w:p w14:paraId="2409D4D4" w14:textId="42549820" w:rsidR="004E6FAF" w:rsidRPr="00E27FDD" w:rsidRDefault="004E6FAF">
      <w:pPr>
        <w:pStyle w:val="FootnoteText"/>
        <w:rPr>
          <w:rFonts w:asciiTheme="majorBidi" w:hAnsiTheme="majorBidi" w:cstheme="majorBidi"/>
          <w:rtl/>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יש להעיר שלא לומדים מזה מיעוט בשיעור שאור, אלא ריבוי בשיעור חמץ.</w:t>
      </w:r>
      <w:r w:rsidR="007E0A74" w:rsidRPr="00E27FDD">
        <w:rPr>
          <w:rFonts w:asciiTheme="majorBidi" w:hAnsiTheme="majorBidi" w:cstheme="majorBidi"/>
          <w:rtl/>
          <w:lang w:bidi="he-IL"/>
        </w:rPr>
        <w:t xml:space="preserve"> יש להקשות על זה שתי קושיות:</w:t>
      </w:r>
    </w:p>
    <w:p w14:paraId="7E80DD38" w14:textId="49E6BF05" w:rsidR="007E0A74" w:rsidRPr="00E27FDD" w:rsidRDefault="007E0A74" w:rsidP="007E0A74">
      <w:pPr>
        <w:pStyle w:val="FootnoteText"/>
        <w:numPr>
          <w:ilvl w:val="0"/>
          <w:numId w:val="2"/>
        </w:numPr>
        <w:rPr>
          <w:rFonts w:asciiTheme="majorBidi" w:hAnsiTheme="majorBidi" w:cstheme="majorBidi"/>
          <w:lang w:bidi="he-IL"/>
        </w:rPr>
      </w:pPr>
      <w:r w:rsidRPr="00E27FDD">
        <w:rPr>
          <w:rFonts w:asciiTheme="majorBidi" w:hAnsiTheme="majorBidi" w:cstheme="majorBidi"/>
          <w:rtl/>
          <w:lang w:bidi="he-IL"/>
        </w:rPr>
        <w:t xml:space="preserve">למה נניח כן. הרי, כפול מילת שאור, ונאמר שמלמד דין שאור, ולא דין חמץ. </w:t>
      </w:r>
      <w:r w:rsidR="004C7135" w:rsidRPr="00E27FDD">
        <w:rPr>
          <w:rFonts w:asciiTheme="majorBidi" w:hAnsiTheme="majorBidi" w:cstheme="majorBidi"/>
          <w:rtl/>
          <w:lang w:bidi="he-IL"/>
        </w:rPr>
        <w:t>יותר מזה, בדרך כלל, דו</w:t>
      </w:r>
      <w:r w:rsidR="009F444F" w:rsidRPr="00E27FDD">
        <w:rPr>
          <w:rFonts w:asciiTheme="majorBidi" w:hAnsiTheme="majorBidi" w:cstheme="majorBidi"/>
          <w:rtl/>
          <w:lang w:bidi="he-IL"/>
        </w:rPr>
        <w:t>רש”י</w:t>
      </w:r>
      <w:r w:rsidR="004C7135" w:rsidRPr="00E27FDD">
        <w:rPr>
          <w:rFonts w:asciiTheme="majorBidi" w:hAnsiTheme="majorBidi" w:cstheme="majorBidi"/>
          <w:rtl/>
          <w:lang w:bidi="he-IL"/>
        </w:rPr>
        <w:t xml:space="preserve">ם לחומרא, ואף כאן נחמיר מחמת הדרשה. </w:t>
      </w:r>
      <w:r w:rsidRPr="00E27FDD">
        <w:rPr>
          <w:rFonts w:asciiTheme="majorBidi" w:hAnsiTheme="majorBidi" w:cstheme="majorBidi"/>
          <w:rtl/>
          <w:lang w:bidi="he-IL"/>
        </w:rPr>
        <w:t>על זה נראה שיש שני תירוצים:</w:t>
      </w:r>
    </w:p>
    <w:p w14:paraId="56C7AA3D" w14:textId="238939F6" w:rsidR="007E0A74" w:rsidRPr="00E27FDD" w:rsidRDefault="007E0A74" w:rsidP="007E0A74">
      <w:pPr>
        <w:pStyle w:val="FootnoteText"/>
        <w:numPr>
          <w:ilvl w:val="1"/>
          <w:numId w:val="2"/>
        </w:numPr>
        <w:rPr>
          <w:rFonts w:asciiTheme="majorBidi" w:hAnsiTheme="majorBidi" w:cstheme="majorBidi"/>
          <w:lang w:bidi="he-IL"/>
        </w:rPr>
      </w:pPr>
      <w:r w:rsidRPr="00E27FDD">
        <w:rPr>
          <w:rFonts w:asciiTheme="majorBidi" w:hAnsiTheme="majorBidi" w:cstheme="majorBidi"/>
          <w:rtl/>
          <w:lang w:bidi="he-IL"/>
        </w:rPr>
        <w:t>אולי לא מסתבר שממעט שיעור שאור, שמסתמא נמעט אותו להיות כל שהוא. (יש לדון בזה, שאולי יהיה כשעורה, כמו שמצאנו עצם כשעורה, אבל דחוק.) הרי, אם זה נוגע גם לביעור, קשה איך יהיה שיעור שלו כל שהוא, שלא ניתנה תורה למלאכי השרת. אבל, יש להעיר, זה רק אם דנים בשיעור אכילה ובשיעור ביעור.</w:t>
      </w:r>
    </w:p>
    <w:p w14:paraId="16D3E4F3" w14:textId="6F5CC2A3" w:rsidR="007E0A74" w:rsidRPr="00E27FDD" w:rsidRDefault="007E0A74" w:rsidP="007E0A74">
      <w:pPr>
        <w:pStyle w:val="FootnoteText"/>
        <w:numPr>
          <w:ilvl w:val="1"/>
          <w:numId w:val="2"/>
        </w:numPr>
        <w:rPr>
          <w:rFonts w:asciiTheme="majorBidi" w:hAnsiTheme="majorBidi" w:cstheme="majorBidi"/>
          <w:lang w:bidi="he-IL"/>
        </w:rPr>
      </w:pPr>
      <w:r w:rsidRPr="00E27FDD">
        <w:rPr>
          <w:rFonts w:asciiTheme="majorBidi" w:hAnsiTheme="majorBidi" w:cstheme="majorBidi"/>
          <w:rtl/>
          <w:lang w:bidi="he-IL"/>
        </w:rPr>
        <w:t>אולי לא מסתבר שממעט שיעור שאור, שלא מסתבר לנקוט שיעור של כל שהוא או שיעור אחר הפחות מכזית. שיעור כותבת ושיעור כזית הם שיעורים שמסתברים, ואז יוצא לנו דין מסתבר. אבל, שיעור פחות מכזית לא מסתבר לגמ'.</w:t>
      </w:r>
    </w:p>
    <w:p w14:paraId="39F1E367" w14:textId="4EF0C58C" w:rsidR="004C7135" w:rsidRPr="00E27FDD" w:rsidRDefault="004C7135" w:rsidP="004C7135">
      <w:pPr>
        <w:pStyle w:val="FootnoteText"/>
        <w:numPr>
          <w:ilvl w:val="0"/>
          <w:numId w:val="2"/>
        </w:numPr>
        <w:rPr>
          <w:rFonts w:asciiTheme="majorBidi" w:hAnsiTheme="majorBidi" w:cstheme="majorBidi"/>
          <w:lang w:bidi="he-IL"/>
        </w:rPr>
      </w:pPr>
      <w:r w:rsidRPr="00E27FDD">
        <w:rPr>
          <w:rFonts w:asciiTheme="majorBidi" w:hAnsiTheme="majorBidi" w:cstheme="majorBidi"/>
          <w:rtl/>
          <w:lang w:bidi="he-IL"/>
        </w:rPr>
        <w:t>איך מלמד כן. הרי, מה שכופל הוא מילת שאור, ומלמד לנו דין חמץ. נראה שיש שלש</w:t>
      </w:r>
      <w:r w:rsidR="00B675DC" w:rsidRPr="00E27FDD">
        <w:rPr>
          <w:rFonts w:asciiTheme="majorBidi" w:hAnsiTheme="majorBidi" w:cstheme="majorBidi"/>
          <w:rtl/>
          <w:lang w:bidi="he-IL"/>
        </w:rPr>
        <w:t>ה</w:t>
      </w:r>
      <w:r w:rsidRPr="00E27FDD">
        <w:rPr>
          <w:rFonts w:asciiTheme="majorBidi" w:hAnsiTheme="majorBidi" w:cstheme="majorBidi"/>
          <w:rtl/>
          <w:lang w:bidi="he-IL"/>
        </w:rPr>
        <w:t xml:space="preserve"> מהלכים לזה:</w:t>
      </w:r>
    </w:p>
    <w:p w14:paraId="730B8584" w14:textId="5599EEF3" w:rsidR="004C7135" w:rsidRPr="00E27FDD" w:rsidRDefault="00B675DC" w:rsidP="004C7135">
      <w:pPr>
        <w:pStyle w:val="FootnoteText"/>
        <w:numPr>
          <w:ilvl w:val="1"/>
          <w:numId w:val="2"/>
        </w:numPr>
        <w:rPr>
          <w:rFonts w:asciiTheme="majorBidi" w:hAnsiTheme="majorBidi" w:cstheme="majorBidi"/>
          <w:lang w:bidi="he-IL"/>
        </w:rPr>
      </w:pPr>
      <w:r w:rsidRPr="00E27FDD">
        <w:rPr>
          <w:rFonts w:asciiTheme="majorBidi" w:hAnsiTheme="majorBidi" w:cstheme="majorBidi"/>
          <w:rtl/>
          <w:lang w:bidi="he-IL"/>
        </w:rPr>
        <w:t>הרי, דין שאור מלמד. דין שאור הוא ששיעור שלו קטן משיעור חמץ. קצת דחוק לומר כן, שבדרך כלל, לא מבארים שיעור על פי מה הוא כנגד שיעורים אחרים.</w:t>
      </w:r>
    </w:p>
    <w:p w14:paraId="3808896D" w14:textId="471585AA" w:rsidR="00B675DC" w:rsidRPr="00E27FDD" w:rsidRDefault="00B675DC" w:rsidP="004C7135">
      <w:pPr>
        <w:pStyle w:val="FootnoteText"/>
        <w:numPr>
          <w:ilvl w:val="1"/>
          <w:numId w:val="2"/>
        </w:numPr>
        <w:rPr>
          <w:rFonts w:asciiTheme="majorBidi" w:hAnsiTheme="majorBidi" w:cstheme="majorBidi"/>
          <w:lang w:bidi="he-IL"/>
        </w:rPr>
      </w:pPr>
      <w:r w:rsidRPr="00E27FDD">
        <w:rPr>
          <w:rFonts w:asciiTheme="majorBidi" w:hAnsiTheme="majorBidi" w:cstheme="majorBidi"/>
          <w:rtl/>
          <w:lang w:bidi="he-IL"/>
        </w:rPr>
        <w:t>מלמד לנו שצריך לכתוב מילת שאור. מלמד לנו שדין שאור לא יכול להיות למד מדין חמץ, אף שיש קו"ח. זה צריך להיות מפני שאומרים דיו, וזה מפני ששיעור חמץ יותר גדול משיעור שאור.</w:t>
      </w:r>
      <w:r w:rsidR="00994030" w:rsidRPr="00E27FDD">
        <w:rPr>
          <w:rFonts w:asciiTheme="majorBidi" w:hAnsiTheme="majorBidi" w:cstheme="majorBidi"/>
          <w:rtl/>
          <w:lang w:bidi="he-IL"/>
        </w:rPr>
        <w:t xml:space="preserve"> עיין במה שנכתב בס"ד על </w:t>
      </w:r>
      <w:r w:rsidR="009F444F" w:rsidRPr="00E27FDD">
        <w:rPr>
          <w:rFonts w:asciiTheme="majorBidi" w:hAnsiTheme="majorBidi" w:cstheme="majorBidi"/>
          <w:rtl/>
          <w:lang w:bidi="he-IL"/>
        </w:rPr>
        <w:t>רש”י</w:t>
      </w:r>
      <w:r w:rsidR="00994030" w:rsidRPr="00E27FDD">
        <w:rPr>
          <w:rFonts w:asciiTheme="majorBidi" w:hAnsiTheme="majorBidi" w:cstheme="majorBidi"/>
          <w:rtl/>
          <w:lang w:bidi="he-IL"/>
        </w:rPr>
        <w:t xml:space="preserve">, שבע"ה נפרש </w:t>
      </w:r>
      <w:r w:rsidR="009F444F" w:rsidRPr="00E27FDD">
        <w:rPr>
          <w:rFonts w:asciiTheme="majorBidi" w:hAnsiTheme="majorBidi" w:cstheme="majorBidi"/>
          <w:rtl/>
          <w:lang w:bidi="he-IL"/>
        </w:rPr>
        <w:t>רש”י</w:t>
      </w:r>
      <w:r w:rsidR="00994030" w:rsidRPr="00E27FDD">
        <w:rPr>
          <w:rFonts w:asciiTheme="majorBidi" w:hAnsiTheme="majorBidi" w:cstheme="majorBidi"/>
          <w:rtl/>
          <w:lang w:bidi="he-IL"/>
        </w:rPr>
        <w:t xml:space="preserve"> עי"ז.</w:t>
      </w:r>
    </w:p>
    <w:p w14:paraId="3CB84E97" w14:textId="70F38714" w:rsidR="00B675DC" w:rsidRPr="00E27FDD" w:rsidRDefault="00B675DC" w:rsidP="004C7135">
      <w:pPr>
        <w:pStyle w:val="FootnoteText"/>
        <w:numPr>
          <w:ilvl w:val="1"/>
          <w:numId w:val="2"/>
        </w:numPr>
        <w:rPr>
          <w:rFonts w:asciiTheme="majorBidi" w:hAnsiTheme="majorBidi" w:cstheme="majorBidi"/>
          <w:lang w:bidi="he-IL"/>
        </w:rPr>
      </w:pPr>
      <w:r w:rsidRPr="00E27FDD">
        <w:rPr>
          <w:rFonts w:asciiTheme="majorBidi" w:hAnsiTheme="majorBidi" w:cstheme="majorBidi"/>
          <w:rtl/>
          <w:lang w:bidi="he-IL"/>
        </w:rPr>
        <w:t>אין הכי נמי, אינו מלמד לנו שיעור שאור, והוא כעין "אם אינו ענין." כיון ששאור וחמץ דומים, וגם שחמץ קרוב בפסוק, וגם שהוא קצת דין שאור, יכולים לדרוש אותו מכפל מילת שאור.</w:t>
      </w:r>
    </w:p>
  </w:footnote>
  <w:footnote w:id="8">
    <w:p w14:paraId="1298047F" w14:textId="6B9C3935" w:rsidR="00F65EA5" w:rsidRPr="00E27FDD" w:rsidRDefault="00F65EA5">
      <w:pPr>
        <w:pStyle w:val="FootnoteText"/>
        <w:rPr>
          <w:rFonts w:asciiTheme="majorBidi" w:hAnsiTheme="majorBidi" w:cstheme="majorBidi"/>
          <w:rtl/>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 xml:space="preserve">צריכים לבאר למה מה שהוא ראוי לאכילה עושה שיותר מסתבר לאסור אותו. </w:t>
      </w:r>
      <w:r w:rsidR="00813EFF" w:rsidRPr="00E27FDD">
        <w:rPr>
          <w:rFonts w:asciiTheme="majorBidi" w:hAnsiTheme="majorBidi" w:cstheme="majorBidi"/>
          <w:rtl/>
          <w:lang w:bidi="he-IL"/>
        </w:rPr>
        <w:t>נצטרך לבאר את זה בשני הענינים:</w:t>
      </w:r>
    </w:p>
    <w:p w14:paraId="6B429D26" w14:textId="592ECB71" w:rsidR="00813EFF" w:rsidRPr="00E27FDD" w:rsidRDefault="00813EFF" w:rsidP="00813EFF">
      <w:pPr>
        <w:pStyle w:val="FootnoteText"/>
        <w:numPr>
          <w:ilvl w:val="0"/>
          <w:numId w:val="3"/>
        </w:numPr>
        <w:rPr>
          <w:rFonts w:asciiTheme="majorBidi" w:hAnsiTheme="majorBidi" w:cstheme="majorBidi"/>
          <w:lang w:bidi="he-IL"/>
        </w:rPr>
      </w:pPr>
      <w:r w:rsidRPr="00E27FDD">
        <w:rPr>
          <w:rFonts w:asciiTheme="majorBidi" w:hAnsiTheme="majorBidi" w:cstheme="majorBidi"/>
          <w:rtl/>
          <w:lang w:bidi="he-IL"/>
        </w:rPr>
        <w:t>באכילה-</w:t>
      </w:r>
    </w:p>
    <w:p w14:paraId="6DDB2A7F" w14:textId="68CC2332" w:rsidR="00813EFF" w:rsidRPr="00E27FDD" w:rsidRDefault="00813EFF" w:rsidP="00813EFF">
      <w:pPr>
        <w:pStyle w:val="FootnoteText"/>
        <w:ind w:left="720"/>
        <w:rPr>
          <w:rFonts w:asciiTheme="majorBidi" w:hAnsiTheme="majorBidi" w:cstheme="majorBidi"/>
          <w:lang w:bidi="he-IL"/>
        </w:rPr>
      </w:pPr>
      <w:r w:rsidRPr="00E27FDD">
        <w:rPr>
          <w:rFonts w:asciiTheme="majorBidi" w:hAnsiTheme="majorBidi" w:cstheme="majorBidi"/>
          <w:rtl/>
          <w:lang w:bidi="he-IL"/>
        </w:rPr>
        <w:t>הביאור הפשוט הוא שמעשה אכילה יותר חשוב אם הוא על מה שעומד לאכילה. (יש לדון אם זה מפני שהוא עומד לאכילה או מפני מה שעושה שהוא עומד לאכילה.) נראה שגם אפשר לומר שהחפץ מגדיר את המעשה יותר כשראוי לעשות אותו מעשה לחפץ. במילים אחרים, מעשה של אכילת חמץ נקרא "מעשה אכילת חמץ," כיון שזה דבר שרגיל לעשות. אבל, מעשה של אכילת שאור לא נקרא "מעשה אכילת שאור," שאין כזה מעשה, שאין זה דבר שבני אדם עושים. ותחשב יותר על זה.</w:t>
      </w:r>
      <w:r w:rsidR="00A72F87" w:rsidRPr="00E27FDD">
        <w:rPr>
          <w:rFonts w:asciiTheme="majorBidi" w:hAnsiTheme="majorBidi" w:cstheme="majorBidi"/>
          <w:rtl/>
          <w:lang w:bidi="he-IL"/>
        </w:rPr>
        <w:t xml:space="preserve"> גם אפשר, כמובן, לפרש בו </w:t>
      </w:r>
      <w:r w:rsidR="00161480" w:rsidRPr="00E27FDD">
        <w:rPr>
          <w:rFonts w:asciiTheme="majorBidi" w:hAnsiTheme="majorBidi" w:cstheme="majorBidi"/>
          <w:rtl/>
          <w:lang w:bidi="he-IL"/>
        </w:rPr>
        <w:t>מקצת</w:t>
      </w:r>
      <w:r w:rsidR="00A72F87" w:rsidRPr="00E27FDD">
        <w:rPr>
          <w:rFonts w:asciiTheme="majorBidi" w:hAnsiTheme="majorBidi" w:cstheme="majorBidi"/>
          <w:rtl/>
          <w:lang w:bidi="he-IL"/>
        </w:rPr>
        <w:t xml:space="preserve"> מן הפשטים שנכתב בס"ד בביאור ביעור</w:t>
      </w:r>
      <w:r w:rsidR="00161480" w:rsidRPr="00E27FDD">
        <w:rPr>
          <w:rFonts w:asciiTheme="majorBidi" w:hAnsiTheme="majorBidi" w:cstheme="majorBidi"/>
          <w:rtl/>
          <w:lang w:bidi="he-IL"/>
        </w:rPr>
        <w:t>; וע"ש.</w:t>
      </w:r>
    </w:p>
    <w:p w14:paraId="67F0E020" w14:textId="45AF8572" w:rsidR="00813EFF" w:rsidRPr="00E27FDD" w:rsidRDefault="00813EFF" w:rsidP="00813EFF">
      <w:pPr>
        <w:pStyle w:val="FootnoteText"/>
        <w:numPr>
          <w:ilvl w:val="0"/>
          <w:numId w:val="3"/>
        </w:numPr>
        <w:rPr>
          <w:rFonts w:asciiTheme="majorBidi" w:hAnsiTheme="majorBidi" w:cstheme="majorBidi"/>
          <w:lang w:bidi="he-IL"/>
        </w:rPr>
      </w:pPr>
      <w:r w:rsidRPr="00E27FDD">
        <w:rPr>
          <w:rFonts w:asciiTheme="majorBidi" w:hAnsiTheme="majorBidi" w:cstheme="majorBidi"/>
          <w:rtl/>
          <w:lang w:bidi="he-IL"/>
        </w:rPr>
        <w:t>בביעור-</w:t>
      </w:r>
    </w:p>
    <w:p w14:paraId="3D1F36A8" w14:textId="6229E908" w:rsidR="00A72F87" w:rsidRPr="00E27FDD" w:rsidRDefault="00EB1AA6" w:rsidP="00A72F87">
      <w:pPr>
        <w:pStyle w:val="FootnoteText"/>
        <w:ind w:left="720"/>
        <w:rPr>
          <w:rFonts w:asciiTheme="majorBidi" w:hAnsiTheme="majorBidi" w:cstheme="majorBidi"/>
          <w:lang w:bidi="he-IL"/>
        </w:rPr>
      </w:pPr>
      <w:r w:rsidRPr="00E27FDD">
        <w:rPr>
          <w:rFonts w:asciiTheme="majorBidi" w:hAnsiTheme="majorBidi" w:cstheme="majorBidi"/>
          <w:rtl/>
          <w:lang w:bidi="he-IL"/>
        </w:rPr>
        <w:t>אפ</w:t>
      </w:r>
      <w:r w:rsidR="00161480" w:rsidRPr="00E27FDD">
        <w:rPr>
          <w:rFonts w:asciiTheme="majorBidi" w:hAnsiTheme="majorBidi" w:cstheme="majorBidi"/>
          <w:rtl/>
          <w:lang w:bidi="he-IL"/>
        </w:rPr>
        <w:t>שר לפרש שחלק ממה שעושה דבר חמץ הוא מה שראוי לאכול. נפרש את זה במילים אחרים. יש חפץ שבו אמרה תורה שלא תראה או תמצא אותו. אותו חפץ הוא חמץ. אבל, אינו רק דבר שנחמץ, אלא הוא מאכל שנחמץ. מה שהוא מאכל, מה שהוא ראוי לאכילה, הוא חלק ממה שעושה אותו להיות אותו החפץ. אבל, קיל"ד מהו המקור לזה. גם אפשר לומר שיש יחס בין ביעור לאכילה. אפשר לומר שכל דין ביעור הוא רק סייג כדי שלא לאכול אותו. עיין ברש"י בפסחים שנראה שסובר כן, וכמו כן אומר ר"ן בתחילת פסחים. העיר' שהפסוק משמע כן, שאומר לבער "כי כל אוכל חמץ...." גם אפשר לומר שמה שחייב לבער הוא מפני שאסור שיהיה במצב של עומד לאכילה. הרי, הוא כן רק אם הוא ראוי לאכילה. אבל, גם זה לא נודע לו מקור.</w:t>
      </w:r>
    </w:p>
  </w:footnote>
  <w:footnote w:id="9">
    <w:p w14:paraId="4C3C6F57" w14:textId="76E6D9DF" w:rsidR="00A5191F" w:rsidRPr="00E27FDD" w:rsidRDefault="00A5191F">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צריכים לבאר למה יחלקו בית שמאי על בית הלל.</w:t>
      </w:r>
      <w:r w:rsidR="00B90236" w:rsidRPr="00E27FDD">
        <w:rPr>
          <w:rFonts w:asciiTheme="majorBidi" w:hAnsiTheme="majorBidi" w:cstheme="majorBidi"/>
          <w:rtl/>
          <w:lang w:bidi="he-IL"/>
        </w:rPr>
        <w:t xml:space="preserve"> לדחות השני לא כל כך קשה, שקל לומר שלא סוברים כאותם חידושים, אבל לדחות הראשון יותר קשה.</w:t>
      </w:r>
      <w:r w:rsidR="00DD5AEC" w:rsidRPr="00E27FDD">
        <w:rPr>
          <w:rFonts w:asciiTheme="majorBidi" w:hAnsiTheme="majorBidi" w:cstheme="majorBidi"/>
          <w:rtl/>
          <w:lang w:bidi="he-IL"/>
        </w:rPr>
        <w:t xml:space="preserve"> אפשר לומר שכיון שכבר דרשנו שינוי בביעור, לומדים ממנו אכילה. (ע' לקמן בביאור הלימוד.)</w:t>
      </w:r>
      <w:r w:rsidR="0026141F" w:rsidRPr="00E27FDD">
        <w:rPr>
          <w:rFonts w:asciiTheme="majorBidi" w:hAnsiTheme="majorBidi" w:cstheme="majorBidi"/>
          <w:rtl/>
          <w:lang w:bidi="he-IL"/>
        </w:rPr>
        <w:t xml:space="preserve"> גם אפשר לומר ששאור ראוי לאכילה על יד עשיית חמץ. </w:t>
      </w:r>
    </w:p>
  </w:footnote>
  <w:footnote w:id="10">
    <w:p w14:paraId="5458DF58" w14:textId="7CEF8007" w:rsidR="009B375C" w:rsidRPr="00E27FDD" w:rsidRDefault="009B375C">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אולי הלשון משמע שבא לומר שהם דבר אחד, ולא רק שדין אחד ושיעור אחד להם. צל"ע בלשון רש"י, שקצת נראה שבא לאפוקי מזה.</w:t>
      </w:r>
    </w:p>
  </w:footnote>
  <w:footnote w:id="11">
    <w:p w14:paraId="5A47A3E2" w14:textId="45DC1BE0" w:rsidR="00CE5BD9" w:rsidRPr="00E27FDD" w:rsidRDefault="00CE5BD9">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צריך ביאור מה היה לו לומר. אולי לא היה לו להזכיר שום דבר בתחילה, אלא רק לומר חמץ בשני, ואולי לא היה לו להזכיר שום דבר בסוף, ואולי היה לנו לכתוב שאור בשניהם, ואולי היה לנו לכתוב חמץ בשניהם.</w:t>
      </w:r>
      <w:r w:rsidR="007E3A52" w:rsidRPr="00E27FDD">
        <w:rPr>
          <w:rFonts w:asciiTheme="majorBidi" w:hAnsiTheme="majorBidi" w:cstheme="majorBidi"/>
          <w:rtl/>
          <w:lang w:bidi="he-IL"/>
        </w:rPr>
        <w:t xml:space="preserve"> קשה, שאם כתב רק בתחילה או רק בסוף, לא היה מילה יתירה של שאור. אם כתב חמץ בשניהם, עוד לא יהיה מילה יתירה של שאור. (אבל, לכאו', יהיה קשה למה צריך איסור חמץ בכלל, שכבר נאמר.) אם אמר שאור בשניהם, אולי מובן למה צריך קרא זה, אחרי שכבר אמר כן בחמץ, ויהיה לנו דרשת בית שמאי. אבל, חוץ מזה, צריך ביאור למה צריך לכתוב שאור כדי להודיע נגד בית שמאי, כיון שאם לא היה אומר כן, לא היינו אומרים כבית שמאי. צריך לומר שהוא כעין "טרח וכ' ליה קרא," שעשה שהוא יותר נראה מן הפסוק. נמצא שמה שחשבנו שהוא הסיבה לומר כבית שמאי הוא אותו דבר שהוא סיבה שלא לומר כבית שמאי. ותחשב. על זה. אם נאמר שלומדים אכילה מביעור, אין זה קשה, שאז נחשוב כבית שמאי אף אם לא כתב מילת שאור כאן. ותחשב.</w:t>
      </w:r>
      <w:r w:rsidR="00652C11" w:rsidRPr="00E27FDD">
        <w:rPr>
          <w:rFonts w:asciiTheme="majorBidi" w:hAnsiTheme="majorBidi" w:cstheme="majorBidi"/>
          <w:rtl/>
          <w:lang w:bidi="he-IL"/>
        </w:rPr>
        <w:t xml:space="preserve"> </w:t>
      </w:r>
    </w:p>
  </w:footnote>
  <w:footnote w:id="12">
    <w:p w14:paraId="5E77376F" w14:textId="27FF96CF" w:rsidR="00652C11" w:rsidRPr="00E27FDD" w:rsidRDefault="00652C11">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 xml:space="preserve">יש לדון מהו הלימוד מביעור לאכילה. אפשר לומר שהוא מה מצאנו, ששניהם דומים, שהם איסורי חמץ. לא נראה כן כל כך, שלא יכולים ללמוד ביעור מאכילה, שאכילה יותר חמורה, שחייב עליו כרת. אבל, </w:t>
      </w:r>
      <w:r w:rsidR="008C0216" w:rsidRPr="00E27FDD">
        <w:rPr>
          <w:rFonts w:asciiTheme="majorBidi" w:hAnsiTheme="majorBidi" w:cstheme="majorBidi"/>
          <w:rtl/>
          <w:lang w:bidi="he-IL"/>
        </w:rPr>
        <w:t>אפשר לומר שלא לומדים ממנו שיעור כזית, אלא לומדים ממנו שין לחלק בין חמץ לשאור. ותחשב. גם אפשר לומר שנלמד ממנו כיון שיש יחס ביניהם, כמו שבארנו לעיל. אבל, אין זה מוכרח, שאף אם יש יחס ביניהם, אפשר לחלק, שאולי רק בשיעור גדול יאכל ממנו כזית, שאין דרך בני אדם לאכול תמיד מה שניתן להם. גם אפשר שזה היקש, משני הפסוקים הראשונים שהבאנו.</w:t>
      </w:r>
    </w:p>
  </w:footnote>
  <w:footnote w:id="13">
    <w:p w14:paraId="21F67DA7" w14:textId="5056571F" w:rsidR="009F5C46" w:rsidRPr="00E27FDD" w:rsidRDefault="009F5C46">
      <w:pPr>
        <w:pStyle w:val="FootnoteText"/>
        <w:rPr>
          <w:rFonts w:asciiTheme="majorBidi" w:hAnsiTheme="majorBidi" w:cstheme="majorBidi"/>
          <w:rtl/>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צריך ביאור למה צריכים לזה, כיון שבית הלל כבר אמר צריכותא. אפשר לומר שרק אמר כן בהו"א</w:t>
      </w:r>
      <w:r w:rsidR="009C7BA8" w:rsidRPr="00E27FDD">
        <w:rPr>
          <w:rFonts w:asciiTheme="majorBidi" w:hAnsiTheme="majorBidi" w:cstheme="majorBidi"/>
          <w:rtl/>
          <w:lang w:bidi="he-IL"/>
        </w:rPr>
        <w:t>, אבל למסקנא לא סובר כן. וא"ת אם כן למה כתב קרא יתירה. ויש לומר שאחרי שלומדים מאכילה, נמצא שאין לדרוש ממנו, ואז אומרים שאף שנלמד מקל וחומר טרח וכתב ליה קרא.</w:t>
      </w:r>
      <w:r w:rsidR="00516730" w:rsidRPr="00E27FDD">
        <w:rPr>
          <w:rFonts w:asciiTheme="majorBidi" w:hAnsiTheme="majorBidi" w:cstheme="majorBidi"/>
          <w:rtl/>
          <w:lang w:bidi="he-IL"/>
        </w:rPr>
        <w:t xml:space="preserve"> גם אפשר לומר שכוונת הגמ' הוא לבאר שיודעים סברה חיצונה של ביעור מלימוד מאכילה. צריך צריכותא כדי שלא יהיה פסוק שמלמד נגד אותה סברה חיצונה. וא"ת אם כן אף בית שמאי לומד ממנו. ויש לומר שרצה לומר שממש לומד ממנו, ולא שסברה חיצונה היא ללמוד ממנו אלא שיש קרא שאומר לנו שלא ללמוד ממנו. רק בית הלל, למס', לומד ממנו. (אבל, יש להעיר שקצת קשה למה אומר שבזה חולקים כיון שעיקר של מחלקת שלהם הוא בענין צריכותא, ולא בזה.)</w:t>
      </w:r>
      <w:r w:rsidR="0043724C" w:rsidRPr="00E27FDD">
        <w:rPr>
          <w:rFonts w:asciiTheme="majorBidi" w:hAnsiTheme="majorBidi" w:cstheme="majorBidi"/>
          <w:rtl/>
          <w:lang w:bidi="he-IL"/>
        </w:rPr>
        <w:t xml:space="preserve"> ועיין במה שנכתוב על תוס' בס"ד.</w:t>
      </w:r>
    </w:p>
  </w:footnote>
  <w:footnote w:id="14">
    <w:p w14:paraId="6D4CB605" w14:textId="253FF7E9" w:rsidR="00456987" w:rsidRPr="00E27FDD" w:rsidRDefault="00456987">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 xml:space="preserve">בענין מחלקת בביעור, צריך לעיין במה שדן שאגת אריה בענין חצי שיעור. שם, דן למה לא תמיד אסור כיון שחצי שיעור אסור מן התורה. אין לומר שדורש שיעור של עונש, שאין בזה עונש, כיון שלאו הניתק לעשה הוא, וכיון שלאו שאין בו מעשה הוא. דנים ראשונים בזה, שאפשר להיות שאינו ניתק לעשה, ואפשר שלפעמים אין בו פטור של לאו שאין בו מעשה. פי' שזה רק נוגע לאיסורי אכילה, ולא לביעור. </w:t>
      </w:r>
      <w:r w:rsidR="00314ABC" w:rsidRPr="00E27FDD">
        <w:rPr>
          <w:rFonts w:asciiTheme="majorBidi" w:hAnsiTheme="majorBidi" w:cstheme="majorBidi"/>
          <w:rtl/>
          <w:lang w:bidi="he-IL"/>
        </w:rPr>
        <w:t xml:space="preserve">כמו כן, נראה שאפשר לומר שזה רק במצווה שיש בו עונש, ולא באיסור שאין בו עונש. </w:t>
      </w:r>
      <w:r w:rsidRPr="00E27FDD">
        <w:rPr>
          <w:rFonts w:asciiTheme="majorBidi" w:hAnsiTheme="majorBidi" w:cstheme="majorBidi"/>
          <w:rtl/>
          <w:lang w:bidi="he-IL"/>
        </w:rPr>
        <w:t>באמת, עיקר הקושיה אינו למה אינו אסור, שאינו אסור כיון שיש דרשה לזה, כמו שראינו כאן. אלא, הקושיה הוא למה נניח שהשיעור הוא כזית. הרי, אם המקור הוא רק סברה, קשה מהו הסברה, שבכה"ת כולה שיעור איסור הוא כל שהוא. אם המקור הוא לימוד מחמץ, קשה, ששיעור איסור של חמץ הוא כל שהוא. אז, צריך ביאור מהו התי' של השאגת אריה. אפשר לומר שציווי ה' הוא רק בכזית. (כן נראה כיון שבכ"מ כתיב אכילה – שמשמע כזית – בתוך הציווי, ולא בתוך העונש.) הפסוק שמרבה חצי שיעור רק מבאר שכל זמן שציווה ה' על שיעור שלם, גם חצי שיעור הוא בכלל. אז, נאמר כן גם בביעור, שהציווי היה על כזית. עליו, אין פסוק שאומר שכיון שיש ציווי בכזית, נאסר גם בפחות מכזית. ותחשב. זה מחייב לנו לחדש שיכול להיות איסור בלי ציווי ה' עליו. ותחשב.</w:t>
      </w:r>
      <w:r w:rsidR="003029C1" w:rsidRPr="00E27FDD">
        <w:rPr>
          <w:rFonts w:asciiTheme="majorBidi" w:hAnsiTheme="majorBidi" w:cstheme="majorBidi"/>
          <w:rtl/>
          <w:lang w:bidi="he-IL"/>
        </w:rPr>
        <w:t xml:space="preserve"> גם אפשר לומר שחיוב ביעור הוא גזירה מחמת </w:t>
      </w:r>
      <w:r w:rsidR="00B41D86" w:rsidRPr="00E27FDD">
        <w:rPr>
          <w:rFonts w:asciiTheme="majorBidi" w:hAnsiTheme="majorBidi" w:cstheme="majorBidi"/>
          <w:rtl/>
          <w:lang w:bidi="he-IL"/>
        </w:rPr>
        <w:t>אכילה. אולי מסתבר שרק גוזרים בציור שיש עונש. ותחשב.</w:t>
      </w:r>
    </w:p>
  </w:footnote>
  <w:footnote w:id="15">
    <w:p w14:paraId="4840953E" w14:textId="6618C961" w:rsidR="009F444F" w:rsidRPr="00E27FDD" w:rsidRDefault="009F444F">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משמע שחולקים בבל יראה. צריך לעיין אם גם חולקים בבל ימצא (מסתבר שחולקים, כיון שהוקשו) ובעשה דתשביתו.</w:t>
      </w:r>
    </w:p>
  </w:footnote>
  <w:footnote w:id="16">
    <w:p w14:paraId="7C48312A" w14:textId="1EEC77E3" w:rsidR="00F64FBB" w:rsidRPr="00E27FDD" w:rsidRDefault="00F64FBB">
      <w:pPr>
        <w:pStyle w:val="FootnoteText"/>
        <w:rPr>
          <w:rFonts w:asciiTheme="majorBidi" w:hAnsiTheme="majorBidi" w:cstheme="majorBidi"/>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b/>
          <w:bCs/>
          <w:u w:val="single"/>
          <w:rtl/>
          <w:lang w:bidi="he-IL"/>
        </w:rPr>
        <w:t>רש"י</w:t>
      </w:r>
    </w:p>
  </w:footnote>
  <w:footnote w:id="17">
    <w:p w14:paraId="27CAFFEC" w14:textId="7FADA091" w:rsidR="00E42744" w:rsidRDefault="00E42744">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עיין ברע"א. לא נראה שרק בא להראות ענין דיו, שיש הרבה גמרות שמדברים בזה. יותר נראה כצד שכתבנו על הגמ' שרשי מבאר סגנון הדרשה. רע"א אומר שמצאנו כאותו הסגנון גם במקום אחר.</w:t>
      </w:r>
    </w:p>
  </w:footnote>
  <w:footnote w:id="18">
    <w:p w14:paraId="49DEE5E6" w14:textId="66232E02" w:rsidR="00F64FBB" w:rsidRPr="00E27FDD" w:rsidRDefault="00F64FBB">
      <w:pPr>
        <w:pStyle w:val="FootnoteText"/>
        <w:rPr>
          <w:rFonts w:asciiTheme="majorBidi" w:hAnsiTheme="majorBidi" w:cstheme="majorBidi"/>
          <w:rtl/>
          <w:lang w:bidi="he-IL"/>
        </w:rPr>
      </w:pPr>
      <w:r w:rsidRPr="00E27FDD">
        <w:rPr>
          <w:rStyle w:val="FootnoteReference"/>
          <w:rFonts w:asciiTheme="majorBidi" w:hAnsiTheme="majorBidi" w:cstheme="majorBidi"/>
        </w:rPr>
        <w:footnoteRef/>
      </w:r>
      <w:r w:rsidRPr="00E27FDD">
        <w:rPr>
          <w:rFonts w:asciiTheme="majorBidi" w:hAnsiTheme="majorBidi" w:cstheme="majorBidi"/>
          <w:rtl/>
        </w:rPr>
        <w:t xml:space="preserve"> </w:t>
      </w:r>
      <w:r w:rsidRPr="00E27FDD">
        <w:rPr>
          <w:rFonts w:asciiTheme="majorBidi" w:hAnsiTheme="majorBidi" w:cstheme="majorBidi"/>
          <w:rtl/>
          <w:lang w:bidi="he-IL"/>
        </w:rPr>
        <w:t>אין הלשון של רשי כל כך קל להבין.</w:t>
      </w:r>
      <w:r w:rsidR="00B74DEE" w:rsidRPr="00E27FDD">
        <w:rPr>
          <w:rFonts w:asciiTheme="majorBidi" w:hAnsiTheme="majorBidi" w:cstheme="majorBidi"/>
          <w:rtl/>
          <w:lang w:bidi="he-IL"/>
        </w:rPr>
        <w:t xml:space="preserve"> בפשטות, יש לרש"י קושיה, והיא למה צריכים קרא, ולמה לא נלמד שיעור כזית של שאור משיעור כותבת של חמץ. אבל, קשה, שרק יודעים אותו שיעור של חמץ ממה שצריך להיות יותר גדול מכזית של שאור, ורק יודעים את זה כיון שכתב שאור. נראה שיש שני דרכים לפרש מה שאומר רש"י:</w:t>
      </w:r>
    </w:p>
    <w:p w14:paraId="55AA6A72" w14:textId="0F891251" w:rsidR="00B74DEE" w:rsidRPr="00E27FDD" w:rsidRDefault="00B74DEE" w:rsidP="00B74DEE">
      <w:pPr>
        <w:pStyle w:val="FootnoteText"/>
        <w:numPr>
          <w:ilvl w:val="0"/>
          <w:numId w:val="4"/>
        </w:numPr>
        <w:rPr>
          <w:rFonts w:asciiTheme="majorBidi" w:hAnsiTheme="majorBidi" w:cstheme="majorBidi"/>
          <w:lang w:bidi="he-IL"/>
        </w:rPr>
      </w:pPr>
      <w:r w:rsidRPr="00E27FDD">
        <w:rPr>
          <w:rFonts w:asciiTheme="majorBidi" w:hAnsiTheme="majorBidi" w:cstheme="majorBidi"/>
          <w:rtl/>
          <w:lang w:bidi="he-IL"/>
        </w:rPr>
        <w:t>אפשר שיש לרש"י קושיה קצת שונה. אולי רש"י מקשה למה לא כפל מילת חמץ להראות כן. (יש לדון אם זה היה אפשר; צריך לעיין לעיל בביעור מהו הייתור.) הסיבה שזה יהיה יותר טוב הוא, לכאו', שמלמד דין חמץ, ולא דין שאור. אז, לזה אומר רשי שאף שזה היה מלמד לנו ששיעור של חומץ כותבת, לא היינו יודעים ששיעור שאור הוא כזית.</w:t>
      </w:r>
    </w:p>
    <w:p w14:paraId="7721613B" w14:textId="7A712F16" w:rsidR="00B74DEE" w:rsidRPr="00E27FDD" w:rsidRDefault="00B74DEE" w:rsidP="00B74DEE">
      <w:pPr>
        <w:pStyle w:val="FootnoteText"/>
        <w:numPr>
          <w:ilvl w:val="0"/>
          <w:numId w:val="4"/>
        </w:numPr>
        <w:rPr>
          <w:rFonts w:asciiTheme="majorBidi" w:hAnsiTheme="majorBidi" w:cstheme="majorBidi"/>
          <w:lang w:bidi="he-IL"/>
        </w:rPr>
      </w:pPr>
      <w:r w:rsidRPr="00E27FDD">
        <w:rPr>
          <w:rFonts w:asciiTheme="majorBidi" w:hAnsiTheme="majorBidi" w:cstheme="majorBidi"/>
          <w:rtl/>
          <w:lang w:bidi="he-IL"/>
        </w:rPr>
        <w:t xml:space="preserve">אפשר שרשי בא לבאר איך יש משמעות מן הפסוק. הרי, כותב מילת שאור, וכנראה לומדים דין חמץ ממנו. מבאר רשי איך לומדים ממנו. הביאור שנותן רשי הוא כמו שכתבנו על הגמ', והוא </w:t>
      </w:r>
      <w:r w:rsidR="008426B4" w:rsidRPr="00E27FDD">
        <w:rPr>
          <w:rFonts w:asciiTheme="majorBidi" w:hAnsiTheme="majorBidi" w:cstheme="majorBidi"/>
          <w:rtl/>
          <w:lang w:bidi="he-IL"/>
        </w:rPr>
        <w:t xml:space="preserve">שמה שכ' שאור מלמד לנו שצריך לכתוב שאור, כיון שיש שיעור יותר גדול לחמץ, ולא יכולים ללמוד שיעור של שאור ממנו משום דיו. ותחשב. </w:t>
      </w:r>
    </w:p>
    <w:p w14:paraId="1FDE6738" w14:textId="00A67C0F" w:rsidR="008426B4" w:rsidRPr="00E27FDD" w:rsidRDefault="008426B4" w:rsidP="008426B4">
      <w:pPr>
        <w:pStyle w:val="FootnoteText"/>
        <w:rPr>
          <w:rFonts w:asciiTheme="majorBidi" w:hAnsiTheme="majorBidi" w:cstheme="majorBidi"/>
          <w:lang w:bidi="he-IL"/>
        </w:rPr>
      </w:pPr>
      <w:r w:rsidRPr="00E27FDD">
        <w:rPr>
          <w:rFonts w:asciiTheme="majorBidi" w:hAnsiTheme="majorBidi" w:cstheme="majorBidi"/>
          <w:rtl/>
          <w:lang w:bidi="he-IL"/>
        </w:rPr>
        <w:t>גם צריך לבאר איך היינו יודעים, מסברה, שיעור כזית. אפשר לומר שאין הכי נמי, לא נדע, וגם זה בכלל מילים "דיו." לא נראה כן כל כך. יותר נראה לומר שמס' שיש לו להחמיר בו יותר, וזה השיעור הכי מסתבר לנקוט כיון שמחמירים בו. אבל צריך ביאור איך יודעים שראוי להחמיר בו, כיון שאולי אף שראוי להחמיר בו יותר משיעור כותבת, אולי אין להחמיר בו עד שיעור כזית. ותחשב.</w:t>
      </w:r>
    </w:p>
  </w:footnote>
  <w:footnote w:id="19">
    <w:p w14:paraId="715C1BEB" w14:textId="76A027E0" w:rsidR="00523936" w:rsidRDefault="00523936">
      <w:pPr>
        <w:pStyle w:val="FootnoteText"/>
        <w:rPr>
          <w:lang w:bidi="he-IL"/>
        </w:rPr>
      </w:pPr>
      <w:r>
        <w:rPr>
          <w:rStyle w:val="FootnoteReference"/>
        </w:rPr>
        <w:footnoteRef/>
      </w:r>
      <w:r>
        <w:rPr>
          <w:rFonts w:cs="Times New Roman"/>
          <w:rtl/>
        </w:rPr>
        <w:t xml:space="preserve"> </w:t>
      </w:r>
      <w:r>
        <w:rPr>
          <w:rFonts w:cs="Times New Roman" w:hint="cs"/>
          <w:rtl/>
          <w:lang w:bidi="he-IL"/>
        </w:rPr>
        <w:t>אז, נמצא שכותבת שאומר כאן הוא כותבת הגסה. צריך לעיין ביומא, שדן בזה.</w:t>
      </w:r>
    </w:p>
  </w:footnote>
  <w:footnote w:id="20">
    <w:p w14:paraId="3FA4153E" w14:textId="28B582D9" w:rsidR="000D531B" w:rsidRDefault="000D531B">
      <w:pPr>
        <w:pStyle w:val="FootnoteText"/>
        <w:rPr>
          <w:lang w:bidi="he-IL"/>
        </w:rPr>
      </w:pPr>
      <w:r>
        <w:rPr>
          <w:rStyle w:val="FootnoteReference"/>
        </w:rPr>
        <w:footnoteRef/>
      </w:r>
      <w:r>
        <w:rPr>
          <w:rFonts w:cs="Times New Roman"/>
          <w:rtl/>
        </w:rPr>
        <w:t xml:space="preserve"> </w:t>
      </w:r>
      <w:r>
        <w:rPr>
          <w:rFonts w:cs="Times New Roman" w:hint="cs"/>
          <w:rtl/>
          <w:lang w:bidi="he-IL"/>
        </w:rPr>
        <w:t>לכאו', רצה לומר שמסתבר שהשיעור הוא מה שמיישב דעתו. קצת קשה, שכגרוגרת חשוב גם כן, שהוא שיעור מאכל בשבת, וצריך לומר שהוא סתם שיעור של אוכל. אז, קשה למה לא נקטינן אותו שיעור. ותחשב.</w:t>
      </w:r>
      <w:r w:rsidR="00A40AB2">
        <w:rPr>
          <w:rFonts w:cs="Times New Roman" w:hint="cs"/>
          <w:rtl/>
          <w:lang w:bidi="he-IL"/>
        </w:rPr>
        <w:t xml:space="preserve"> כמו כן, שיעור ביצה הוא מה שמשביע לו, וק"ק למה לא נקט אותו השיעור. אולי נקט כותבת כיון שהוא קטן מביצה. אבל, אינו קטן מגרוגרת. (צריך לעיין ביומא (עט) ובתוס' שם, שמבאר שם איזה שיעור גדול  ואיזה שיעור קטן.)</w:t>
      </w:r>
    </w:p>
  </w:footnote>
  <w:footnote w:id="21">
    <w:p w14:paraId="38C38663" w14:textId="5735D103" w:rsidR="005F56FE" w:rsidRDefault="005F56FE">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עיין בקושיית תוס' על רש"י זה. שם, בע"ה, נבאר איך רשי ידחה את הקושיה.</w:t>
      </w:r>
    </w:p>
  </w:footnote>
  <w:footnote w:id="22">
    <w:p w14:paraId="4428B352" w14:textId="39DD5C2B" w:rsidR="009A14E7" w:rsidRDefault="009A14E7">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כמו שבארנו, יש שני פסוקים. יש לדון למה רשי חושב שמזה הוא שדורשים.</w:t>
      </w:r>
    </w:p>
  </w:footnote>
  <w:footnote w:id="23">
    <w:p w14:paraId="47A1D272" w14:textId="07FC0E22" w:rsidR="00674D50" w:rsidRDefault="00674D50">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נמצא שרשי מפרש שהקושיה הוא שהיה לו לומר שאור בכל הקרא. </w:t>
      </w:r>
      <w:r w:rsidR="002B5622">
        <w:rPr>
          <w:rFonts w:cs="Times New Roman" w:hint="cs"/>
          <w:rtl/>
          <w:lang w:bidi="he-IL"/>
        </w:rPr>
        <w:t>עיין במש"כ על הגמ', שדנינו בזה.</w:t>
      </w:r>
    </w:p>
  </w:footnote>
  <w:footnote w:id="24">
    <w:p w14:paraId="0FEFCEDC" w14:textId="1C31E795" w:rsidR="00FE3E8B" w:rsidRDefault="00FE3E8B">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לכאו', רשי רצה לומר שהיה לו לומר שאור, שלא צריך קרא בחמת, כיון שכבר אתיא אזהרה ועונש של חמץ.</w:t>
      </w:r>
    </w:p>
  </w:footnote>
  <w:footnote w:id="25">
    <w:p w14:paraId="0A5D4C8D" w14:textId="61D31B0D" w:rsidR="0079374C" w:rsidRDefault="0079374C">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משמע שלא בא לומר שהם דבר אחד, ושהם בתוך כלל אחד, אלא רק שיש להם דין שווה. </w:t>
      </w:r>
    </w:p>
  </w:footnote>
  <w:footnote w:id="26">
    <w:p w14:paraId="4DEBD323" w14:textId="518B4634" w:rsidR="00DA3AE8" w:rsidRDefault="00DA3AE8">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לשון רש"י מעניין. ממה שאמר "דבביעור הוא דפליגי ולא באכילה" משמע שההו"א היה שרק באכילה חולקים. אם היה ההו"א שבשניהם חולקים, היה לו לומר "דלא חולקים באכילה." יש לדון.</w:t>
      </w:r>
    </w:p>
  </w:footnote>
  <w:footnote w:id="27">
    <w:p w14:paraId="322557EF" w14:textId="108B94F0" w:rsidR="00A51684" w:rsidRDefault="00A51684">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קצת צריך ביאור איך שייך הקושיה למה שמביא מרש"י. צריך לעיין, בדרך כלל, אם תמיד יש יחס בין תחילת תוס' לסוף תוס'.</w:t>
      </w:r>
    </w:p>
  </w:footnote>
  <w:footnote w:id="28">
    <w:p w14:paraId="38560896" w14:textId="70D0A85D" w:rsidR="00EA6664" w:rsidRDefault="00EA6664">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יש הרבה תי'. אפשר לומר שהיה הלכה וקרא (שמא נשכח ההלכה). יש לדון אם מצאנו כזה. גם אפשר שהל' אמר שכל זמן שאינו כזית, הרי הוא כותבת. יש לדון, שלבית הלל קשה, שלא מצאנו כן בשום מקום. צריך לומר שחולקים. גם יש לומר שהלכה נתן שיעור כותבת למין של דברים, וזה מסברה נכנס לאותה המין. גם יש לומר שענין שיעור אינו רק שדבר יותר רע ויותר רע כשנגדל, אלא יש כעין קריטיקאל מאס, שאז הוא רע יותר, אבל קודם שמגיע לזה, אינו יותר רע. אולי ההלכה אומרת שאחד מן המקומות שיש קריטיקל מאס הוא בכותבת. ותחשב.</w:t>
      </w:r>
    </w:p>
  </w:footnote>
  <w:footnote w:id="29">
    <w:p w14:paraId="1BF42A2F" w14:textId="27D7AFCE" w:rsidR="00C4271D" w:rsidRDefault="00C4271D">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קצת קשה מהיכי תיתי לתוס' שדורשים מאותו צריכותא. ויש לומר שמקשה למה מק' גמ' רק על בית שמאי. ויש לדון, שלא כ"כ צריך להק' על בית הלל, שמה לנו אם חוזר ואומר שבאמת זהו המקור. יותר מזה, לא נ' שתוס' מק' כן, שהיה לו להק' כן לעיל, על הקושיה, ולא להמתין. (עיין בד"ה, שמסופו נראה שאכן הוא ממתין.)</w:t>
      </w:r>
    </w:p>
  </w:footnote>
  <w:footnote w:id="30">
    <w:p w14:paraId="0E5A9882" w14:textId="0C152AB4" w:rsidR="00266E18" w:rsidRDefault="00266E18">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כנראה, תוס' לא סובר שגמ' רק מכוון לומר שהילפותא הוא לסברה חיצונה. אלא, הוא ממש מקור, והוא נצרך. אבל, קשה שלמס' לא נצרך יותר מלימוד לסברה חיצונה, שנדחה. צריך לומר שמסברה לא חשב שידחה מילה יתירה. גם י"ל שסבר שלא צריך לסברה חיצונה. גם אפשר לומר שלמס' אינו נלמד מצירוף (אינו שצריך צירוף כדי לבאר למה נז' שניהם, וצריך לימוד לומר שאף שנחלקו לשני לאווים, דינם שווה), אלא כל הלימוד הוא מן ביעור. אבל, כיון שנחלק לשני לאווים, אינו כל כך דומה לאכילה, ואז אי אפשר ללמוד. כיון שצריך לומר שניהם, לא נניח שהם שני לאווים (שהנחנו כן מצד הלשון ומצד הייתור, וכיון שאין ייתור לא נניח כן). ותחשב עוד.</w:t>
      </w:r>
    </w:p>
  </w:footnote>
  <w:footnote w:id="31">
    <w:p w14:paraId="479100EB" w14:textId="6999514D" w:rsidR="00A25529" w:rsidRDefault="00A25529">
      <w:pPr>
        <w:pStyle w:val="FootnoteText"/>
        <w:rPr>
          <w:rFonts w:hint="cs"/>
          <w:lang w:bidi="he-IL"/>
        </w:rPr>
      </w:pPr>
      <w:r>
        <w:rPr>
          <w:rStyle w:val="FootnoteReference"/>
        </w:rPr>
        <w:footnoteRef/>
      </w:r>
      <w:r>
        <w:rPr>
          <w:rFonts w:cs="Times New Roman"/>
          <w:rtl/>
        </w:rPr>
        <w:t xml:space="preserve"> </w:t>
      </w:r>
      <w:r>
        <w:rPr>
          <w:rFonts w:cs="Times New Roman" w:hint="cs"/>
          <w:rtl/>
          <w:lang w:bidi="he-IL"/>
        </w:rPr>
        <w:t xml:space="preserve">קצת קשה איך יאמר שלא צריך זה, כיון שאומר גמ' שצריך לימוד מביעור לאכילה. ויש לומר שכאן, באכילה, לא צריך, אולי מפני שאינו שני לאווים, ואולי מפני שכבר יש סברה חיצונה. ותחשב. </w:t>
      </w:r>
    </w:p>
  </w:footnote>
  <w:footnote w:id="32">
    <w:p w14:paraId="7E68878F" w14:textId="3AE75DDF" w:rsidR="009A47B1" w:rsidRDefault="009A47B1">
      <w:pPr>
        <w:pStyle w:val="FootnoteText"/>
        <w:rPr>
          <w:rFonts w:hint="cs"/>
          <w:lang w:bidi="he-IL"/>
        </w:rPr>
      </w:pPr>
      <w:r>
        <w:rPr>
          <w:rStyle w:val="FootnoteReference"/>
        </w:rPr>
        <w:footnoteRef/>
      </w:r>
      <w:r>
        <w:rPr>
          <w:rFonts w:cs="Times New Roman"/>
          <w:rtl/>
        </w:rPr>
        <w:t xml:space="preserve"> </w:t>
      </w:r>
      <w:r>
        <w:rPr>
          <w:rFonts w:cs="Times New Roman" w:hint="cs"/>
          <w:rtl/>
          <w:lang w:bidi="he-IL"/>
        </w:rPr>
        <w:t>נמצא שסובר שהיה לו לפסוק לכתוב חמץ בשניהם, ולא לכתוב שאור בשניהם.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4D36"/>
    <w:multiLevelType w:val="hybridMultilevel"/>
    <w:tmpl w:val="8C4C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F230E"/>
    <w:multiLevelType w:val="hybridMultilevel"/>
    <w:tmpl w:val="04129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F334CA"/>
    <w:multiLevelType w:val="hybridMultilevel"/>
    <w:tmpl w:val="EB6AB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EC74E5"/>
    <w:multiLevelType w:val="hybridMultilevel"/>
    <w:tmpl w:val="6D6E8F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383207">
    <w:abstractNumId w:val="1"/>
  </w:num>
  <w:num w:numId="2" w16cid:durableId="317618497">
    <w:abstractNumId w:val="3"/>
  </w:num>
  <w:num w:numId="3" w16cid:durableId="401483745">
    <w:abstractNumId w:val="0"/>
  </w:num>
  <w:num w:numId="4" w16cid:durableId="777798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06"/>
    <w:rsid w:val="00053A98"/>
    <w:rsid w:val="000A4B41"/>
    <w:rsid w:val="000D531B"/>
    <w:rsid w:val="00161480"/>
    <w:rsid w:val="00256B20"/>
    <w:rsid w:val="00257EFF"/>
    <w:rsid w:val="0026141F"/>
    <w:rsid w:val="00266E18"/>
    <w:rsid w:val="00284062"/>
    <w:rsid w:val="002B5622"/>
    <w:rsid w:val="002D4A88"/>
    <w:rsid w:val="003029C1"/>
    <w:rsid w:val="00314ABC"/>
    <w:rsid w:val="003721CB"/>
    <w:rsid w:val="0043724C"/>
    <w:rsid w:val="00456987"/>
    <w:rsid w:val="004C7135"/>
    <w:rsid w:val="004E6FAF"/>
    <w:rsid w:val="00516730"/>
    <w:rsid w:val="00517E9F"/>
    <w:rsid w:val="00523936"/>
    <w:rsid w:val="005F56FE"/>
    <w:rsid w:val="0061775F"/>
    <w:rsid w:val="00652C11"/>
    <w:rsid w:val="00662181"/>
    <w:rsid w:val="00674D50"/>
    <w:rsid w:val="00682E58"/>
    <w:rsid w:val="006E6FDC"/>
    <w:rsid w:val="00704606"/>
    <w:rsid w:val="0079374C"/>
    <w:rsid w:val="007B4129"/>
    <w:rsid w:val="007E0A74"/>
    <w:rsid w:val="007E3A52"/>
    <w:rsid w:val="00813EFF"/>
    <w:rsid w:val="008426B4"/>
    <w:rsid w:val="008C0216"/>
    <w:rsid w:val="0090359F"/>
    <w:rsid w:val="00994030"/>
    <w:rsid w:val="009A14E7"/>
    <w:rsid w:val="009A47B1"/>
    <w:rsid w:val="009B375C"/>
    <w:rsid w:val="009C7BA8"/>
    <w:rsid w:val="009F444F"/>
    <w:rsid w:val="009F5C46"/>
    <w:rsid w:val="00A12B5C"/>
    <w:rsid w:val="00A25529"/>
    <w:rsid w:val="00A315AD"/>
    <w:rsid w:val="00A40AB2"/>
    <w:rsid w:val="00A51684"/>
    <w:rsid w:val="00A5191F"/>
    <w:rsid w:val="00A51A13"/>
    <w:rsid w:val="00A72F87"/>
    <w:rsid w:val="00AA1AF7"/>
    <w:rsid w:val="00B41D86"/>
    <w:rsid w:val="00B675DC"/>
    <w:rsid w:val="00B74DEE"/>
    <w:rsid w:val="00B90236"/>
    <w:rsid w:val="00C11F83"/>
    <w:rsid w:val="00C4271D"/>
    <w:rsid w:val="00C87CD5"/>
    <w:rsid w:val="00CE5BD9"/>
    <w:rsid w:val="00CE600F"/>
    <w:rsid w:val="00CF1A07"/>
    <w:rsid w:val="00CF551B"/>
    <w:rsid w:val="00CF7315"/>
    <w:rsid w:val="00D312B9"/>
    <w:rsid w:val="00D4553B"/>
    <w:rsid w:val="00DA3AE8"/>
    <w:rsid w:val="00DD5AEC"/>
    <w:rsid w:val="00E27FDD"/>
    <w:rsid w:val="00E35053"/>
    <w:rsid w:val="00E35A1D"/>
    <w:rsid w:val="00E42744"/>
    <w:rsid w:val="00EA6664"/>
    <w:rsid w:val="00EB1AA6"/>
    <w:rsid w:val="00ED0EC9"/>
    <w:rsid w:val="00EF734C"/>
    <w:rsid w:val="00F64FBB"/>
    <w:rsid w:val="00F65EA5"/>
    <w:rsid w:val="00FB0C9A"/>
    <w:rsid w:val="00FE3E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D618"/>
  <w15:chartTrackingRefBased/>
  <w15:docId w15:val="{1CD95F5F-E63F-4223-B078-90E0977A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F83"/>
    <w:pPr>
      <w:bidi/>
      <w:spacing w:before="240" w:after="240"/>
    </w:pPr>
    <w:rPr>
      <w:rFonts w:cs="Shofar"/>
      <w:szCs w:val="24"/>
    </w:rPr>
  </w:style>
  <w:style w:type="paragraph" w:styleId="Heading1">
    <w:name w:val="heading 1"/>
    <w:basedOn w:val="Normal"/>
    <w:next w:val="Normal"/>
    <w:link w:val="Heading1Char"/>
    <w:uiPriority w:val="9"/>
    <w:qFormat/>
    <w:rsid w:val="00C11F83"/>
    <w:pPr>
      <w:keepNext/>
      <w:keepLines/>
      <w:ind w:left="1440"/>
      <w:outlineLvl w:val="0"/>
    </w:pPr>
    <w:rPr>
      <w:rFonts w:asciiTheme="majorHAnsi" w:eastAsiaTheme="majorEastAsia" w:hAnsiTheme="majorHAnsi"/>
      <w:bCs/>
      <w:sz w:val="40"/>
      <w:u w:val="thick"/>
    </w:rPr>
  </w:style>
  <w:style w:type="paragraph" w:styleId="Heading2">
    <w:name w:val="heading 2"/>
    <w:basedOn w:val="Normal"/>
    <w:next w:val="Normal"/>
    <w:link w:val="Heading2Char"/>
    <w:uiPriority w:val="9"/>
    <w:semiHidden/>
    <w:unhideWhenUsed/>
    <w:qFormat/>
    <w:rsid w:val="00704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83"/>
    <w:rPr>
      <w:rFonts w:asciiTheme="majorHAnsi" w:eastAsiaTheme="majorEastAsia" w:hAnsiTheme="majorHAnsi" w:cs="Shofar"/>
      <w:bCs/>
      <w:sz w:val="40"/>
      <w:szCs w:val="24"/>
      <w:u w:val="thick"/>
    </w:rPr>
  </w:style>
  <w:style w:type="character" w:customStyle="1" w:styleId="Heading2Char">
    <w:name w:val="Heading 2 Char"/>
    <w:basedOn w:val="DefaultParagraphFont"/>
    <w:link w:val="Heading2"/>
    <w:uiPriority w:val="9"/>
    <w:semiHidden/>
    <w:rsid w:val="00704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06"/>
    <w:rPr>
      <w:rFonts w:eastAsiaTheme="majorEastAsia" w:cstheme="majorBidi"/>
      <w:color w:val="272727" w:themeColor="text1" w:themeTint="D8"/>
    </w:rPr>
  </w:style>
  <w:style w:type="paragraph" w:styleId="Title">
    <w:name w:val="Title"/>
    <w:basedOn w:val="Normal"/>
    <w:next w:val="Normal"/>
    <w:link w:val="TitleChar"/>
    <w:uiPriority w:val="10"/>
    <w:qFormat/>
    <w:rsid w:val="0070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606"/>
    <w:pPr>
      <w:spacing w:before="160"/>
      <w:jc w:val="center"/>
    </w:pPr>
    <w:rPr>
      <w:i/>
      <w:iCs/>
      <w:color w:val="404040" w:themeColor="text1" w:themeTint="BF"/>
    </w:rPr>
  </w:style>
  <w:style w:type="character" w:customStyle="1" w:styleId="QuoteChar">
    <w:name w:val="Quote Char"/>
    <w:basedOn w:val="DefaultParagraphFont"/>
    <w:link w:val="Quote"/>
    <w:uiPriority w:val="29"/>
    <w:rsid w:val="00704606"/>
    <w:rPr>
      <w:i/>
      <w:iCs/>
      <w:color w:val="404040" w:themeColor="text1" w:themeTint="BF"/>
    </w:rPr>
  </w:style>
  <w:style w:type="paragraph" w:styleId="ListParagraph">
    <w:name w:val="List Paragraph"/>
    <w:basedOn w:val="Normal"/>
    <w:uiPriority w:val="34"/>
    <w:qFormat/>
    <w:rsid w:val="00704606"/>
    <w:pPr>
      <w:ind w:left="720"/>
      <w:contextualSpacing/>
    </w:pPr>
  </w:style>
  <w:style w:type="character" w:styleId="IntenseEmphasis">
    <w:name w:val="Intense Emphasis"/>
    <w:basedOn w:val="DefaultParagraphFont"/>
    <w:uiPriority w:val="21"/>
    <w:qFormat/>
    <w:rsid w:val="00704606"/>
    <w:rPr>
      <w:i/>
      <w:iCs/>
      <w:color w:val="0F4761" w:themeColor="accent1" w:themeShade="BF"/>
    </w:rPr>
  </w:style>
  <w:style w:type="paragraph" w:styleId="IntenseQuote">
    <w:name w:val="Intense Quote"/>
    <w:basedOn w:val="Normal"/>
    <w:next w:val="Normal"/>
    <w:link w:val="IntenseQuoteChar"/>
    <w:uiPriority w:val="30"/>
    <w:qFormat/>
    <w:rsid w:val="00704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606"/>
    <w:rPr>
      <w:i/>
      <w:iCs/>
      <w:color w:val="0F4761" w:themeColor="accent1" w:themeShade="BF"/>
    </w:rPr>
  </w:style>
  <w:style w:type="character" w:styleId="IntenseReference">
    <w:name w:val="Intense Reference"/>
    <w:basedOn w:val="DefaultParagraphFont"/>
    <w:uiPriority w:val="32"/>
    <w:qFormat/>
    <w:rsid w:val="00704606"/>
    <w:rPr>
      <w:b/>
      <w:bCs/>
      <w:smallCaps/>
      <w:color w:val="0F4761" w:themeColor="accent1" w:themeShade="BF"/>
      <w:spacing w:val="5"/>
    </w:rPr>
  </w:style>
  <w:style w:type="character" w:styleId="Hyperlink">
    <w:name w:val="Hyperlink"/>
    <w:basedOn w:val="DefaultParagraphFont"/>
    <w:uiPriority w:val="99"/>
    <w:unhideWhenUsed/>
    <w:rsid w:val="00C11F83"/>
    <w:rPr>
      <w:color w:val="467886" w:themeColor="hyperlink"/>
      <w:u w:val="single"/>
    </w:rPr>
  </w:style>
  <w:style w:type="character" w:styleId="UnresolvedMention">
    <w:name w:val="Unresolved Mention"/>
    <w:basedOn w:val="DefaultParagraphFont"/>
    <w:uiPriority w:val="99"/>
    <w:semiHidden/>
    <w:unhideWhenUsed/>
    <w:rsid w:val="00C11F83"/>
    <w:rPr>
      <w:color w:val="605E5C"/>
      <w:shd w:val="clear" w:color="auto" w:fill="E1DFDD"/>
    </w:rPr>
  </w:style>
  <w:style w:type="paragraph" w:styleId="FootnoteText">
    <w:name w:val="footnote text"/>
    <w:basedOn w:val="Normal"/>
    <w:link w:val="FootnoteTextChar"/>
    <w:uiPriority w:val="99"/>
    <w:semiHidden/>
    <w:unhideWhenUsed/>
    <w:rsid w:val="00C11F8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C11F83"/>
    <w:rPr>
      <w:rFonts w:cs="Shofar"/>
      <w:sz w:val="20"/>
      <w:szCs w:val="20"/>
    </w:rPr>
  </w:style>
  <w:style w:type="character" w:styleId="FootnoteReference">
    <w:name w:val="footnote reference"/>
    <w:basedOn w:val="DefaultParagraphFont"/>
    <w:uiPriority w:val="99"/>
    <w:semiHidden/>
    <w:unhideWhenUsed/>
    <w:rsid w:val="00C11F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shaul\Documents\ToratEmetUserData\Temp\his_temp_1_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71</cp:revision>
  <dcterms:created xsi:type="dcterms:W3CDTF">2025-01-29T16:27:00Z</dcterms:created>
  <dcterms:modified xsi:type="dcterms:W3CDTF">2025-01-30T16:28:00Z</dcterms:modified>
</cp:coreProperties>
</file>