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1"/>
        <w:spacing w:lineRule="auto" w:line="259" w:before="120" w:after="120"/>
        <w:jc w:val="left"/>
        <w:rPr/>
      </w:pPr>
      <w:r>
        <w:rPr>
          <w:rtl w:val="true"/>
          <w:lang w:bidi="he-IL"/>
        </w:rPr>
        <w:t>למסקנת הגמ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נמצא שש שיטות בתחילת זמן קריאת שמע נמנה אותם ממוקדם למאוחר</w:t>
      </w:r>
      <w:r>
        <w:rPr>
          <w:rtl w:val="true"/>
          <w:lang w:bidi="he-IL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שהכהנים טובלים</w:t>
      </w:r>
      <w:r>
        <w:rPr>
          <w:rtl w:val="true"/>
          <w:lang w:bidi="he-IL"/>
        </w:rPr>
        <w:t>.</w:t>
      </w:r>
      <w:r>
        <w:rPr>
          <w:rStyle w:val="FootnoteAnchor"/>
          <w:vertAlign w:val="superscript"/>
          <w:rtl w:val="true"/>
          <w:lang w:bidi="he-IL"/>
        </w:rPr>
        <w:footnoteReference w:id="2"/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 xml:space="preserve">שיטת רבי מאיר לברייתא אחד בגמ’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שקדש היום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בין השמשות</w:t>
      </w:r>
      <w:r>
        <w:rPr>
          <w:rStyle w:val="FootnoteAnchor"/>
          <w:rtl w:val="true"/>
          <w:lang w:bidi="he-IL"/>
        </w:rPr>
        <w:footnoteReference w:id="3"/>
      </w:r>
      <w:r>
        <w:rPr>
          <w:rtl w:val="true"/>
          <w:lang w:bidi="he-IL"/>
        </w:rPr>
        <w:t>.</w:t>
      </w:r>
      <w:r>
        <w:rPr>
          <w:vertAlign w:val="superscript"/>
          <w:rtl w:val="true"/>
          <w:lang w:bidi="he-IL"/>
        </w:rPr>
        <w:t xml:space="preserve"> </w:t>
      </w:r>
      <w:r>
        <w:rPr>
          <w:rStyle w:val="FootnoteAnchor"/>
          <w:vertAlign w:val="superscript"/>
          <w:rtl w:val="true"/>
          <w:lang w:bidi="he-IL"/>
        </w:rPr>
        <w:footnoteReference w:id="4"/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>שיטת רבי אליעזר</w:t>
      </w:r>
      <w:r>
        <w:rPr>
          <w:rStyle w:val="FootnoteAnchor"/>
          <w:vertAlign w:val="superscript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 בגמ’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שהכהנים אוכלים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צאת הכוכבים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משנה</w:t>
      </w:r>
      <w:r>
        <w:rPr>
          <w:b/>
          <w:b/>
          <w:rtl w:val="true"/>
          <w:lang w:bidi="he-IL"/>
        </w:rPr>
        <w:t xml:space="preserve">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.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רבי יהושע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שהעני אוכל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 xml:space="preserve">שיטת רבי מאיר לברייתא אחד בגמ’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שכל אדם נכנס לאכול ב</w:t>
      </w:r>
      <w:r>
        <w:rPr>
          <w:rtl w:val="true"/>
          <w:lang w:bidi="he-IL"/>
        </w:rPr>
        <w:t>ערבי שבתות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>סתם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פשט אחד ברב אחא ברש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ירושלמי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שזה קרוב לצאת הכוכבים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ומבאר שזה זמן שאוכלים בכפרים קטנים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קרוב לצאת הכוכבים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להם זמן להכין מבעוד יום</w:t>
      </w:r>
      <w:r>
        <w:rPr>
          <w:rtl w:val="true"/>
          <w:lang w:bidi="he-IL"/>
        </w:rPr>
        <w:t>).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  <w:lang w:bidi="he-IL"/>
        </w:rPr>
        <w:t>משעה שכל אדם נכנס לאכול בחול</w:t>
      </w:r>
      <w:r>
        <w:rPr>
          <w:rStyle w:val="FootnoteAnchor"/>
          <w:rtl w:val="true"/>
          <w:lang w:bidi="he-IL"/>
        </w:rPr>
        <w:footnoteReference w:id="7"/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פשט אחד ברב אחא ברש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</w:t>
      </w:r>
      <w:r>
        <w:rPr>
          <w:b/>
          <w:b/>
          <w:u w:val="single"/>
          <w:rtl w:val="true"/>
          <w:lang w:bidi="he-IL"/>
        </w:rPr>
        <w:t>ב</w:t>
      </w:r>
      <w:r>
        <w:rPr>
          <w:b/>
          <w:u w:val="single"/>
          <w:rtl w:val="true"/>
          <w:lang w:bidi="he-IL"/>
        </w:rPr>
        <w:t>:</w:t>
      </w:r>
      <w:r>
        <w:rPr>
          <w:rtl w:val="true"/>
          <w:lang w:bidi="he-IL"/>
        </w:rPr>
        <w:t>)</w:t>
      </w:r>
    </w:p>
    <w:p>
      <w:pPr>
        <w:pStyle w:val="Normal"/>
        <w:widowControl/>
        <w:bidi w:val="1"/>
        <w:spacing w:lineRule="auto" w:line="259" w:before="120" w:after="120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1"/>
    <w:family w:val="auto"/>
    <w:pitch w:val="default"/>
  </w:font>
  <w:font w:name="Aptos Display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bidi="he-IL"/>
      </w:rPr>
    </w:pPr>
    <w:r>
      <w:rPr>
        <w:rtl w:val="true"/>
        <w:lang w:bidi="he-IL"/>
      </w:rPr>
      <w:t>שש שיטות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רבי מאיר אומר שהזמן הוא זמן טבילת כוהנים</w:t>
      </w:r>
      <w:r>
        <w:rPr>
          <w:rtl w:val="true"/>
        </w:rPr>
        <w:t xml:space="preserve">. </w:t>
      </w:r>
      <w:r>
        <w:rPr>
          <w:rtl w:val="true"/>
        </w:rPr>
        <w:t>מקשה גמרא שזה עדיין יום</w:t>
      </w:r>
      <w:r>
        <w:rPr>
          <w:rtl w:val="true"/>
        </w:rPr>
        <w:t xml:space="preserve">, </w:t>
      </w:r>
      <w:r>
        <w:rPr>
          <w:rtl w:val="true"/>
        </w:rPr>
        <w:t>ומתרץ שסובר כבין השמשות של רבי יוסי</w:t>
      </w:r>
      <w:r>
        <w:rPr>
          <w:rtl w:val="true"/>
        </w:rPr>
        <w:t xml:space="preserve">. </w:t>
      </w:r>
    </w:p>
    <w:p>
      <w:pPr>
        <w:pStyle w:val="Footnote"/>
        <w:ind w:left="0" w:firstLine="360"/>
        <w:rPr/>
      </w:pPr>
      <w:r>
        <w:rPr>
          <w:rtl w:val="true"/>
        </w:rPr>
        <w:t>אבאר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חולקים תנאים מהו בין השמשות</w:t>
      </w:r>
      <w:r>
        <w:rPr>
          <w:rtl w:val="true"/>
        </w:rPr>
        <w:t xml:space="preserve">. </w:t>
      </w:r>
      <w:r>
        <w:rPr>
          <w:rtl w:val="true"/>
        </w:rPr>
        <w:t>רבי יהודה סובר שבין השמשות הוא כמהלך חצי מיל</w:t>
      </w:r>
      <w:r>
        <w:rPr>
          <w:rtl w:val="true"/>
        </w:rPr>
        <w:t xml:space="preserve">. </w:t>
      </w:r>
      <w:r>
        <w:rPr>
          <w:rtl w:val="true"/>
        </w:rPr>
        <w:t>רבי יוסי סובר שבין השמשות הוא כהרף עין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רבי מאיר סובר כרבי יוסי</w:t>
      </w:r>
      <w:r>
        <w:rPr>
          <w:rtl w:val="true"/>
        </w:rPr>
        <w:t xml:space="preserve">, </w:t>
      </w:r>
      <w:r>
        <w:rPr>
          <w:rtl w:val="true"/>
        </w:rPr>
        <w:t>ואז כהנים טובלים בזמן הקרוב לצאת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שפיר יכול לקרוא קריאת שמע אז</w:t>
      </w:r>
      <w:r>
        <w:rPr>
          <w:rtl w:val="true"/>
        </w:rPr>
        <w:t>.</w:t>
      </w:r>
    </w:p>
    <w:p>
      <w:pPr>
        <w:pStyle w:val="Footnote"/>
        <w:ind w:left="360" w:hanging="0"/>
        <w:rPr/>
      </w:pPr>
      <w:r>
        <w:rPr>
          <w:rtl w:val="true"/>
        </w:rPr>
        <w:t>צריכים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מתי זמן זה לנגד שאר שיטות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לדון אם רבי יוסי סובר שצאת</w:t>
      </w:r>
      <w:r>
        <w:rPr>
          <w:rtl w:val="true"/>
          <w:lang w:bidi="he-IL"/>
        </w:rPr>
        <w:t xml:space="preserve"> הכוכבים</w:t>
      </w:r>
      <w:r>
        <w:rPr>
          <w:rtl w:val="true"/>
        </w:rPr>
        <w:t xml:space="preserve"> הוא בזמן שווה שסובר רבי יהודה</w:t>
      </w:r>
      <w:r>
        <w:rPr>
          <w:rtl w:val="true"/>
        </w:rPr>
        <w:t>.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 </w:t>
      </w:r>
      <w:r>
        <w:rPr>
          <w:rtl w:val="true"/>
        </w:rPr>
        <w:t>נניח כאן שהוא אותו צאת הכוכבים כדי להקל את החשבון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נמצא שזה צריך להיות קודם </w:t>
      </w: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 xml:space="preserve">גם צריך להיות קודם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שצריכים הערב שמש קודם זמן הספק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יהיה קודם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שאם מי שאומר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לא סובר כרבי יוסי</w:t>
      </w:r>
      <w:r>
        <w:rPr>
          <w:rtl w:val="true"/>
        </w:rPr>
        <w:t xml:space="preserve">, </w:t>
      </w:r>
      <w:r>
        <w:rPr>
          <w:rtl w:val="true"/>
        </w:rPr>
        <w:t>אפשר להיות ש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יקדים לשיטת רבי מאיר</w:t>
      </w:r>
      <w:r>
        <w:rPr>
          <w:rtl w:val="true"/>
        </w:rPr>
        <w:t xml:space="preserve">, </w:t>
      </w:r>
      <w:r>
        <w:rPr>
          <w:rtl w:val="true"/>
        </w:rPr>
        <w:t xml:space="preserve">שאף שאינו זמן קודם ביום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ששל רבי מאיר יום ושל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בין השמשות</w:t>
      </w:r>
      <w:r>
        <w:rPr>
          <w:rtl w:val="true"/>
        </w:rPr>
        <w:t xml:space="preserve">), </w:t>
      </w:r>
      <w:r>
        <w:rPr>
          <w:rtl w:val="true"/>
        </w:rPr>
        <w:t>אולי בא קודם</w:t>
      </w:r>
      <w:r>
        <w:rPr>
          <w:rtl w:val="true"/>
        </w:rPr>
        <w:t>.</w:t>
      </w:r>
    </w:p>
  </w:footnote>
  <w:footnote w:id="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  <w:lang w:bidi="he-IL"/>
        </w:rPr>
        <w:t>עיין בביאורים שלנו על הגמ</w:t>
      </w:r>
      <w:r>
        <w:rPr>
          <w:rFonts w:cs="Times New Roman"/>
          <w:rtl w:val="true"/>
          <w:lang w:bidi="he-IL"/>
        </w:rPr>
        <w:t xml:space="preserve">', </w:t>
      </w:r>
      <w:r>
        <w:rPr>
          <w:rFonts w:cs="Times New Roman"/>
          <w:rtl w:val="true"/>
          <w:lang w:bidi="he-IL"/>
        </w:rPr>
        <w:t>שדנינו מהו הזמן הזה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אבל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רש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י כ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שהוא בין השמשות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ואז כן מניחים כאן</w:t>
      </w:r>
      <w:r>
        <w:rPr>
          <w:rFonts w:cs="Times New Roman"/>
          <w:rtl w:val="true"/>
          <w:lang w:bidi="he-IL"/>
        </w:rPr>
        <w:t>.</w:t>
      </w:r>
    </w:p>
  </w:footnote>
  <w:footnote w:id="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פשוט ש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קודם ל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שחולקים מהו בין השמשות</w:t>
      </w:r>
      <w:r>
        <w:rPr>
          <w:rtl w:val="true"/>
        </w:rPr>
        <w:t xml:space="preserve">.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צריך להניח בין השמשות קטן</w:t>
      </w:r>
      <w:r>
        <w:rPr>
          <w:rtl w:val="true"/>
        </w:rPr>
        <w:t xml:space="preserve">, </w:t>
      </w:r>
      <w:r>
        <w:rPr>
          <w:rtl w:val="true"/>
        </w:rPr>
        <w:t>שלפני אותו בין השמשות</w:t>
      </w:r>
      <w:r>
        <w:rPr>
          <w:rtl w:val="true"/>
        </w:rPr>
        <w:t xml:space="preserve">, </w:t>
      </w:r>
      <w:r>
        <w:rPr>
          <w:rtl w:val="true"/>
        </w:rPr>
        <w:t>כשכהנים טובלים</w:t>
      </w:r>
      <w:r>
        <w:rPr>
          <w:rtl w:val="true"/>
        </w:rPr>
        <w:t xml:space="preserve">, </w:t>
      </w:r>
      <w:r>
        <w:rPr>
          <w:rtl w:val="true"/>
        </w:rPr>
        <w:t>כבר לילה זמן שכיבה הוא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אולי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מניח ביה</w:t>
      </w:r>
      <w:r>
        <w:rPr>
          <w:rtl w:val="true"/>
        </w:rPr>
        <w:t>"</w:t>
      </w:r>
      <w:r>
        <w:rPr>
          <w:rtl w:val="true"/>
        </w:rPr>
        <w:t>ש ארוך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שנראה שכמו שקצת קודם בין השמשות ארוך יהיה יום</w:t>
      </w:r>
      <w:r>
        <w:rPr>
          <w:rtl w:val="true"/>
        </w:rPr>
        <w:t xml:space="preserve">, </w:t>
      </w:r>
      <w:r>
        <w:rPr>
          <w:rtl w:val="true"/>
        </w:rPr>
        <w:t>כמו שמקשה גמ</w:t>
      </w:r>
      <w:r>
        <w:rPr>
          <w:rtl w:val="true"/>
        </w:rPr>
        <w:t xml:space="preserve">', </w:t>
      </w:r>
      <w:r>
        <w:rPr>
          <w:rtl w:val="true"/>
        </w:rPr>
        <w:t>גם בביה</w:t>
      </w:r>
      <w:r>
        <w:rPr>
          <w:rtl w:val="true"/>
        </w:rPr>
        <w:t>"</w:t>
      </w:r>
      <w:r>
        <w:rPr>
          <w:rtl w:val="true"/>
        </w:rPr>
        <w:t>ש ארוך לא ייחשב זמן שכיבה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שיהיה תחילת בין השמשות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השעה שמתחיל לנוהג בקדושת היום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משמע שרבי אליעזר סובר כ</w:t>
      </w: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>מקשה גמרא שיש סתירה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בדברי רבי אליעזר</w:t>
      </w:r>
      <w:r>
        <w:rPr>
          <w:rtl w:val="true"/>
        </w:rPr>
        <w:t xml:space="preserve">. </w:t>
      </w:r>
      <w:r>
        <w:rPr>
          <w:rtl w:val="true"/>
        </w:rPr>
        <w:t>מתרץ שני תירוצים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חולקים תאנים בשיטת רבי אליעזר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משנה לא אומר שרבי אליעזר סובר כ</w:t>
      </w:r>
      <w:r>
        <w:rPr/>
        <w:t>3</w:t>
      </w:r>
      <w:r>
        <w:rPr>
          <w:rtl w:val="true"/>
        </w:rPr>
        <w:t xml:space="preserve"> (</w:t>
      </w:r>
      <w:r>
        <w:rPr>
          <w:rtl w:val="true"/>
        </w:rPr>
        <w:t>רק קאי על סוף זמנו</w:t>
      </w:r>
      <w:r>
        <w:rPr>
          <w:rtl w:val="true"/>
        </w:rPr>
        <w:t>).</w:t>
      </w:r>
    </w:p>
  </w:footnote>
  <w:footnote w:id="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הגמ’ מוכיח שזה אחרי </w:t>
      </w:r>
      <w:r>
        <w:rPr>
          <w:lang w:bidi="he-IL"/>
        </w:rPr>
        <w:t>3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הראיה הוא שאם קודם </w:t>
      </w:r>
      <w:r>
        <w:rPr>
          <w:lang w:bidi="he-IL"/>
        </w:rPr>
        <w:t>3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שווה ל</w:t>
      </w:r>
      <w:r>
        <w:rPr>
          <w:lang w:bidi="he-IL"/>
        </w:rPr>
        <w:t>2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מסביר שלא מסתבר שיש הרבה זמן לפני צאת הכוכבים שנחשב זן שכיבה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הרבה זמן אחרי צאת הכוכבים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ואז יכול להיות אחרי </w:t>
      </w:r>
      <w:r>
        <w:rPr>
          <w:lang w:bidi="he-IL"/>
        </w:rPr>
        <w:t>3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יהיה שווה ל</w:t>
      </w:r>
      <w:r>
        <w:rPr>
          <w:lang w:bidi="he-IL"/>
        </w:rPr>
        <w:t>4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שלא רוצה שיהיה הרבה יותר זמן לפני צאת הכוכבים מלאחר צאת הכוכבים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אם היה קודם </w:t>
      </w:r>
      <w:r>
        <w:rPr>
          <w:lang w:bidi="he-IL"/>
        </w:rPr>
        <w:t>3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היה שלש לפני צאת הכוכבים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לאחריו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אם הוא אחרי </w:t>
      </w:r>
      <w:r>
        <w:rPr>
          <w:lang w:bidi="he-IL"/>
        </w:rPr>
        <w:t>3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שנים לפני צאת הכוכבים ושנים לאחריו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נראה שזה ידוע מן הסברה שהוא אחרון</w:t>
      </w:r>
      <w:r>
        <w:rPr>
          <w:rtl w:val="true"/>
          <w:lang w:bidi="he-IL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bidi="he-IL"/>
      </w:rPr>
    </w:pPr>
    <w:r>
      <w:rPr>
        <w:rtl w:val="true"/>
        <w:lang w:bidi="he-IL"/>
      </w:rPr>
      <w:t>תחילת זמן קריאת שמע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d224d"/>
    <w:pPr>
      <w:widowControl/>
      <w:bidi w:val="1"/>
      <w:spacing w:lineRule="auto" w:line="259" w:before="120" w:after="120"/>
      <w:jc w:val="left"/>
    </w:pPr>
    <w:rPr>
      <w:rFonts w:cs="SBL Hebrew" w:ascii="Aptos" w:hAnsi="Aptos" w:eastAsia="Aptos" w:asciiTheme="minorHAnsi" w:eastAsiaTheme="minorHAnsi" w:hAnsiTheme="minorHAnsi"/>
      <w:color w:val="auto"/>
      <w:kern w:val="2"/>
      <w:sz w:val="22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b56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56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56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56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56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56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56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56"/>
    <w:pPr>
      <w:keepNext w:val="true"/>
      <w:keepLines/>
      <w:spacing w:before="12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56"/>
    <w:pPr>
      <w:keepNext w:val="true"/>
      <w:keepLines/>
      <w:spacing w:before="12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65b56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65b56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65b56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65b56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65b56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65b56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65b56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65b56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65b56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65b56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65b56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65b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5b5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65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56"/>
    <w:rPr>
      <w:b/>
      <w:bCs/>
      <w:smallCaps/>
      <w:color w:val="0F4761" w:themeColor="accent1" w:themeShade="bf"/>
      <w:spacing w:val="5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720355"/>
    <w:rPr>
      <w:rFonts w:cs="SBL Hebr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d224d"/>
    <w:rPr>
      <w:rFonts w:cs="SBL Hebrew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d224d"/>
    <w:rPr>
      <w:rFonts w:cs="SBL Hebrew"/>
      <w:szCs w:val="24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4e5c61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ing">
    <w:name w:val="Line Number"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Times New Roma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ptos" w:hAnsi="Aptos"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d65b56"/>
    <w:pPr>
      <w:spacing w:lineRule="auto" w:line="240" w:before="12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56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56"/>
    <w:pPr>
      <w:spacing w:before="160" w:after="12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4d"/>
    <w:pPr>
      <w:ind w:left="720" w:hanging="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5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720355"/>
    <w:pPr>
      <w:tabs/>
      <w:spacing w:lineRule="auto" w:line="240" w:before="0" w:after="0"/>
      <w:ind w:left="346" w:right="0" w:hanging="346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d224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d224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LibreOffice/7.5.3.2$Windows_X86_64 LibreOffice_project/9f56dff12ba03b9acd7730a5a481eea045e468f3</Application>
  <AppVersion>15.0000</AppVersion>
  <Pages>1</Pages>
  <Words>484</Words>
  <Characters>1965</Characters>
  <CharactersWithSpaces>2426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2025-02-16T20:11:00Z</dcterms:created>
  <dc:creator>Shaul Y Khayyat</dc:creator>
  <dc:description/>
  <dc:language>en-US</dc:language>
  <cp:lastModifiedBy>שאול חייט</cp:lastModifiedBy>
  <dcterms:modified xsi:type="dcterms:W3CDTF">2025-02-16T15:29:13Z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