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Liberation Serif" w:eastAsia="NSimSun" w:hAnsi="Liberation Serif" w:cs="Times New Roman"/>
          <w:sz w:val="24"/>
          <w:szCs w:val="24"/>
          <w:rtl/>
        </w:rPr>
        <w:id w:val="-101349422"/>
        <w:docPartObj>
          <w:docPartGallery w:val="Table of Contents"/>
          <w:docPartUnique/>
        </w:docPartObj>
      </w:sdtPr>
      <w:sdtEndPr/>
      <w:sdtContent>
        <w:p w:rsidR="002053B9" w:rsidRDefault="005A1E4A">
          <w:pPr>
            <w:pStyle w:val="TOCHeading"/>
            <w:jc w:val="center"/>
          </w:pPr>
          <w:r>
            <w:rPr>
              <w:rtl/>
            </w:rPr>
            <w:t>תשובות זקנים לרבי אליעזר</w:t>
          </w:r>
        </w:p>
        <w:p w:rsidR="002053B9" w:rsidRDefault="005A1E4A">
          <w:pPr>
            <w:pStyle w:val="TOC1"/>
            <w:rPr>
              <w:rFonts w:asciiTheme="minorHAnsi" w:eastAsiaTheme="minorEastAsia" w:hAnsiTheme="minorHAnsi" w:cstheme="minorBidi"/>
              <w:kern w:val="0"/>
              <w:sz w:val="22"/>
              <w:szCs w:val="22"/>
              <w:lang w:eastAsia="en-US"/>
            </w:rPr>
          </w:pPr>
          <w:r>
            <w:rPr>
              <w:rtl/>
            </w:rPr>
            <w:fldChar w:fldCharType="begin"/>
          </w:r>
          <w:r>
            <w:rPr>
              <w:rStyle w:val="IndexLink"/>
              <w:webHidden/>
              <w:rtl/>
            </w:rPr>
            <w:instrText xml:space="preserve"> TOC \z \o "1-3" \u \h</w:instrText>
          </w:r>
          <w:r>
            <w:rPr>
              <w:rStyle w:val="IndexLink"/>
              <w:rtl/>
            </w:rPr>
            <w:fldChar w:fldCharType="separate"/>
          </w:r>
          <w:hyperlink w:anchor="_Toc135840615">
            <w:r>
              <w:rPr>
                <w:rStyle w:val="IndexLink"/>
                <w:webHidden/>
                <w:rtl/>
              </w:rPr>
              <w:t>רבי טרפון</w:t>
            </w:r>
            <w:r>
              <w:rPr>
                <w:rStyle w:val="IndexLink"/>
                <w:rtl/>
              </w:rPr>
              <w:tab/>
            </w:r>
            <w:r>
              <w:rPr>
                <w:webHidden/>
              </w:rPr>
              <w:fldChar w:fldCharType="begin"/>
            </w:r>
            <w:r>
              <w:rPr>
                <w:webHidden/>
              </w:rPr>
              <w:instrText>PAGEREF _Toc135840615 \h</w:instrText>
            </w:r>
            <w:r>
              <w:rPr>
                <w:webHidden/>
              </w:rPr>
            </w:r>
            <w:r>
              <w:rPr>
                <w:webHidden/>
              </w:rPr>
              <w:fldChar w:fldCharType="separate"/>
            </w:r>
            <w:r>
              <w:rPr>
                <w:rStyle w:val="IndexLink"/>
              </w:rPr>
              <w:t>2</w:t>
            </w:r>
            <w:r>
              <w:rPr>
                <w:webHidden/>
              </w:rPr>
              <w:fldChar w:fldCharType="end"/>
            </w:r>
          </w:hyperlink>
        </w:p>
        <w:p w:rsidR="002053B9" w:rsidRDefault="005A1E4A">
          <w:pPr>
            <w:pStyle w:val="TOC2"/>
            <w:rPr>
              <w:rFonts w:asciiTheme="minorHAnsi" w:eastAsiaTheme="minorEastAsia" w:hAnsiTheme="minorHAnsi" w:cstheme="minorBidi"/>
              <w:kern w:val="0"/>
              <w:sz w:val="22"/>
              <w:szCs w:val="22"/>
              <w:lang w:eastAsia="en-US"/>
            </w:rPr>
          </w:pPr>
          <w:hyperlink w:anchor="_Toc135840616">
            <w:r>
              <w:rPr>
                <w:rStyle w:val="IndexLink"/>
                <w:rFonts w:ascii="Shofar" w:hAnsi="Shofar"/>
                <w:webHidden/>
                <w:rtl/>
              </w:rPr>
              <w:t>קושיה</w:t>
            </w:r>
            <w:r>
              <w:rPr>
                <w:rStyle w:val="IndexLink"/>
                <w:rFonts w:ascii="Shofar" w:hAnsi="Shofar"/>
                <w:rtl/>
              </w:rPr>
              <w:t>:</w:t>
            </w:r>
            <w:r>
              <w:rPr>
                <w:rStyle w:val="IndexLink"/>
                <w:rtl/>
              </w:rPr>
              <w:tab/>
            </w:r>
            <w:r>
              <w:rPr>
                <w:webHidden/>
              </w:rPr>
              <w:fldChar w:fldCharType="begin"/>
            </w:r>
            <w:r>
              <w:rPr>
                <w:webHidden/>
              </w:rPr>
              <w:instrText>PAGEREF _Toc135840616 \h</w:instrText>
            </w:r>
            <w:r>
              <w:rPr>
                <w:webHidden/>
              </w:rPr>
            </w:r>
            <w:r>
              <w:rPr>
                <w:webHidden/>
              </w:rPr>
              <w:fldChar w:fldCharType="separate"/>
            </w:r>
            <w:r>
              <w:rPr>
                <w:rStyle w:val="IndexLink"/>
              </w:rPr>
              <w:t>2</w:t>
            </w:r>
            <w:r>
              <w:rPr>
                <w:webHidden/>
              </w:rPr>
              <w:fldChar w:fldCharType="end"/>
            </w:r>
          </w:hyperlink>
        </w:p>
        <w:p w:rsidR="002053B9" w:rsidRDefault="005A1E4A">
          <w:pPr>
            <w:pStyle w:val="TOC2"/>
            <w:rPr>
              <w:rFonts w:asciiTheme="minorHAnsi" w:eastAsiaTheme="minorEastAsia" w:hAnsiTheme="minorHAnsi" w:cstheme="minorBidi"/>
              <w:kern w:val="0"/>
              <w:sz w:val="22"/>
              <w:szCs w:val="22"/>
              <w:lang w:eastAsia="en-US"/>
            </w:rPr>
          </w:pPr>
          <w:hyperlink w:anchor="_Toc135840617">
            <w:r>
              <w:rPr>
                <w:rStyle w:val="IndexLink"/>
                <w:webHidden/>
                <w:rtl/>
              </w:rPr>
              <w:t>דחייה</w:t>
            </w:r>
            <w:r>
              <w:rPr>
                <w:rStyle w:val="IndexLink"/>
                <w:rtl/>
              </w:rPr>
              <w:t>:</w:t>
            </w:r>
            <w:r>
              <w:rPr>
                <w:rStyle w:val="IndexLink"/>
                <w:rtl/>
              </w:rPr>
              <w:tab/>
            </w:r>
            <w:r>
              <w:rPr>
                <w:webHidden/>
              </w:rPr>
              <w:fldChar w:fldCharType="begin"/>
            </w:r>
            <w:r>
              <w:rPr>
                <w:webHidden/>
              </w:rPr>
              <w:instrText>PAGEREF _Toc</w:instrText>
            </w:r>
            <w:r>
              <w:rPr>
                <w:webHidden/>
              </w:rPr>
              <w:instrText>135840617 \h</w:instrText>
            </w:r>
            <w:r>
              <w:rPr>
                <w:webHidden/>
              </w:rPr>
            </w:r>
            <w:r>
              <w:rPr>
                <w:webHidden/>
              </w:rPr>
              <w:fldChar w:fldCharType="separate"/>
            </w:r>
            <w:r>
              <w:rPr>
                <w:rStyle w:val="IndexLink"/>
              </w:rPr>
              <w:t>3</w:t>
            </w:r>
            <w:r>
              <w:rPr>
                <w:webHidden/>
              </w:rPr>
              <w:fldChar w:fldCharType="end"/>
            </w:r>
          </w:hyperlink>
        </w:p>
        <w:p w:rsidR="002053B9" w:rsidRDefault="005A1E4A">
          <w:pPr>
            <w:pStyle w:val="TOC2"/>
            <w:rPr>
              <w:rFonts w:asciiTheme="minorHAnsi" w:eastAsiaTheme="minorEastAsia" w:hAnsiTheme="minorHAnsi" w:cstheme="minorBidi"/>
              <w:kern w:val="0"/>
              <w:sz w:val="22"/>
              <w:szCs w:val="22"/>
              <w:lang w:eastAsia="en-US"/>
            </w:rPr>
          </w:pPr>
          <w:hyperlink w:anchor="_Toc135840618">
            <w:r>
              <w:rPr>
                <w:rStyle w:val="IndexLink"/>
                <w:webHidden/>
                <w:rtl/>
              </w:rPr>
              <w:t>מה הניח</w:t>
            </w:r>
            <w:r>
              <w:rPr>
                <w:rStyle w:val="IndexLink"/>
                <w:rtl/>
              </w:rPr>
              <w:t>:</w:t>
            </w:r>
            <w:r>
              <w:rPr>
                <w:rStyle w:val="IndexLink"/>
                <w:rtl/>
              </w:rPr>
              <w:tab/>
            </w:r>
            <w:r>
              <w:rPr>
                <w:webHidden/>
              </w:rPr>
              <w:fldChar w:fldCharType="begin"/>
            </w:r>
            <w:r>
              <w:rPr>
                <w:webHidden/>
              </w:rPr>
              <w:instrText>PAGEREF _Toc135840618 \h</w:instrText>
            </w:r>
            <w:r>
              <w:rPr>
                <w:webHidden/>
              </w:rPr>
            </w:r>
            <w:r>
              <w:rPr>
                <w:webHidden/>
              </w:rPr>
              <w:fldChar w:fldCharType="separate"/>
            </w:r>
            <w:r>
              <w:rPr>
                <w:rStyle w:val="IndexLink"/>
              </w:rPr>
              <w:t>4</w:t>
            </w:r>
            <w:r>
              <w:rPr>
                <w:webHidden/>
              </w:rPr>
              <w:fldChar w:fldCharType="end"/>
            </w:r>
          </w:hyperlink>
        </w:p>
        <w:p w:rsidR="002053B9" w:rsidRDefault="005A1E4A">
          <w:pPr>
            <w:pStyle w:val="TOC1"/>
            <w:rPr>
              <w:rFonts w:asciiTheme="minorHAnsi" w:eastAsiaTheme="minorEastAsia" w:hAnsiTheme="minorHAnsi" w:cstheme="minorBidi"/>
              <w:kern w:val="0"/>
              <w:sz w:val="22"/>
              <w:szCs w:val="22"/>
              <w:lang w:eastAsia="en-US"/>
            </w:rPr>
          </w:pPr>
          <w:hyperlink w:anchor="_Toc135840619">
            <w:r>
              <w:rPr>
                <w:rStyle w:val="IndexLink"/>
                <w:webHidden/>
                <w:rtl/>
              </w:rPr>
              <w:t>ר</w:t>
            </w:r>
            <w:r>
              <w:rPr>
                <w:rStyle w:val="IndexLink"/>
                <w:webHidden/>
                <w:rtl/>
              </w:rPr>
              <w:t>בי יוסי הגלילי</w:t>
            </w:r>
            <w:r>
              <w:rPr>
                <w:rStyle w:val="IndexLink"/>
                <w:rtl/>
              </w:rPr>
              <w:tab/>
            </w:r>
            <w:r>
              <w:rPr>
                <w:webHidden/>
              </w:rPr>
              <w:fldChar w:fldCharType="begin"/>
            </w:r>
            <w:r>
              <w:rPr>
                <w:webHidden/>
              </w:rPr>
              <w:instrText>PAGEREF _Toc135840619 \h</w:instrText>
            </w:r>
            <w:r>
              <w:rPr>
                <w:webHidden/>
              </w:rPr>
            </w:r>
            <w:r>
              <w:rPr>
                <w:webHidden/>
              </w:rPr>
              <w:fldChar w:fldCharType="separate"/>
            </w:r>
            <w:r>
              <w:rPr>
                <w:rStyle w:val="IndexLink"/>
              </w:rPr>
              <w:t>7</w:t>
            </w:r>
            <w:r>
              <w:rPr>
                <w:webHidden/>
              </w:rPr>
              <w:fldChar w:fldCharType="end"/>
            </w:r>
          </w:hyperlink>
        </w:p>
        <w:p w:rsidR="002053B9" w:rsidRDefault="005A1E4A">
          <w:pPr>
            <w:pStyle w:val="TOC2"/>
            <w:rPr>
              <w:rFonts w:asciiTheme="minorHAnsi" w:eastAsiaTheme="minorEastAsia" w:hAnsiTheme="minorHAnsi" w:cstheme="minorBidi"/>
              <w:kern w:val="0"/>
              <w:sz w:val="22"/>
              <w:szCs w:val="22"/>
              <w:lang w:eastAsia="en-US"/>
            </w:rPr>
          </w:pPr>
          <w:hyperlink w:anchor="_Toc135840620">
            <w:r>
              <w:rPr>
                <w:rStyle w:val="IndexLink"/>
                <w:rFonts w:ascii="Shofar" w:hAnsi="Shofar"/>
                <w:webHidden/>
                <w:rtl/>
              </w:rPr>
              <w:t>קושיה</w:t>
            </w:r>
            <w:r>
              <w:rPr>
                <w:rStyle w:val="IndexLink"/>
                <w:rFonts w:ascii="Shofar" w:hAnsi="Shofar"/>
                <w:rtl/>
              </w:rPr>
              <w:t>:</w:t>
            </w:r>
            <w:r>
              <w:rPr>
                <w:rStyle w:val="IndexLink"/>
                <w:rtl/>
              </w:rPr>
              <w:tab/>
            </w:r>
            <w:r>
              <w:rPr>
                <w:webHidden/>
              </w:rPr>
              <w:fldChar w:fldCharType="begin"/>
            </w:r>
            <w:r>
              <w:rPr>
                <w:webHidden/>
              </w:rPr>
              <w:instrText>PAGEREF _Toc135840620 \h</w:instrText>
            </w:r>
            <w:r>
              <w:rPr>
                <w:webHidden/>
              </w:rPr>
            </w:r>
            <w:r>
              <w:rPr>
                <w:webHidden/>
              </w:rPr>
              <w:fldChar w:fldCharType="separate"/>
            </w:r>
            <w:r>
              <w:rPr>
                <w:rStyle w:val="IndexLink"/>
              </w:rPr>
              <w:t>7</w:t>
            </w:r>
            <w:r>
              <w:rPr>
                <w:webHidden/>
              </w:rPr>
              <w:fldChar w:fldCharType="end"/>
            </w:r>
          </w:hyperlink>
        </w:p>
        <w:p w:rsidR="002053B9" w:rsidRDefault="005A1E4A">
          <w:pPr>
            <w:pStyle w:val="TOC2"/>
            <w:rPr>
              <w:rFonts w:asciiTheme="minorHAnsi" w:eastAsiaTheme="minorEastAsia" w:hAnsiTheme="minorHAnsi" w:cstheme="minorBidi"/>
              <w:kern w:val="0"/>
              <w:sz w:val="22"/>
              <w:szCs w:val="22"/>
              <w:lang w:eastAsia="en-US"/>
            </w:rPr>
          </w:pPr>
          <w:hyperlink w:anchor="_Toc135840621">
            <w:r>
              <w:rPr>
                <w:rStyle w:val="IndexLink"/>
                <w:rFonts w:ascii="Shofar" w:hAnsi="Shofar"/>
                <w:webHidden/>
                <w:rtl/>
              </w:rPr>
              <w:t>דחייה</w:t>
            </w:r>
            <w:r>
              <w:rPr>
                <w:rStyle w:val="IndexLink"/>
                <w:rFonts w:ascii="Shofar" w:hAnsi="Shofar"/>
                <w:rtl/>
              </w:rPr>
              <w:t>:</w:t>
            </w:r>
            <w:r>
              <w:rPr>
                <w:rStyle w:val="IndexLink"/>
                <w:rtl/>
              </w:rPr>
              <w:tab/>
            </w:r>
            <w:r>
              <w:rPr>
                <w:webHidden/>
              </w:rPr>
              <w:fldChar w:fldCharType="begin"/>
            </w:r>
            <w:r>
              <w:rPr>
                <w:webHidden/>
              </w:rPr>
              <w:instrText>PAGEREF _Toc</w:instrText>
            </w:r>
            <w:r>
              <w:rPr>
                <w:webHidden/>
              </w:rPr>
              <w:instrText>135840621 \h</w:instrText>
            </w:r>
            <w:r>
              <w:rPr>
                <w:webHidden/>
              </w:rPr>
            </w:r>
            <w:r>
              <w:rPr>
                <w:webHidden/>
              </w:rPr>
              <w:fldChar w:fldCharType="separate"/>
            </w:r>
            <w:r>
              <w:rPr>
                <w:rStyle w:val="IndexLink"/>
              </w:rPr>
              <w:t>7</w:t>
            </w:r>
            <w:r>
              <w:rPr>
                <w:webHidden/>
              </w:rPr>
              <w:fldChar w:fldCharType="end"/>
            </w:r>
          </w:hyperlink>
        </w:p>
        <w:p w:rsidR="002053B9" w:rsidRDefault="005A1E4A">
          <w:pPr>
            <w:pStyle w:val="TOC2"/>
            <w:rPr>
              <w:rFonts w:asciiTheme="minorHAnsi" w:eastAsiaTheme="minorEastAsia" w:hAnsiTheme="minorHAnsi" w:cstheme="minorBidi"/>
              <w:kern w:val="0"/>
              <w:sz w:val="22"/>
              <w:szCs w:val="22"/>
              <w:lang w:eastAsia="en-US"/>
            </w:rPr>
          </w:pPr>
          <w:hyperlink w:anchor="_Toc135840622">
            <w:r>
              <w:rPr>
                <w:rStyle w:val="IndexLink"/>
                <w:webHidden/>
                <w:rtl/>
              </w:rPr>
              <w:t>מה הניח</w:t>
            </w:r>
            <w:r>
              <w:rPr>
                <w:rStyle w:val="IndexLink"/>
                <w:rtl/>
              </w:rPr>
              <w:t>:</w:t>
            </w:r>
            <w:r>
              <w:rPr>
                <w:rStyle w:val="IndexLink"/>
                <w:rtl/>
              </w:rPr>
              <w:tab/>
            </w:r>
            <w:r>
              <w:rPr>
                <w:webHidden/>
              </w:rPr>
              <w:fldChar w:fldCharType="begin"/>
            </w:r>
            <w:r>
              <w:rPr>
                <w:webHidden/>
              </w:rPr>
              <w:instrText>PAGEREF _Toc135840622 \h</w:instrText>
            </w:r>
            <w:r>
              <w:rPr>
                <w:webHidden/>
              </w:rPr>
            </w:r>
            <w:r>
              <w:rPr>
                <w:webHidden/>
              </w:rPr>
              <w:fldChar w:fldCharType="separate"/>
            </w:r>
            <w:r>
              <w:rPr>
                <w:rStyle w:val="IndexLink"/>
              </w:rPr>
              <w:t>9</w:t>
            </w:r>
            <w:r>
              <w:rPr>
                <w:webHidden/>
              </w:rPr>
              <w:fldChar w:fldCharType="end"/>
            </w:r>
          </w:hyperlink>
        </w:p>
        <w:p w:rsidR="002053B9" w:rsidRDefault="005A1E4A">
          <w:pPr>
            <w:pStyle w:val="TOC1"/>
            <w:rPr>
              <w:rFonts w:asciiTheme="minorHAnsi" w:eastAsiaTheme="minorEastAsia" w:hAnsiTheme="minorHAnsi" w:cstheme="minorBidi"/>
              <w:kern w:val="0"/>
              <w:sz w:val="22"/>
              <w:szCs w:val="22"/>
              <w:lang w:eastAsia="en-US"/>
            </w:rPr>
          </w:pPr>
          <w:hyperlink w:anchor="_Toc135840623">
            <w:r>
              <w:rPr>
                <w:rStyle w:val="IndexLink"/>
                <w:webHidden/>
                <w:rtl/>
              </w:rPr>
              <w:t>ר</w:t>
            </w:r>
            <w:r>
              <w:rPr>
                <w:rStyle w:val="IndexLink"/>
                <w:webHidden/>
                <w:rtl/>
              </w:rPr>
              <w:t>בי אלעזר בן עזריה</w:t>
            </w:r>
            <w:r>
              <w:rPr>
                <w:rStyle w:val="IndexLink"/>
                <w:rtl/>
              </w:rPr>
              <w:tab/>
            </w:r>
            <w:r>
              <w:rPr>
                <w:webHidden/>
              </w:rPr>
              <w:fldChar w:fldCharType="begin"/>
            </w:r>
            <w:r>
              <w:rPr>
                <w:webHidden/>
              </w:rPr>
              <w:instrText>PAGEREF _Toc135840623 \h</w:instrText>
            </w:r>
            <w:r>
              <w:rPr>
                <w:webHidden/>
              </w:rPr>
            </w:r>
            <w:r>
              <w:rPr>
                <w:webHidden/>
              </w:rPr>
              <w:fldChar w:fldCharType="separate"/>
            </w:r>
            <w:r>
              <w:rPr>
                <w:rStyle w:val="IndexLink"/>
              </w:rPr>
              <w:t>10</w:t>
            </w:r>
            <w:r>
              <w:rPr>
                <w:webHidden/>
              </w:rPr>
              <w:fldChar w:fldCharType="end"/>
            </w:r>
          </w:hyperlink>
        </w:p>
        <w:p w:rsidR="002053B9" w:rsidRDefault="005A1E4A">
          <w:pPr>
            <w:pStyle w:val="TOC2"/>
            <w:rPr>
              <w:rFonts w:asciiTheme="minorHAnsi" w:eastAsiaTheme="minorEastAsia" w:hAnsiTheme="minorHAnsi" w:cstheme="minorBidi"/>
              <w:kern w:val="0"/>
              <w:sz w:val="22"/>
              <w:szCs w:val="22"/>
              <w:lang w:eastAsia="en-US"/>
            </w:rPr>
          </w:pPr>
          <w:hyperlink w:anchor="_Toc135840624">
            <w:r>
              <w:rPr>
                <w:rStyle w:val="IndexLink"/>
                <w:webHidden/>
                <w:rtl/>
              </w:rPr>
              <w:t>קושיה</w:t>
            </w:r>
            <w:r>
              <w:rPr>
                <w:rStyle w:val="IndexLink"/>
                <w:rtl/>
              </w:rPr>
              <w:t>:</w:t>
            </w:r>
            <w:r>
              <w:rPr>
                <w:rStyle w:val="IndexLink"/>
                <w:rtl/>
              </w:rPr>
              <w:tab/>
            </w:r>
            <w:r>
              <w:rPr>
                <w:webHidden/>
              </w:rPr>
              <w:fldChar w:fldCharType="begin"/>
            </w:r>
            <w:r>
              <w:rPr>
                <w:webHidden/>
              </w:rPr>
              <w:instrText>PAGEREF _Toc135840624 \h</w:instrText>
            </w:r>
            <w:r>
              <w:rPr>
                <w:webHidden/>
              </w:rPr>
            </w:r>
            <w:r>
              <w:rPr>
                <w:webHidden/>
              </w:rPr>
              <w:fldChar w:fldCharType="separate"/>
            </w:r>
            <w:r>
              <w:rPr>
                <w:rStyle w:val="IndexLink"/>
              </w:rPr>
              <w:t>10</w:t>
            </w:r>
            <w:r>
              <w:rPr>
                <w:webHidden/>
              </w:rPr>
              <w:fldChar w:fldCharType="end"/>
            </w:r>
          </w:hyperlink>
        </w:p>
        <w:p w:rsidR="002053B9" w:rsidRDefault="005A1E4A">
          <w:pPr>
            <w:pStyle w:val="TOC2"/>
            <w:rPr>
              <w:rFonts w:asciiTheme="minorHAnsi" w:eastAsiaTheme="minorEastAsia" w:hAnsiTheme="minorHAnsi" w:cstheme="minorBidi"/>
              <w:kern w:val="0"/>
              <w:sz w:val="22"/>
              <w:szCs w:val="22"/>
              <w:lang w:eastAsia="en-US"/>
            </w:rPr>
          </w:pPr>
          <w:hyperlink w:anchor="_Toc135840625">
            <w:r>
              <w:rPr>
                <w:rStyle w:val="IndexLink"/>
                <w:webHidden/>
                <w:rtl/>
              </w:rPr>
              <w:t>דחייה</w:t>
            </w:r>
            <w:r>
              <w:rPr>
                <w:rStyle w:val="IndexLink"/>
                <w:rtl/>
              </w:rPr>
              <w:t>:</w:t>
            </w:r>
            <w:r>
              <w:rPr>
                <w:rStyle w:val="IndexLink"/>
                <w:rtl/>
              </w:rPr>
              <w:tab/>
            </w:r>
            <w:r>
              <w:rPr>
                <w:webHidden/>
              </w:rPr>
              <w:fldChar w:fldCharType="begin"/>
            </w:r>
            <w:r>
              <w:rPr>
                <w:webHidden/>
              </w:rPr>
              <w:instrText>PAGEREF _Toc135840625 \h</w:instrText>
            </w:r>
            <w:r>
              <w:rPr>
                <w:webHidden/>
              </w:rPr>
            </w:r>
            <w:r>
              <w:rPr>
                <w:webHidden/>
              </w:rPr>
              <w:fldChar w:fldCharType="separate"/>
            </w:r>
            <w:r>
              <w:rPr>
                <w:rStyle w:val="IndexLink"/>
              </w:rPr>
              <w:t>10</w:t>
            </w:r>
            <w:r>
              <w:rPr>
                <w:webHidden/>
              </w:rPr>
              <w:fldChar w:fldCharType="end"/>
            </w:r>
          </w:hyperlink>
        </w:p>
        <w:p w:rsidR="002053B9" w:rsidRDefault="005A1E4A">
          <w:pPr>
            <w:pStyle w:val="TOC2"/>
            <w:rPr>
              <w:rFonts w:asciiTheme="minorHAnsi" w:eastAsiaTheme="minorEastAsia" w:hAnsiTheme="minorHAnsi" w:cstheme="minorBidi"/>
              <w:kern w:val="0"/>
              <w:sz w:val="22"/>
              <w:szCs w:val="22"/>
              <w:lang w:eastAsia="en-US"/>
            </w:rPr>
          </w:pPr>
          <w:hyperlink w:anchor="_Toc135840626">
            <w:r>
              <w:rPr>
                <w:rStyle w:val="IndexLink"/>
                <w:webHidden/>
                <w:rtl/>
              </w:rPr>
              <w:t>מה הניח</w:t>
            </w:r>
            <w:r>
              <w:rPr>
                <w:rStyle w:val="IndexLink"/>
                <w:rtl/>
              </w:rPr>
              <w:t>:</w:t>
            </w:r>
            <w:r>
              <w:rPr>
                <w:rStyle w:val="IndexLink"/>
                <w:rtl/>
              </w:rPr>
              <w:tab/>
            </w:r>
            <w:r>
              <w:rPr>
                <w:webHidden/>
              </w:rPr>
              <w:fldChar w:fldCharType="begin"/>
            </w:r>
            <w:r>
              <w:rPr>
                <w:webHidden/>
              </w:rPr>
              <w:instrText xml:space="preserve">PAGEREF </w:instrText>
            </w:r>
            <w:r>
              <w:rPr>
                <w:webHidden/>
              </w:rPr>
              <w:instrText>_Toc135840626 \h</w:instrText>
            </w:r>
            <w:r>
              <w:rPr>
                <w:webHidden/>
              </w:rPr>
            </w:r>
            <w:r>
              <w:rPr>
                <w:webHidden/>
              </w:rPr>
              <w:fldChar w:fldCharType="separate"/>
            </w:r>
            <w:r>
              <w:rPr>
                <w:rStyle w:val="IndexLink"/>
              </w:rPr>
              <w:t>10</w:t>
            </w:r>
            <w:r>
              <w:rPr>
                <w:webHidden/>
              </w:rPr>
              <w:fldChar w:fldCharType="end"/>
            </w:r>
          </w:hyperlink>
        </w:p>
        <w:p w:rsidR="002053B9" w:rsidRDefault="005A1E4A">
          <w:pPr>
            <w:pStyle w:val="TOC1"/>
            <w:rPr>
              <w:rFonts w:asciiTheme="minorHAnsi" w:eastAsiaTheme="minorEastAsia" w:hAnsiTheme="minorHAnsi" w:cstheme="minorBidi"/>
              <w:kern w:val="0"/>
              <w:sz w:val="22"/>
              <w:szCs w:val="22"/>
              <w:lang w:eastAsia="en-US"/>
            </w:rPr>
          </w:pPr>
          <w:hyperlink w:anchor="_Toc135840627">
            <w:r>
              <w:rPr>
                <w:rStyle w:val="IndexLink"/>
                <w:webHidden/>
                <w:rtl/>
              </w:rPr>
              <w:t>רבי עקיבא</w:t>
            </w:r>
            <w:r>
              <w:rPr>
                <w:rStyle w:val="IndexLink"/>
                <w:rtl/>
              </w:rPr>
              <w:tab/>
            </w:r>
            <w:r>
              <w:rPr>
                <w:webHidden/>
              </w:rPr>
              <w:fldChar w:fldCharType="begin"/>
            </w:r>
            <w:r>
              <w:rPr>
                <w:webHidden/>
              </w:rPr>
              <w:instrText>PAGEREF _Toc135840627 \h</w:instrText>
            </w:r>
            <w:r>
              <w:rPr>
                <w:webHidden/>
              </w:rPr>
            </w:r>
            <w:r>
              <w:rPr>
                <w:webHidden/>
              </w:rPr>
              <w:fldChar w:fldCharType="separate"/>
            </w:r>
            <w:r>
              <w:rPr>
                <w:rStyle w:val="IndexLink"/>
              </w:rPr>
              <w:t>11</w:t>
            </w:r>
            <w:r>
              <w:rPr>
                <w:webHidden/>
              </w:rPr>
              <w:fldChar w:fldCharType="end"/>
            </w:r>
          </w:hyperlink>
        </w:p>
        <w:p w:rsidR="002053B9" w:rsidRDefault="005A1E4A">
          <w:pPr>
            <w:pStyle w:val="TOC2"/>
            <w:rPr>
              <w:rFonts w:asciiTheme="minorHAnsi" w:eastAsiaTheme="minorEastAsia" w:hAnsiTheme="minorHAnsi" w:cstheme="minorBidi"/>
              <w:kern w:val="0"/>
              <w:sz w:val="22"/>
              <w:szCs w:val="22"/>
              <w:lang w:eastAsia="en-US"/>
            </w:rPr>
          </w:pPr>
          <w:hyperlink w:anchor="_Toc135840628">
            <w:r>
              <w:rPr>
                <w:rStyle w:val="IndexLink"/>
                <w:webHidden/>
                <w:rtl/>
              </w:rPr>
              <w:t>קושיה ראשונה</w:t>
            </w:r>
            <w:r>
              <w:rPr>
                <w:rStyle w:val="IndexLink"/>
                <w:rtl/>
              </w:rPr>
              <w:t>:</w:t>
            </w:r>
            <w:r>
              <w:rPr>
                <w:rStyle w:val="IndexLink"/>
                <w:rtl/>
              </w:rPr>
              <w:tab/>
            </w:r>
            <w:r>
              <w:rPr>
                <w:webHidden/>
              </w:rPr>
              <w:fldChar w:fldCharType="begin"/>
            </w:r>
            <w:r>
              <w:rPr>
                <w:webHidden/>
              </w:rPr>
              <w:instrText>PAGEREF _Toc135840628 \h</w:instrText>
            </w:r>
            <w:r>
              <w:rPr>
                <w:webHidden/>
              </w:rPr>
            </w:r>
            <w:r>
              <w:rPr>
                <w:webHidden/>
              </w:rPr>
              <w:fldChar w:fldCharType="separate"/>
            </w:r>
            <w:r>
              <w:rPr>
                <w:rStyle w:val="IndexLink"/>
              </w:rPr>
              <w:t>11</w:t>
            </w:r>
            <w:r>
              <w:rPr>
                <w:webHidden/>
              </w:rPr>
              <w:fldChar w:fldCharType="end"/>
            </w:r>
          </w:hyperlink>
        </w:p>
        <w:p w:rsidR="002053B9" w:rsidRDefault="005A1E4A">
          <w:pPr>
            <w:pStyle w:val="TOC2"/>
            <w:rPr>
              <w:rFonts w:asciiTheme="minorHAnsi" w:eastAsiaTheme="minorEastAsia" w:hAnsiTheme="minorHAnsi" w:cstheme="minorBidi"/>
              <w:kern w:val="0"/>
              <w:sz w:val="22"/>
              <w:szCs w:val="22"/>
              <w:lang w:eastAsia="en-US"/>
            </w:rPr>
          </w:pPr>
          <w:hyperlink w:anchor="_Toc135840629">
            <w:r>
              <w:rPr>
                <w:rStyle w:val="IndexLink"/>
                <w:webHidden/>
                <w:rtl/>
              </w:rPr>
              <w:t>דחייה</w:t>
            </w:r>
            <w:r>
              <w:rPr>
                <w:rStyle w:val="IndexLink"/>
                <w:rtl/>
              </w:rPr>
              <w:t>:</w:t>
            </w:r>
            <w:r>
              <w:rPr>
                <w:rStyle w:val="IndexLink"/>
                <w:rtl/>
              </w:rPr>
              <w:tab/>
            </w:r>
            <w:r>
              <w:rPr>
                <w:webHidden/>
              </w:rPr>
              <w:fldChar w:fldCharType="begin"/>
            </w:r>
            <w:r>
              <w:rPr>
                <w:webHidden/>
              </w:rPr>
              <w:instrText>PAGEREF _Toc135840629 \h</w:instrText>
            </w:r>
            <w:r>
              <w:rPr>
                <w:webHidden/>
              </w:rPr>
            </w:r>
            <w:r>
              <w:rPr>
                <w:webHidden/>
              </w:rPr>
              <w:fldChar w:fldCharType="separate"/>
            </w:r>
            <w:r>
              <w:rPr>
                <w:rStyle w:val="IndexLink"/>
              </w:rPr>
              <w:t>12</w:t>
            </w:r>
            <w:r>
              <w:rPr>
                <w:webHidden/>
              </w:rPr>
              <w:fldChar w:fldCharType="end"/>
            </w:r>
          </w:hyperlink>
        </w:p>
        <w:p w:rsidR="002053B9" w:rsidRDefault="005A1E4A">
          <w:pPr>
            <w:pStyle w:val="TOC2"/>
            <w:rPr>
              <w:rFonts w:asciiTheme="minorHAnsi" w:eastAsiaTheme="minorEastAsia" w:hAnsiTheme="minorHAnsi" w:cstheme="minorBidi"/>
              <w:kern w:val="0"/>
              <w:sz w:val="22"/>
              <w:szCs w:val="22"/>
              <w:lang w:eastAsia="en-US"/>
            </w:rPr>
          </w:pPr>
          <w:hyperlink w:anchor="_Toc135840630">
            <w:r>
              <w:rPr>
                <w:rStyle w:val="IndexLink"/>
                <w:webHidden/>
                <w:rtl/>
              </w:rPr>
              <w:t>מה הניח</w:t>
            </w:r>
            <w:r>
              <w:rPr>
                <w:rStyle w:val="IndexLink"/>
                <w:rtl/>
              </w:rPr>
              <w:t>:</w:t>
            </w:r>
            <w:r>
              <w:rPr>
                <w:rStyle w:val="IndexLink"/>
                <w:rtl/>
              </w:rPr>
              <w:tab/>
            </w:r>
            <w:r>
              <w:rPr>
                <w:webHidden/>
              </w:rPr>
              <w:fldChar w:fldCharType="begin"/>
            </w:r>
            <w:r>
              <w:rPr>
                <w:webHidden/>
              </w:rPr>
              <w:instrText>PAGEREF _Toc135840630 \h</w:instrText>
            </w:r>
            <w:r>
              <w:rPr>
                <w:webHidden/>
              </w:rPr>
            </w:r>
            <w:r>
              <w:rPr>
                <w:webHidden/>
              </w:rPr>
              <w:fldChar w:fldCharType="separate"/>
            </w:r>
            <w:r>
              <w:rPr>
                <w:rStyle w:val="IndexLink"/>
              </w:rPr>
              <w:t>12</w:t>
            </w:r>
            <w:r>
              <w:rPr>
                <w:webHidden/>
              </w:rPr>
              <w:fldChar w:fldCharType="end"/>
            </w:r>
          </w:hyperlink>
        </w:p>
        <w:p w:rsidR="002053B9" w:rsidRDefault="005A1E4A">
          <w:pPr>
            <w:pStyle w:val="TOC2"/>
            <w:rPr>
              <w:rFonts w:asciiTheme="minorHAnsi" w:eastAsiaTheme="minorEastAsia" w:hAnsiTheme="minorHAnsi" w:cstheme="minorBidi"/>
              <w:kern w:val="0"/>
              <w:sz w:val="22"/>
              <w:szCs w:val="22"/>
              <w:lang w:eastAsia="en-US"/>
            </w:rPr>
          </w:pPr>
          <w:hyperlink w:anchor="_Toc135840631">
            <w:r>
              <w:rPr>
                <w:rStyle w:val="IndexLink"/>
                <w:webHidden/>
                <w:rtl/>
              </w:rPr>
              <w:t>קושיה שניה</w:t>
            </w:r>
            <w:r>
              <w:rPr>
                <w:rStyle w:val="IndexLink"/>
                <w:rtl/>
              </w:rPr>
              <w:t>:</w:t>
            </w:r>
            <w:r>
              <w:rPr>
                <w:rStyle w:val="IndexLink"/>
                <w:rtl/>
              </w:rPr>
              <w:tab/>
            </w:r>
            <w:r>
              <w:rPr>
                <w:webHidden/>
              </w:rPr>
              <w:fldChar w:fldCharType="begin"/>
            </w:r>
            <w:r>
              <w:rPr>
                <w:webHidden/>
              </w:rPr>
              <w:instrText>PAGEREF _Toc135840631 \h</w:instrText>
            </w:r>
            <w:r>
              <w:rPr>
                <w:webHidden/>
              </w:rPr>
            </w:r>
            <w:r>
              <w:rPr>
                <w:webHidden/>
              </w:rPr>
              <w:fldChar w:fldCharType="separate"/>
            </w:r>
            <w:r>
              <w:rPr>
                <w:rStyle w:val="IndexLink"/>
              </w:rPr>
              <w:t>13</w:t>
            </w:r>
            <w:r>
              <w:rPr>
                <w:webHidden/>
              </w:rPr>
              <w:fldChar w:fldCharType="end"/>
            </w:r>
          </w:hyperlink>
        </w:p>
        <w:p w:rsidR="002053B9" w:rsidRDefault="005A1E4A">
          <w:pPr>
            <w:pStyle w:val="TOC2"/>
            <w:rPr>
              <w:rFonts w:asciiTheme="minorHAnsi" w:eastAsiaTheme="minorEastAsia" w:hAnsiTheme="minorHAnsi" w:cstheme="minorBidi"/>
              <w:kern w:val="0"/>
              <w:sz w:val="22"/>
              <w:szCs w:val="22"/>
              <w:lang w:eastAsia="en-US"/>
            </w:rPr>
          </w:pPr>
          <w:hyperlink w:anchor="_Toc135840632">
            <w:r>
              <w:rPr>
                <w:rStyle w:val="IndexLink"/>
                <w:webHidden/>
                <w:rtl/>
              </w:rPr>
              <w:t>דחייה</w:t>
            </w:r>
            <w:r>
              <w:rPr>
                <w:rStyle w:val="IndexLink"/>
                <w:rtl/>
              </w:rPr>
              <w:t>:</w:t>
            </w:r>
            <w:r>
              <w:rPr>
                <w:rStyle w:val="IndexLink"/>
                <w:rtl/>
              </w:rPr>
              <w:tab/>
            </w:r>
            <w:r>
              <w:rPr>
                <w:webHidden/>
              </w:rPr>
              <w:fldChar w:fldCharType="begin"/>
            </w:r>
            <w:r>
              <w:rPr>
                <w:webHidden/>
              </w:rPr>
              <w:instrText>PAGEREF _Toc135840632 \h</w:instrText>
            </w:r>
            <w:r>
              <w:rPr>
                <w:webHidden/>
              </w:rPr>
            </w:r>
            <w:r>
              <w:rPr>
                <w:webHidden/>
              </w:rPr>
              <w:fldChar w:fldCharType="separate"/>
            </w:r>
            <w:r>
              <w:rPr>
                <w:rStyle w:val="IndexLink"/>
              </w:rPr>
              <w:t>13</w:t>
            </w:r>
            <w:r>
              <w:rPr>
                <w:webHidden/>
              </w:rPr>
              <w:fldChar w:fldCharType="end"/>
            </w:r>
          </w:hyperlink>
        </w:p>
        <w:p w:rsidR="002053B9" w:rsidRDefault="005A1E4A">
          <w:pPr>
            <w:pStyle w:val="TOC2"/>
            <w:rPr>
              <w:rFonts w:asciiTheme="minorHAnsi" w:eastAsiaTheme="minorEastAsia" w:hAnsiTheme="minorHAnsi" w:cstheme="minorBidi"/>
              <w:kern w:val="0"/>
              <w:sz w:val="22"/>
              <w:szCs w:val="22"/>
              <w:lang w:eastAsia="en-US"/>
            </w:rPr>
          </w:pPr>
          <w:hyperlink w:anchor="_Toc135840633">
            <w:r>
              <w:rPr>
                <w:rStyle w:val="IndexLink"/>
                <w:webHidden/>
                <w:rtl/>
              </w:rPr>
              <w:t>מה הניח</w:t>
            </w:r>
            <w:r>
              <w:rPr>
                <w:rStyle w:val="IndexLink"/>
                <w:rtl/>
              </w:rPr>
              <w:t>:</w:t>
            </w:r>
            <w:r>
              <w:rPr>
                <w:rStyle w:val="IndexLink"/>
                <w:rtl/>
              </w:rPr>
              <w:tab/>
            </w:r>
            <w:r>
              <w:rPr>
                <w:webHidden/>
              </w:rPr>
              <w:fldChar w:fldCharType="begin"/>
            </w:r>
            <w:r>
              <w:rPr>
                <w:webHidden/>
              </w:rPr>
              <w:instrText>PAGEREF _Toc135840633 \h</w:instrText>
            </w:r>
            <w:r>
              <w:rPr>
                <w:webHidden/>
              </w:rPr>
            </w:r>
            <w:r>
              <w:rPr>
                <w:webHidden/>
              </w:rPr>
              <w:fldChar w:fldCharType="separate"/>
            </w:r>
            <w:r>
              <w:rPr>
                <w:rStyle w:val="IndexLink"/>
              </w:rPr>
              <w:t>14</w:t>
            </w:r>
            <w:r>
              <w:rPr>
                <w:webHidden/>
              </w:rPr>
              <w:fldChar w:fldCharType="end"/>
            </w:r>
          </w:hyperlink>
        </w:p>
        <w:p w:rsidR="002053B9" w:rsidRDefault="005A1E4A">
          <w:pPr>
            <w:pStyle w:val="TOC1"/>
            <w:rPr>
              <w:rFonts w:asciiTheme="minorHAnsi" w:eastAsiaTheme="minorEastAsia" w:hAnsiTheme="minorHAnsi" w:cstheme="minorBidi"/>
              <w:kern w:val="0"/>
              <w:sz w:val="22"/>
              <w:szCs w:val="22"/>
              <w:lang w:eastAsia="en-US"/>
            </w:rPr>
          </w:pPr>
          <w:hyperlink w:anchor="_Toc135840634">
            <w:r>
              <w:rPr>
                <w:rStyle w:val="IndexLink"/>
                <w:webHidden/>
                <w:rtl/>
              </w:rPr>
              <w:t>רבי יהושע</w:t>
            </w:r>
            <w:r>
              <w:rPr>
                <w:rStyle w:val="IndexLink"/>
                <w:rtl/>
              </w:rPr>
              <w:tab/>
            </w:r>
            <w:r>
              <w:rPr>
                <w:webHidden/>
              </w:rPr>
              <w:fldChar w:fldCharType="begin"/>
            </w:r>
            <w:r>
              <w:rPr>
                <w:webHidden/>
              </w:rPr>
              <w:instrText>PAGEREF _Toc135840634 \h</w:instrText>
            </w:r>
            <w:r>
              <w:rPr>
                <w:webHidden/>
              </w:rPr>
            </w:r>
            <w:r>
              <w:rPr>
                <w:webHidden/>
              </w:rPr>
              <w:fldChar w:fldCharType="separate"/>
            </w:r>
            <w:r>
              <w:rPr>
                <w:rStyle w:val="IndexLink"/>
              </w:rPr>
              <w:t>16</w:t>
            </w:r>
            <w:r>
              <w:rPr>
                <w:webHidden/>
              </w:rPr>
              <w:fldChar w:fldCharType="end"/>
            </w:r>
          </w:hyperlink>
        </w:p>
        <w:p w:rsidR="002053B9" w:rsidRDefault="005A1E4A">
          <w:pPr>
            <w:pStyle w:val="TOC2"/>
            <w:rPr>
              <w:rFonts w:asciiTheme="minorHAnsi" w:eastAsiaTheme="minorEastAsia" w:hAnsiTheme="minorHAnsi" w:cstheme="minorBidi"/>
              <w:kern w:val="0"/>
              <w:sz w:val="22"/>
              <w:szCs w:val="22"/>
              <w:lang w:eastAsia="en-US"/>
            </w:rPr>
          </w:pPr>
          <w:hyperlink w:anchor="_Toc135840635">
            <w:r>
              <w:rPr>
                <w:rStyle w:val="IndexLink"/>
                <w:webHidden/>
                <w:rtl/>
              </w:rPr>
              <w:t>קושיה</w:t>
            </w:r>
            <w:r>
              <w:rPr>
                <w:rStyle w:val="IndexLink"/>
                <w:rtl/>
              </w:rPr>
              <w:t>:</w:t>
            </w:r>
            <w:r>
              <w:rPr>
                <w:rStyle w:val="IndexLink"/>
                <w:rtl/>
              </w:rPr>
              <w:tab/>
            </w:r>
            <w:r>
              <w:rPr>
                <w:webHidden/>
              </w:rPr>
              <w:fldChar w:fldCharType="begin"/>
            </w:r>
            <w:r>
              <w:rPr>
                <w:webHidden/>
              </w:rPr>
              <w:instrText>PAGEREF _Toc135840635 \h</w:instrText>
            </w:r>
            <w:r>
              <w:rPr>
                <w:webHidden/>
              </w:rPr>
            </w:r>
            <w:r>
              <w:rPr>
                <w:webHidden/>
              </w:rPr>
              <w:fldChar w:fldCharType="separate"/>
            </w:r>
            <w:r>
              <w:rPr>
                <w:rStyle w:val="IndexLink"/>
              </w:rPr>
              <w:t>16</w:t>
            </w:r>
            <w:r>
              <w:rPr>
                <w:webHidden/>
              </w:rPr>
              <w:fldChar w:fldCharType="end"/>
            </w:r>
          </w:hyperlink>
        </w:p>
        <w:p w:rsidR="002053B9" w:rsidRDefault="005A1E4A">
          <w:r>
            <w:rPr>
              <w:rtl/>
            </w:rPr>
            <w:fldChar w:fldCharType="end"/>
          </w:r>
        </w:p>
      </w:sdtContent>
    </w:sdt>
    <w:p w:rsidR="002053B9" w:rsidRDefault="005A1E4A">
      <w:pPr>
        <w:bidi w:val="0"/>
        <w:rPr>
          <w:rFonts w:ascii="Liberation Sans" w:eastAsia="Microsoft YaHei" w:hAnsi="Liberation Sans"/>
          <w:b/>
          <w:bCs/>
          <w:sz w:val="36"/>
        </w:rPr>
      </w:pPr>
      <w:r>
        <w:br w:type="page"/>
      </w:r>
    </w:p>
    <w:p w:rsidR="002053B9" w:rsidRDefault="005A1E4A">
      <w:pPr>
        <w:pStyle w:val="Heading1"/>
      </w:pPr>
      <w:bookmarkStart w:id="0" w:name="_Toc135840615"/>
      <w:r>
        <w:rPr>
          <w:rtl/>
        </w:rPr>
        <w:lastRenderedPageBreak/>
        <w:t>רבי טרפון</w:t>
      </w:r>
      <w:bookmarkEnd w:id="0"/>
    </w:p>
    <w:p w:rsidR="002053B9" w:rsidRDefault="005A1E4A">
      <w:pPr>
        <w:pStyle w:val="Heading2"/>
        <w:rPr>
          <w:rFonts w:ascii="Shofar" w:hAnsi="Shofar" w:cs="Shofar"/>
        </w:rPr>
      </w:pPr>
      <w:bookmarkStart w:id="1" w:name="_Toc135840616"/>
      <w:r>
        <w:rPr>
          <w:rFonts w:ascii="Shofar" w:hAnsi="Shofar"/>
          <w:b w:val="0"/>
          <w:rtl/>
        </w:rPr>
        <w:t>קושיה</w:t>
      </w:r>
      <w:r>
        <w:rPr>
          <w:rFonts w:ascii="Shofar" w:hAnsi="Shofar" w:cs="Shofar"/>
          <w:b w:val="0"/>
          <w:rtl/>
        </w:rPr>
        <w:t>:</w:t>
      </w:r>
      <w:bookmarkEnd w:id="1"/>
      <w:r>
        <w:rPr>
          <w:rFonts w:ascii="Shofar" w:hAnsi="Shofar" w:cs="Shofar"/>
          <w:b w:val="0"/>
          <w:rtl/>
        </w:rPr>
        <w:t xml:space="preserve"> </w:t>
      </w:r>
    </w:p>
    <w:p w:rsidR="002053B9" w:rsidRDefault="005A1E4A">
      <w:pPr>
        <w:rPr>
          <w:rFonts w:ascii="Shofar" w:hAnsi="Shofar" w:cs="Shofar"/>
        </w:rPr>
      </w:pPr>
      <w:r>
        <w:rPr>
          <w:rFonts w:ascii="Shofar" w:hAnsi="Shofar"/>
          <w:rtl/>
        </w:rPr>
        <w:t>הקשה ש</w:t>
      </w:r>
      <w:r>
        <w:rPr>
          <w:rFonts w:ascii="Shofar" w:hAnsi="Shofar" w:cs="Shofar"/>
          <w:rtl/>
        </w:rPr>
        <w:t>"</w:t>
      </w:r>
      <w:r>
        <w:rPr>
          <w:rFonts w:ascii="Shofar" w:hAnsi="Shofar"/>
          <w:rtl/>
        </w:rPr>
        <w:t xml:space="preserve">הרי שהלכה זו ונישאת לאחיו של זה שנאסרה עליו ומת בלא בנים לא נמצא זה </w:t>
      </w:r>
      <w:r>
        <w:rPr>
          <w:rFonts w:ascii="Shofar" w:hAnsi="Shofar" w:cs="Shofar"/>
          <w:rtl/>
        </w:rPr>
        <w:t>[</w:t>
      </w:r>
      <w:r>
        <w:rPr>
          <w:rFonts w:ascii="Shofar" w:hAnsi="Shofar"/>
          <w:rtl/>
        </w:rPr>
        <w:t>גורם להיות</w:t>
      </w:r>
      <w:r>
        <w:rPr>
          <w:rFonts w:ascii="Shofar" w:hAnsi="Shofar" w:cs="Shofar"/>
          <w:rtl/>
        </w:rPr>
        <w:t xml:space="preserve">] </w:t>
      </w:r>
      <w:r>
        <w:rPr>
          <w:rFonts w:ascii="Shofar" w:hAnsi="Shofar"/>
          <w:rtl/>
        </w:rPr>
        <w:t>עוקר דבר מן התורה</w:t>
      </w:r>
      <w:r>
        <w:rPr>
          <w:rFonts w:ascii="Shofar" w:hAnsi="Shofar" w:cs="Shofar"/>
          <w:rtl/>
        </w:rPr>
        <w:t xml:space="preserve">. </w:t>
      </w:r>
      <w:r>
        <w:rPr>
          <w:rFonts w:ascii="Shofar" w:hAnsi="Shofar"/>
          <w:rtl/>
        </w:rPr>
        <w:t>הא למדת שאין זה כריתות</w:t>
      </w:r>
      <w:r>
        <w:rPr>
          <w:rFonts w:ascii="Shofar" w:hAnsi="Shofar" w:cs="Shofar"/>
          <w:rtl/>
        </w:rPr>
        <w:t>.”</w:t>
      </w:r>
    </w:p>
    <w:p w:rsidR="002053B9" w:rsidRDefault="002053B9">
      <w:pPr>
        <w:rPr>
          <w:rFonts w:ascii="Shofar" w:hAnsi="Shofar" w:cs="Shofar"/>
        </w:rPr>
      </w:pPr>
    </w:p>
    <w:p w:rsidR="002053B9" w:rsidRDefault="005A1E4A">
      <w:pPr>
        <w:rPr>
          <w:rFonts w:ascii="Shofar" w:hAnsi="Shofar" w:cs="Shofar"/>
        </w:rPr>
      </w:pPr>
      <w:r>
        <w:rPr>
          <w:rFonts w:ascii="Shofar" w:hAnsi="Shofar"/>
          <w:rtl/>
        </w:rPr>
        <w:t>יש לדון מה הוא נגד התורה</w:t>
      </w:r>
      <w:r>
        <w:rPr>
          <w:rFonts w:ascii="Shofar" w:hAnsi="Shofar" w:cs="Shofar"/>
          <w:rtl/>
        </w:rPr>
        <w:t>:</w:t>
      </w:r>
    </w:p>
    <w:p w:rsidR="002053B9" w:rsidRDefault="005A1E4A">
      <w:pPr>
        <w:numPr>
          <w:ilvl w:val="0"/>
          <w:numId w:val="5"/>
        </w:numPr>
        <w:rPr>
          <w:rFonts w:ascii="Shofar" w:hAnsi="Shofar" w:cs="Shofar"/>
        </w:rPr>
      </w:pPr>
      <w:r>
        <w:rPr>
          <w:rFonts w:ascii="Shofar" w:hAnsi="Shofar"/>
          <w:rtl/>
        </w:rPr>
        <w:t xml:space="preserve">מה </w:t>
      </w:r>
      <w:r>
        <w:rPr>
          <w:rFonts w:ascii="Shofar" w:hAnsi="Shofar"/>
          <w:rtl/>
        </w:rPr>
        <w:t>שלא מקיימת את שמו</w:t>
      </w:r>
      <w:r>
        <w:rPr>
          <w:rFonts w:ascii="Shofar" w:hAnsi="Shofar" w:cs="Shofar"/>
          <w:rtl/>
        </w:rPr>
        <w:t xml:space="preserve">. </w:t>
      </w:r>
      <w:r>
        <w:rPr>
          <w:rFonts w:ascii="Shofar" w:hAnsi="Shofar"/>
          <w:rtl/>
        </w:rPr>
        <w:t>אין כאן איסור</w:t>
      </w:r>
      <w:r>
        <w:rPr>
          <w:rFonts w:ascii="Shofar" w:hAnsi="Shofar" w:cs="Shofar"/>
          <w:rtl/>
        </w:rPr>
        <w:t xml:space="preserve">, </w:t>
      </w:r>
      <w:r>
        <w:rPr>
          <w:rFonts w:ascii="Shofar" w:hAnsi="Shofar"/>
          <w:rtl/>
        </w:rPr>
        <w:t>שהרי היא נאנסה</w:t>
      </w:r>
      <w:r>
        <w:rPr>
          <w:rFonts w:ascii="Shofar" w:hAnsi="Shofar" w:cs="Shofar"/>
          <w:rtl/>
        </w:rPr>
        <w:t xml:space="preserve">, </w:t>
      </w:r>
      <w:r>
        <w:rPr>
          <w:rFonts w:ascii="Shofar" w:hAnsi="Shofar"/>
          <w:rtl/>
        </w:rPr>
        <w:t>אבל לא חל כיון שיגרום דבר רע</w:t>
      </w:r>
      <w:r>
        <w:rPr>
          <w:rFonts w:ascii="Shofar" w:hAnsi="Shofar" w:cs="Shofar"/>
          <w:rtl/>
        </w:rPr>
        <w:t>.</w:t>
      </w:r>
    </w:p>
    <w:p w:rsidR="002053B9" w:rsidRDefault="005A1E4A">
      <w:pPr>
        <w:numPr>
          <w:ilvl w:val="0"/>
          <w:numId w:val="5"/>
        </w:numPr>
        <w:rPr>
          <w:rFonts w:ascii="Shofar" w:hAnsi="Shofar" w:cs="Shofar"/>
        </w:rPr>
      </w:pPr>
      <w:r>
        <w:rPr>
          <w:rFonts w:ascii="Shofar" w:hAnsi="Shofar"/>
          <w:rtl/>
        </w:rPr>
        <w:t>מה שגורמת שלא תקיים את שמו</w:t>
      </w:r>
      <w:r>
        <w:rPr>
          <w:rFonts w:ascii="Shofar" w:hAnsi="Shofar" w:cs="Shofar"/>
          <w:rtl/>
        </w:rPr>
        <w:t xml:space="preserve">. </w:t>
      </w:r>
      <w:r>
        <w:rPr>
          <w:rFonts w:ascii="Shofar" w:hAnsi="Shofar"/>
          <w:rtl/>
        </w:rPr>
        <w:t>יש בזה איסור</w:t>
      </w:r>
      <w:r>
        <w:rPr>
          <w:rFonts w:ascii="Shofar" w:hAnsi="Shofar" w:cs="Shofar"/>
          <w:rtl/>
        </w:rPr>
        <w:t xml:space="preserve">, </w:t>
      </w:r>
      <w:r>
        <w:rPr>
          <w:rFonts w:ascii="Shofar" w:hAnsi="Shofar"/>
          <w:rtl/>
        </w:rPr>
        <w:t xml:space="preserve">כיון שיגרום רע של </w:t>
      </w:r>
      <w:r>
        <w:rPr>
          <w:rFonts w:ascii="Shofar" w:hAnsi="Shofar" w:cs="Shofar"/>
        </w:rPr>
        <w:t>1</w:t>
      </w:r>
      <w:r>
        <w:rPr>
          <w:rFonts w:ascii="Shofar" w:hAnsi="Shofar" w:cs="Shofar"/>
          <w:rtl/>
        </w:rPr>
        <w:t xml:space="preserve">, </w:t>
      </w:r>
      <w:r>
        <w:rPr>
          <w:rFonts w:ascii="Shofar" w:hAnsi="Shofar"/>
          <w:rtl/>
        </w:rPr>
        <w:t>ואז לא חל מחמת העבירה על צווי ה’ שגרם</w:t>
      </w:r>
      <w:r>
        <w:rPr>
          <w:rFonts w:ascii="Shofar" w:hAnsi="Shofar" w:cs="Shofar"/>
          <w:rtl/>
        </w:rPr>
        <w:t xml:space="preserve">. </w:t>
      </w:r>
      <w:r>
        <w:rPr>
          <w:rFonts w:ascii="Shofar" w:hAnsi="Shofar"/>
          <w:rtl/>
        </w:rPr>
        <w:t>יש להעיר שמחודש לומר שחוששים שימות בלי בנים</w:t>
      </w:r>
      <w:r>
        <w:rPr>
          <w:rFonts w:ascii="Shofar" w:hAnsi="Shofar" w:cs="Shofar"/>
          <w:rtl/>
        </w:rPr>
        <w:t xml:space="preserve">. </w:t>
      </w:r>
      <w:r>
        <w:rPr>
          <w:rFonts w:ascii="Shofar" w:hAnsi="Shofar"/>
          <w:rtl/>
        </w:rPr>
        <w:t xml:space="preserve">עיין בגמרא </w:t>
      </w:r>
      <w:r>
        <w:rPr>
          <w:rFonts w:ascii="Shofar" w:hAnsi="Shofar" w:cs="Shofar"/>
          <w:rtl/>
        </w:rPr>
        <w:t>(</w:t>
      </w:r>
      <w:r>
        <w:rPr>
          <w:rFonts w:ascii="Shofar" w:hAnsi="Shofar"/>
          <w:rtl/>
        </w:rPr>
        <w:t>סוכה כד</w:t>
      </w:r>
      <w:r>
        <w:rPr>
          <w:rFonts w:ascii="Shofar" w:hAnsi="Shofar" w:cs="Shofar"/>
          <w:rtl/>
        </w:rPr>
        <w:t xml:space="preserve">.) </w:t>
      </w:r>
      <w:r>
        <w:rPr>
          <w:rFonts w:ascii="Shofar" w:hAnsi="Shofar"/>
          <w:rtl/>
        </w:rPr>
        <w:t>שחשש למ</w:t>
      </w:r>
      <w:r>
        <w:rPr>
          <w:rFonts w:ascii="Shofar" w:hAnsi="Shofar"/>
          <w:rtl/>
        </w:rPr>
        <w:t>יתה הוא מחלקת תנאי</w:t>
      </w:r>
      <w:r>
        <w:rPr>
          <w:rFonts w:ascii="Shofar" w:hAnsi="Shofar" w:cs="Shofar"/>
          <w:rtl/>
        </w:rPr>
        <w:t xml:space="preserve">. </w:t>
      </w:r>
      <w:r>
        <w:rPr>
          <w:rFonts w:ascii="Shofar" w:hAnsi="Shofar"/>
          <w:rtl/>
        </w:rPr>
        <w:t>כאן</w:t>
      </w:r>
      <w:r>
        <w:rPr>
          <w:rFonts w:ascii="Shofar" w:hAnsi="Shofar" w:cs="Shofar"/>
          <w:rtl/>
        </w:rPr>
        <w:t xml:space="preserve">, </w:t>
      </w:r>
      <w:r>
        <w:rPr>
          <w:rFonts w:ascii="Shofar" w:hAnsi="Shofar"/>
          <w:rtl/>
        </w:rPr>
        <w:t>צריכים לחוש למיתה</w:t>
      </w:r>
      <w:r>
        <w:rPr>
          <w:rFonts w:ascii="Shofar" w:hAnsi="Shofar" w:cs="Shofar"/>
          <w:rtl/>
        </w:rPr>
        <w:t xml:space="preserve">, </w:t>
      </w:r>
      <w:r>
        <w:rPr>
          <w:rFonts w:ascii="Shofar" w:hAnsi="Shofar"/>
          <w:rtl/>
        </w:rPr>
        <w:t>בלא ולד</w:t>
      </w:r>
      <w:r>
        <w:rPr>
          <w:rFonts w:ascii="Shofar" w:hAnsi="Shofar" w:cs="Shofar"/>
          <w:rtl/>
        </w:rPr>
        <w:t xml:space="preserve">, </w:t>
      </w:r>
      <w:r>
        <w:rPr>
          <w:rFonts w:ascii="Shofar" w:hAnsi="Shofar"/>
          <w:rtl/>
        </w:rPr>
        <w:t>עם אח</w:t>
      </w:r>
      <w:r>
        <w:rPr>
          <w:rFonts w:ascii="Shofar" w:hAnsi="Shofar" w:cs="Shofar"/>
          <w:rtl/>
        </w:rPr>
        <w:t>.</w:t>
      </w:r>
    </w:p>
    <w:p w:rsidR="002053B9" w:rsidRDefault="005A1E4A">
      <w:pPr>
        <w:rPr>
          <w:rFonts w:ascii="Shofar" w:hAnsi="Shofar" w:cs="Shofar"/>
        </w:rPr>
      </w:pPr>
      <w:r>
        <w:rPr>
          <w:rFonts w:ascii="Shofar" w:hAnsi="Shofar"/>
          <w:rtl/>
        </w:rPr>
        <w:t xml:space="preserve">עיין לקמן </w:t>
      </w:r>
      <w:r>
        <w:rPr>
          <w:rFonts w:ascii="Shofar" w:hAnsi="Shofar" w:cs="Shofar"/>
          <w:rtl/>
        </w:rPr>
        <w:t>(“</w:t>
      </w:r>
      <w:r>
        <w:rPr>
          <w:rFonts w:ascii="Shofar" w:hAnsi="Shofar"/>
          <w:rtl/>
        </w:rPr>
        <w:t>קשה מה לנו…</w:t>
      </w:r>
      <w:r>
        <w:rPr>
          <w:rFonts w:ascii="Shofar" w:hAnsi="Shofar" w:cs="Shofar"/>
          <w:rtl/>
        </w:rPr>
        <w:t xml:space="preserve">" </w:t>
      </w:r>
      <w:r>
        <w:rPr>
          <w:rFonts w:ascii="Shofar" w:hAnsi="Shofar"/>
          <w:rtl/>
        </w:rPr>
        <w:t xml:space="preserve">שנדון בזה בתוך צד </w:t>
      </w:r>
      <w:r>
        <w:rPr>
          <w:rFonts w:ascii="Shofar" w:hAnsi="Shofar" w:cs="Shofar"/>
        </w:rPr>
        <w:t>2</w:t>
      </w:r>
      <w:r>
        <w:rPr>
          <w:rFonts w:ascii="Shofar" w:hAnsi="Shofar" w:cs="Shofar"/>
          <w:rtl/>
        </w:rPr>
        <w:t>.</w:t>
      </w:r>
      <w:r>
        <w:rPr>
          <w:rStyle w:val="FootnoteReference1"/>
          <w:rFonts w:ascii="Shofar" w:hAnsi="Shofar" w:cs="Shofar"/>
          <w:rtl/>
        </w:rPr>
        <w:footnoteReference w:id="1"/>
      </w:r>
      <w:r>
        <w:rPr>
          <w:rFonts w:ascii="Shofar" w:hAnsi="Shofar" w:cs="Shofar"/>
          <w:rtl/>
        </w:rPr>
        <w:t>).</w:t>
      </w:r>
    </w:p>
    <w:p w:rsidR="002053B9" w:rsidRDefault="005A1E4A">
      <w:pPr>
        <w:rPr>
          <w:rFonts w:ascii="Shofar" w:hAnsi="Shofar" w:cs="Shofar"/>
        </w:rPr>
      </w:pPr>
      <w:r>
        <w:rPr>
          <w:rFonts w:ascii="Shofar" w:hAnsi="Shofar"/>
          <w:rtl/>
        </w:rPr>
        <w:t xml:space="preserve">צריך ביאור מהו הרע של צד ראשון </w:t>
      </w:r>
      <w:r>
        <w:rPr>
          <w:rFonts w:ascii="Shofar" w:hAnsi="Shofar" w:cs="Shofar"/>
          <w:rtl/>
        </w:rPr>
        <w:t>(</w:t>
      </w:r>
      <w:r>
        <w:rPr>
          <w:rFonts w:ascii="Shofar" w:hAnsi="Shofar"/>
          <w:rtl/>
        </w:rPr>
        <w:t>וזה קשה לשני הצדדים</w:t>
      </w:r>
      <w:r>
        <w:rPr>
          <w:rFonts w:ascii="Shofar" w:hAnsi="Shofar" w:cs="Shofar"/>
          <w:rtl/>
        </w:rPr>
        <w:t xml:space="preserve">, </w:t>
      </w:r>
      <w:r>
        <w:rPr>
          <w:rFonts w:ascii="Shofar" w:hAnsi="Shofar"/>
          <w:rtl/>
        </w:rPr>
        <w:t>ששניהם סומכים על אותו רע</w:t>
      </w:r>
      <w:r>
        <w:rPr>
          <w:rFonts w:ascii="Shofar" w:hAnsi="Shofar" w:cs="Shofar"/>
          <w:rtl/>
        </w:rPr>
        <w:t xml:space="preserve">). </w:t>
      </w:r>
      <w:r>
        <w:rPr>
          <w:rFonts w:ascii="Shofar" w:hAnsi="Shofar"/>
          <w:rtl/>
        </w:rPr>
        <w:t>לכאורה</w:t>
      </w:r>
      <w:r>
        <w:rPr>
          <w:rFonts w:ascii="Shofar" w:hAnsi="Shofar" w:cs="Shofar"/>
          <w:rtl/>
        </w:rPr>
        <w:t xml:space="preserve">, </w:t>
      </w:r>
      <w:r>
        <w:rPr>
          <w:rFonts w:ascii="Shofar" w:hAnsi="Shofar"/>
          <w:rtl/>
        </w:rPr>
        <w:t>הוא מה שנמצא ששמו אינו מקויים</w:t>
      </w:r>
      <w:r>
        <w:rPr>
          <w:rFonts w:ascii="Shofar" w:hAnsi="Shofar" w:cs="Shofar"/>
          <w:rtl/>
        </w:rPr>
        <w:t xml:space="preserve">. </w:t>
      </w:r>
      <w:r>
        <w:rPr>
          <w:rFonts w:ascii="Shofar" w:hAnsi="Shofar"/>
          <w:rtl/>
        </w:rPr>
        <w:t>קשה</w:t>
      </w:r>
      <w:r>
        <w:rPr>
          <w:rFonts w:ascii="Shofar" w:hAnsi="Shofar" w:cs="Shofar"/>
          <w:rtl/>
        </w:rPr>
        <w:t xml:space="preserve">, </w:t>
      </w:r>
      <w:r>
        <w:rPr>
          <w:rFonts w:ascii="Shofar" w:hAnsi="Shofar"/>
          <w:rtl/>
        </w:rPr>
        <w:t>שאם לא תשא אותו</w:t>
      </w:r>
      <w:r>
        <w:rPr>
          <w:rFonts w:ascii="Shofar" w:hAnsi="Shofar" w:cs="Shofar"/>
          <w:rtl/>
        </w:rPr>
        <w:t xml:space="preserve">, </w:t>
      </w:r>
      <w:r>
        <w:rPr>
          <w:rFonts w:ascii="Shofar" w:hAnsi="Shofar"/>
          <w:rtl/>
        </w:rPr>
        <w:t>בוודאי</w:t>
      </w:r>
      <w:r>
        <w:rPr>
          <w:rFonts w:ascii="Shofar" w:hAnsi="Shofar"/>
          <w:rtl/>
        </w:rPr>
        <w:t xml:space="preserve"> שמו לא יהיה מקויים</w:t>
      </w:r>
      <w:r>
        <w:rPr>
          <w:rFonts w:ascii="Shofar" w:hAnsi="Shofar" w:cs="Shofar"/>
          <w:rtl/>
        </w:rPr>
        <w:t xml:space="preserve">. </w:t>
      </w:r>
      <w:r>
        <w:rPr>
          <w:rFonts w:ascii="Shofar" w:hAnsi="Shofar"/>
          <w:rtl/>
        </w:rPr>
        <w:t>אם כן</w:t>
      </w:r>
      <w:r>
        <w:rPr>
          <w:rFonts w:ascii="Shofar" w:hAnsi="Shofar" w:cs="Shofar"/>
          <w:rtl/>
        </w:rPr>
        <w:t xml:space="preserve">, </w:t>
      </w:r>
      <w:r>
        <w:rPr>
          <w:rFonts w:ascii="Shofar" w:hAnsi="Shofar"/>
          <w:rtl/>
        </w:rPr>
        <w:t>קשה מהו הבעיה כאן</w:t>
      </w:r>
      <w:r>
        <w:rPr>
          <w:rFonts w:ascii="Shofar" w:hAnsi="Shofar" w:cs="Shofar"/>
          <w:rtl/>
        </w:rPr>
        <w:t>:</w:t>
      </w:r>
    </w:p>
    <w:p w:rsidR="002053B9" w:rsidRDefault="005A1E4A">
      <w:pPr>
        <w:numPr>
          <w:ilvl w:val="0"/>
          <w:numId w:val="6"/>
        </w:numPr>
        <w:rPr>
          <w:rFonts w:ascii="Shofar" w:hAnsi="Shofar" w:cs="Shofar"/>
        </w:rPr>
      </w:pPr>
      <w:r>
        <w:rPr>
          <w:rFonts w:ascii="Shofar" w:hAnsi="Shofar"/>
          <w:rtl/>
        </w:rPr>
        <w:t>אולי אם לא היה נושא אותה</w:t>
      </w:r>
      <w:r>
        <w:rPr>
          <w:rFonts w:ascii="Shofar" w:hAnsi="Shofar" w:cs="Shofar"/>
          <w:rtl/>
        </w:rPr>
        <w:t xml:space="preserve">, </w:t>
      </w:r>
      <w:r>
        <w:rPr>
          <w:rFonts w:ascii="Shofar" w:hAnsi="Shofar"/>
          <w:rtl/>
        </w:rPr>
        <w:t>היה שמו מקויים</w:t>
      </w:r>
      <w:r>
        <w:rPr>
          <w:rFonts w:ascii="Shofar" w:hAnsi="Shofar" w:cs="Shofar"/>
          <w:rtl/>
        </w:rPr>
        <w:t xml:space="preserve">, </w:t>
      </w:r>
      <w:r>
        <w:rPr>
          <w:rFonts w:ascii="Shofar" w:hAnsi="Shofar"/>
          <w:rtl/>
        </w:rPr>
        <w:t>שהיה נושא אחר</w:t>
      </w:r>
      <w:r>
        <w:rPr>
          <w:rFonts w:ascii="Shofar" w:hAnsi="Shofar" w:cs="Shofar"/>
          <w:rtl/>
        </w:rPr>
        <w:t xml:space="preserve">, </w:t>
      </w:r>
      <w:r>
        <w:rPr>
          <w:rFonts w:ascii="Shofar" w:hAnsi="Shofar"/>
          <w:rtl/>
        </w:rPr>
        <w:t>ואותו אחר היה מקיים את שמו</w:t>
      </w:r>
      <w:r>
        <w:rPr>
          <w:rFonts w:ascii="Shofar" w:hAnsi="Shofar" w:cs="Shofar"/>
          <w:rtl/>
        </w:rPr>
        <w:t>.</w:t>
      </w:r>
    </w:p>
    <w:p w:rsidR="002053B9" w:rsidRDefault="005A1E4A">
      <w:pPr>
        <w:numPr>
          <w:ilvl w:val="0"/>
          <w:numId w:val="6"/>
        </w:numPr>
        <w:rPr>
          <w:rFonts w:ascii="Shofar" w:hAnsi="Shofar" w:cs="Shofar"/>
        </w:rPr>
      </w:pPr>
      <w:r>
        <w:rPr>
          <w:rFonts w:ascii="Shofar" w:hAnsi="Shofar"/>
          <w:rtl/>
        </w:rPr>
        <w:t>אולי אותו סיבה שדוחה אינו כשאינו במצב ייבום</w:t>
      </w:r>
      <w:r>
        <w:rPr>
          <w:rFonts w:ascii="Shofar" w:hAnsi="Shofar" w:cs="Shofar"/>
          <w:rtl/>
        </w:rPr>
        <w:t xml:space="preserve">. </w:t>
      </w:r>
      <w:r>
        <w:rPr>
          <w:rFonts w:ascii="Shofar" w:hAnsi="Shofar"/>
          <w:rtl/>
        </w:rPr>
        <w:t>ר</w:t>
      </w:r>
      <w:r>
        <w:rPr>
          <w:rFonts w:ascii="Shofar" w:hAnsi="Shofar" w:cs="Shofar"/>
          <w:rtl/>
        </w:rPr>
        <w:t>"</w:t>
      </w:r>
      <w:r>
        <w:rPr>
          <w:rFonts w:ascii="Shofar" w:hAnsi="Shofar"/>
          <w:rtl/>
        </w:rPr>
        <w:t>ל</w:t>
      </w:r>
      <w:r>
        <w:rPr>
          <w:rFonts w:ascii="Shofar" w:hAnsi="Shofar" w:cs="Shofar"/>
          <w:rtl/>
        </w:rPr>
        <w:t xml:space="preserve">, </w:t>
      </w:r>
      <w:r>
        <w:rPr>
          <w:rFonts w:ascii="Shofar" w:hAnsi="Shofar"/>
          <w:rtl/>
        </w:rPr>
        <w:t>אולי מה שלא מקיימת אינו סיבה שכל אחד מישראל יהיה שמו מקויים</w:t>
      </w:r>
      <w:r>
        <w:rPr>
          <w:rFonts w:ascii="Shofar" w:hAnsi="Shofar" w:cs="Shofar"/>
          <w:rtl/>
        </w:rPr>
        <w:t xml:space="preserve">, </w:t>
      </w:r>
      <w:r>
        <w:rPr>
          <w:rFonts w:ascii="Shofar" w:hAnsi="Shofar"/>
          <w:rtl/>
        </w:rPr>
        <w:t xml:space="preserve">אלא דבר אחר </w:t>
      </w:r>
      <w:r>
        <w:rPr>
          <w:rFonts w:ascii="Shofar" w:hAnsi="Shofar"/>
          <w:rtl/>
        </w:rPr>
        <w:t>שרק כולל מי שנשא אותה</w:t>
      </w:r>
      <w:r>
        <w:rPr>
          <w:rFonts w:ascii="Shofar" w:hAnsi="Shofar" w:cs="Shofar"/>
          <w:rtl/>
        </w:rPr>
        <w:t xml:space="preserve">, </w:t>
      </w:r>
      <w:r>
        <w:rPr>
          <w:rFonts w:ascii="Shofar" w:hAnsi="Shofar"/>
          <w:rtl/>
        </w:rPr>
        <w:t>והוא שכל מיש ישראל שמת נשוי יקיים שמו</w:t>
      </w:r>
      <w:r>
        <w:rPr>
          <w:rFonts w:ascii="Shofar" w:hAnsi="Shofar" w:cs="Shofar"/>
          <w:rtl/>
        </w:rPr>
        <w:t>.</w:t>
      </w:r>
    </w:p>
    <w:p w:rsidR="002053B9" w:rsidRDefault="005A1E4A">
      <w:pPr>
        <w:numPr>
          <w:ilvl w:val="0"/>
          <w:numId w:val="6"/>
        </w:numPr>
        <w:rPr>
          <w:rFonts w:ascii="Shofar" w:hAnsi="Shofar" w:cs="Shofar"/>
        </w:rPr>
      </w:pPr>
      <w:r>
        <w:rPr>
          <w:rFonts w:ascii="Shofar" w:hAnsi="Shofar"/>
          <w:rtl/>
        </w:rPr>
        <w:t>אולי הרע כאן הוא יחסה לרע</w:t>
      </w:r>
      <w:r>
        <w:rPr>
          <w:rFonts w:ascii="Shofar" w:hAnsi="Shofar" w:cs="Shofar"/>
          <w:rtl/>
        </w:rPr>
        <w:t xml:space="preserve">. </w:t>
      </w:r>
      <w:r>
        <w:rPr>
          <w:rFonts w:ascii="Shofar" w:hAnsi="Shofar"/>
          <w:rtl/>
        </w:rPr>
        <w:t>לא מיוחסת אם לא נושא אותה</w:t>
      </w:r>
      <w:r>
        <w:rPr>
          <w:rFonts w:ascii="Shofar" w:hAnsi="Shofar" w:cs="Shofar"/>
          <w:rtl/>
        </w:rPr>
        <w:t xml:space="preserve">, </w:t>
      </w:r>
      <w:r>
        <w:rPr>
          <w:rFonts w:ascii="Shofar" w:hAnsi="Shofar"/>
          <w:rtl/>
        </w:rPr>
        <w:t>שאז יחסה שווה לשל כל אשה</w:t>
      </w:r>
      <w:r>
        <w:rPr>
          <w:rFonts w:ascii="Shofar" w:hAnsi="Shofar" w:cs="Shofar"/>
          <w:rtl/>
        </w:rPr>
        <w:t xml:space="preserve">. </w:t>
      </w:r>
      <w:r>
        <w:rPr>
          <w:rFonts w:ascii="Shofar" w:hAnsi="Shofar"/>
          <w:rtl/>
        </w:rPr>
        <w:t>זה עושה שאינה נחשבת כל כך גורם</w:t>
      </w:r>
      <w:r>
        <w:rPr>
          <w:rFonts w:ascii="Shofar" w:hAnsi="Shofar" w:cs="Shofar"/>
          <w:rtl/>
        </w:rPr>
        <w:t xml:space="preserve">, </w:t>
      </w:r>
      <w:r>
        <w:rPr>
          <w:rFonts w:ascii="Shofar" w:hAnsi="Shofar"/>
          <w:rtl/>
        </w:rPr>
        <w:t>שהיא גרמה בצירוף כמה בני אדם באותו הגרמה</w:t>
      </w:r>
      <w:r>
        <w:rPr>
          <w:rFonts w:ascii="Shofar" w:hAnsi="Shofar" w:cs="Shofar"/>
          <w:rtl/>
        </w:rPr>
        <w:t xml:space="preserve">. </w:t>
      </w:r>
      <w:r>
        <w:rPr>
          <w:rFonts w:ascii="Shofar" w:hAnsi="Shofar"/>
          <w:rtl/>
        </w:rPr>
        <w:t>אבל</w:t>
      </w:r>
      <w:r>
        <w:rPr>
          <w:rFonts w:ascii="Shofar" w:hAnsi="Shofar" w:cs="Shofar"/>
          <w:rtl/>
        </w:rPr>
        <w:t xml:space="preserve">, </w:t>
      </w:r>
      <w:r>
        <w:rPr>
          <w:rFonts w:ascii="Shofar" w:hAnsi="Shofar"/>
          <w:rtl/>
        </w:rPr>
        <w:t>אם נושא אותה</w:t>
      </w:r>
      <w:r>
        <w:rPr>
          <w:rFonts w:ascii="Shofar" w:hAnsi="Shofar" w:cs="Shofar"/>
          <w:rtl/>
        </w:rPr>
        <w:t xml:space="preserve">, </w:t>
      </w:r>
      <w:r>
        <w:rPr>
          <w:rFonts w:ascii="Shofar" w:hAnsi="Shofar"/>
          <w:rtl/>
        </w:rPr>
        <w:t>ולא מייבם</w:t>
      </w:r>
      <w:r>
        <w:rPr>
          <w:rFonts w:ascii="Shofar" w:hAnsi="Shofar" w:cs="Shofar"/>
          <w:rtl/>
        </w:rPr>
        <w:t xml:space="preserve">, </w:t>
      </w:r>
      <w:r>
        <w:rPr>
          <w:rFonts w:ascii="Shofar" w:hAnsi="Shofar"/>
          <w:rtl/>
        </w:rPr>
        <w:t>רק היא ויב</w:t>
      </w:r>
      <w:r>
        <w:rPr>
          <w:rFonts w:ascii="Shofar" w:hAnsi="Shofar"/>
          <w:rtl/>
        </w:rPr>
        <w:t>ם צרפו באותו הגרמה</w:t>
      </w:r>
      <w:r>
        <w:rPr>
          <w:rFonts w:ascii="Shofar" w:hAnsi="Shofar" w:cs="Shofar"/>
          <w:rtl/>
        </w:rPr>
        <w:t xml:space="preserve">. </w:t>
      </w:r>
      <w:r>
        <w:rPr>
          <w:rFonts w:ascii="Shofar" w:hAnsi="Shofar"/>
          <w:rtl/>
        </w:rPr>
        <w:t>אולי</w:t>
      </w:r>
      <w:r>
        <w:rPr>
          <w:rFonts w:ascii="Shofar" w:hAnsi="Shofar" w:cs="Shofar"/>
          <w:rtl/>
        </w:rPr>
        <w:t xml:space="preserve">, </w:t>
      </w:r>
      <w:r>
        <w:rPr>
          <w:rFonts w:ascii="Shofar" w:hAnsi="Shofar"/>
          <w:rtl/>
        </w:rPr>
        <w:t>אז</w:t>
      </w:r>
      <w:r>
        <w:rPr>
          <w:rFonts w:ascii="Shofar" w:hAnsi="Shofar" w:cs="Shofar"/>
          <w:rtl/>
        </w:rPr>
        <w:t xml:space="preserve">, </w:t>
      </w:r>
      <w:r>
        <w:rPr>
          <w:rFonts w:ascii="Shofar" w:hAnsi="Shofar"/>
          <w:rtl/>
        </w:rPr>
        <w:t>היא סיבה יותר גדולה</w:t>
      </w:r>
      <w:r>
        <w:rPr>
          <w:rFonts w:ascii="Shofar" w:hAnsi="Shofar" w:cs="Shofar"/>
          <w:rtl/>
        </w:rPr>
        <w:t>.</w:t>
      </w:r>
    </w:p>
    <w:p w:rsidR="002053B9" w:rsidRDefault="005A1E4A">
      <w:pPr>
        <w:ind w:left="720"/>
        <w:rPr>
          <w:rFonts w:ascii="Shofar" w:hAnsi="Shofar" w:cs="Shofar"/>
        </w:rPr>
      </w:pPr>
      <w:r>
        <w:rPr>
          <w:rFonts w:ascii="Shofar" w:hAnsi="Shofar"/>
          <w:rtl/>
        </w:rPr>
        <w:t>אבל</w:t>
      </w:r>
      <w:r>
        <w:rPr>
          <w:rFonts w:ascii="Shofar" w:hAnsi="Shofar" w:cs="Shofar"/>
          <w:rtl/>
        </w:rPr>
        <w:t xml:space="preserve">, </w:t>
      </w:r>
      <w:r>
        <w:rPr>
          <w:rFonts w:ascii="Shofar" w:hAnsi="Shofar"/>
          <w:rtl/>
        </w:rPr>
        <w:t>זה מניח שמה שהיא תהיה מיוחסת לרע</w:t>
      </w:r>
      <w:r>
        <w:rPr>
          <w:rFonts w:ascii="Shofar" w:hAnsi="Shofar" w:cs="Shofar"/>
          <w:rtl/>
        </w:rPr>
        <w:t xml:space="preserve">- </w:t>
      </w:r>
      <w:r>
        <w:rPr>
          <w:rFonts w:ascii="Shofar" w:hAnsi="Shofar"/>
          <w:rtl/>
        </w:rPr>
        <w:t>ולא מה שיהיה רע</w:t>
      </w:r>
      <w:r>
        <w:rPr>
          <w:rFonts w:ascii="Shofar" w:hAnsi="Shofar" w:cs="Shofar"/>
          <w:rtl/>
        </w:rPr>
        <w:t xml:space="preserve">- </w:t>
      </w:r>
      <w:r>
        <w:rPr>
          <w:rFonts w:ascii="Shofar" w:hAnsi="Shofar"/>
          <w:rtl/>
        </w:rPr>
        <w:t>הוא הגורם כאן</w:t>
      </w:r>
      <w:r>
        <w:rPr>
          <w:rFonts w:ascii="Shofar" w:hAnsi="Shofar" w:cs="Shofar"/>
          <w:rtl/>
        </w:rPr>
        <w:t xml:space="preserve">. </w:t>
      </w:r>
      <w:r>
        <w:rPr>
          <w:rFonts w:ascii="Shofar" w:hAnsi="Shofar"/>
          <w:rtl/>
        </w:rPr>
        <w:t>לכאורה</w:t>
      </w:r>
      <w:r>
        <w:rPr>
          <w:rFonts w:ascii="Shofar" w:hAnsi="Shofar" w:cs="Shofar"/>
          <w:rtl/>
        </w:rPr>
        <w:t xml:space="preserve">, </w:t>
      </w:r>
      <w:r>
        <w:rPr>
          <w:rFonts w:ascii="Shofar" w:hAnsi="Shofar"/>
          <w:rtl/>
        </w:rPr>
        <w:t xml:space="preserve">זה מובן לצד שני </w:t>
      </w:r>
      <w:r>
        <w:rPr>
          <w:rFonts w:ascii="Shofar" w:hAnsi="Shofar" w:cs="Shofar"/>
          <w:rtl/>
        </w:rPr>
        <w:t>(</w:t>
      </w:r>
      <w:r>
        <w:rPr>
          <w:rFonts w:ascii="Shofar" w:hAnsi="Shofar"/>
          <w:rtl/>
        </w:rPr>
        <w:t>שלכן אסור לה לישא</w:t>
      </w:r>
      <w:r>
        <w:rPr>
          <w:rFonts w:ascii="Shofar" w:hAnsi="Shofar" w:cs="Shofar"/>
          <w:rtl/>
        </w:rPr>
        <w:t xml:space="preserve">), </w:t>
      </w:r>
      <w:r>
        <w:rPr>
          <w:rFonts w:ascii="Shofar" w:hAnsi="Shofar"/>
          <w:rtl/>
        </w:rPr>
        <w:t>אבל לא מובן לצד ראשון</w:t>
      </w:r>
      <w:r>
        <w:rPr>
          <w:rFonts w:ascii="Shofar" w:hAnsi="Shofar" w:cs="Shofar"/>
          <w:rtl/>
        </w:rPr>
        <w:t xml:space="preserve">, </w:t>
      </w:r>
      <w:r>
        <w:rPr>
          <w:rFonts w:ascii="Shofar" w:hAnsi="Shofar"/>
          <w:rtl/>
        </w:rPr>
        <w:t>שאין רע במה שהוא מגרים שהיא מיוחסת לאותו רע</w:t>
      </w:r>
      <w:r>
        <w:rPr>
          <w:rFonts w:ascii="Shofar" w:hAnsi="Shofar" w:cs="Shofar"/>
          <w:rtl/>
        </w:rPr>
        <w:t xml:space="preserve">, </w:t>
      </w:r>
      <w:r>
        <w:rPr>
          <w:rFonts w:ascii="Shofar" w:hAnsi="Shofar"/>
          <w:rtl/>
        </w:rPr>
        <w:t>ולא שאחרים מיוחסים לא</w:t>
      </w:r>
      <w:r>
        <w:rPr>
          <w:rFonts w:ascii="Shofar" w:hAnsi="Shofar"/>
          <w:rtl/>
        </w:rPr>
        <w:t>ותו רע</w:t>
      </w:r>
      <w:r>
        <w:rPr>
          <w:rFonts w:ascii="Shofar" w:hAnsi="Shofar" w:cs="Shofar"/>
          <w:rtl/>
        </w:rPr>
        <w:t xml:space="preserve">. </w:t>
      </w:r>
      <w:r>
        <w:rPr>
          <w:rFonts w:ascii="Shofar" w:hAnsi="Shofar"/>
          <w:rtl/>
        </w:rPr>
        <w:t>אולי הרע נתגדל אם מיוחת לאחד ביותר</w:t>
      </w:r>
      <w:r>
        <w:rPr>
          <w:rFonts w:ascii="Shofar" w:hAnsi="Shofar" w:cs="Shofar"/>
          <w:rtl/>
        </w:rPr>
        <w:t xml:space="preserve">. </w:t>
      </w:r>
      <w:r>
        <w:rPr>
          <w:rFonts w:ascii="Shofar" w:hAnsi="Shofar"/>
          <w:rtl/>
        </w:rPr>
        <w:t>צריך ביאור למה יהיה כן</w:t>
      </w:r>
      <w:r>
        <w:rPr>
          <w:rFonts w:ascii="Shofar" w:hAnsi="Shofar" w:cs="Shofar"/>
          <w:rtl/>
        </w:rPr>
        <w:t>.</w:t>
      </w:r>
    </w:p>
    <w:p w:rsidR="002053B9" w:rsidRDefault="002053B9">
      <w:pPr>
        <w:rPr>
          <w:rFonts w:ascii="Shofar" w:hAnsi="Shofar" w:cs="Shofar"/>
        </w:rPr>
      </w:pPr>
    </w:p>
    <w:p w:rsidR="002053B9" w:rsidRDefault="005A1E4A">
      <w:pPr>
        <w:rPr>
          <w:rFonts w:ascii="Shofar" w:hAnsi="Shofar" w:cs="Shofar"/>
        </w:rPr>
      </w:pPr>
      <w:r>
        <w:rPr>
          <w:rFonts w:ascii="Shofar" w:hAnsi="Shofar"/>
          <w:rtl/>
        </w:rPr>
        <w:t>יש להעיר שלכאורה מגמרא זה מוכרח שמה שאין ייבום דוחה איסור ערווה הוא מחמת שנדחה ולא מחמת שהותר</w:t>
      </w:r>
      <w:r>
        <w:rPr>
          <w:rFonts w:ascii="Shofar" w:hAnsi="Shofar" w:cs="Shofar"/>
          <w:rtl/>
        </w:rPr>
        <w:t xml:space="preserve">, </w:t>
      </w:r>
      <w:r>
        <w:rPr>
          <w:rFonts w:ascii="Shofar" w:hAnsi="Shofar"/>
          <w:rtl/>
        </w:rPr>
        <w:t>שאילו הותר</w:t>
      </w:r>
      <w:r>
        <w:rPr>
          <w:rFonts w:ascii="Shofar" w:hAnsi="Shofar" w:cs="Shofar"/>
          <w:rtl/>
        </w:rPr>
        <w:t xml:space="preserve">, </w:t>
      </w:r>
      <w:r>
        <w:rPr>
          <w:rFonts w:ascii="Shofar" w:hAnsi="Shofar"/>
          <w:rtl/>
        </w:rPr>
        <w:t>לא היתה סיבה כאן</w:t>
      </w:r>
      <w:r>
        <w:rPr>
          <w:rFonts w:ascii="Shofar" w:hAnsi="Shofar" w:cs="Shofar"/>
          <w:rtl/>
        </w:rPr>
        <w:t xml:space="preserve">. </w:t>
      </w:r>
      <w:r>
        <w:rPr>
          <w:rFonts w:ascii="Shofar" w:hAnsi="Shofar"/>
          <w:rtl/>
        </w:rPr>
        <w:t>יש לדחות שה</w:t>
      </w:r>
      <w:r>
        <w:rPr>
          <w:rFonts w:ascii="Shofar" w:hAnsi="Shofar" w:cs="Shofar"/>
          <w:rtl/>
        </w:rPr>
        <w:t>(</w:t>
      </w:r>
      <w:r>
        <w:rPr>
          <w:rFonts w:ascii="Shofar" w:hAnsi="Shofar" w:cs="Shofar"/>
        </w:rPr>
        <w:t>characteristic</w:t>
      </w:r>
      <w:r>
        <w:rPr>
          <w:rFonts w:ascii="Shofar" w:hAnsi="Shofar" w:cs="Shofar"/>
          <w:rtl/>
        </w:rPr>
        <w:t xml:space="preserve">) </w:t>
      </w:r>
      <w:r>
        <w:rPr>
          <w:rFonts w:ascii="Shofar" w:hAnsi="Shofar"/>
          <w:rtl/>
        </w:rPr>
        <w:t>של ייבום במקום ערווה אינו שאם תבעל</w:t>
      </w:r>
      <w:r>
        <w:rPr>
          <w:rFonts w:ascii="Shofar" w:hAnsi="Shofar" w:cs="Shofar"/>
          <w:rtl/>
        </w:rPr>
        <w:t xml:space="preserve">, </w:t>
      </w:r>
      <w:r>
        <w:rPr>
          <w:rFonts w:ascii="Shofar" w:hAnsi="Shofar"/>
          <w:rtl/>
        </w:rPr>
        <w:t>תעבור על איסור ערווה</w:t>
      </w:r>
      <w:r>
        <w:rPr>
          <w:rFonts w:ascii="Shofar" w:hAnsi="Shofar" w:cs="Shofar"/>
          <w:rtl/>
        </w:rPr>
        <w:t xml:space="preserve">, </w:t>
      </w:r>
      <w:r>
        <w:rPr>
          <w:rFonts w:ascii="Shofar" w:hAnsi="Shofar"/>
          <w:rtl/>
        </w:rPr>
        <w:t>אלא הוא דבר אחר</w:t>
      </w:r>
      <w:r>
        <w:rPr>
          <w:rFonts w:ascii="Shofar" w:hAnsi="Shofar" w:cs="Shofar"/>
          <w:rtl/>
        </w:rPr>
        <w:t xml:space="preserve">. </w:t>
      </w:r>
      <w:r>
        <w:rPr>
          <w:rFonts w:ascii="Shofar" w:hAnsi="Shofar"/>
          <w:rtl/>
        </w:rPr>
        <w:t>אותו דבר אחר הוא</w:t>
      </w:r>
      <w:r>
        <w:rPr>
          <w:rFonts w:ascii="Shofar" w:hAnsi="Shofar" w:cs="Shofar"/>
          <w:rtl/>
        </w:rPr>
        <w:t>:</w:t>
      </w:r>
    </w:p>
    <w:p w:rsidR="002053B9" w:rsidRDefault="005A1E4A">
      <w:pPr>
        <w:numPr>
          <w:ilvl w:val="0"/>
          <w:numId w:val="7"/>
        </w:numPr>
        <w:rPr>
          <w:rFonts w:ascii="Shofar" w:hAnsi="Shofar" w:cs="Shofar"/>
        </w:rPr>
      </w:pPr>
      <w:r>
        <w:rPr>
          <w:rFonts w:ascii="Shofar" w:hAnsi="Shofar"/>
          <w:rtl/>
        </w:rPr>
        <w:t>יש עכשיו יחס בין שניהם שעושה שייבום רע</w:t>
      </w:r>
      <w:r>
        <w:rPr>
          <w:rFonts w:ascii="Shofar" w:hAnsi="Shofar" w:cs="Shofar"/>
          <w:rtl/>
        </w:rPr>
        <w:t xml:space="preserve">. </w:t>
      </w:r>
      <w:r>
        <w:rPr>
          <w:rFonts w:ascii="Shofar" w:hAnsi="Shofar"/>
          <w:rtl/>
        </w:rPr>
        <w:t>כאן</w:t>
      </w:r>
      <w:r>
        <w:rPr>
          <w:rFonts w:ascii="Shofar" w:hAnsi="Shofar" w:cs="Shofar"/>
          <w:rtl/>
        </w:rPr>
        <w:t xml:space="preserve">, </w:t>
      </w:r>
      <w:r>
        <w:rPr>
          <w:rFonts w:ascii="Shofar" w:hAnsi="Shofar"/>
          <w:rtl/>
        </w:rPr>
        <w:t>אולי אין עכשיו אותו יחס</w:t>
      </w:r>
      <w:r>
        <w:rPr>
          <w:rFonts w:ascii="Shofar" w:hAnsi="Shofar" w:cs="Shofar"/>
          <w:rtl/>
        </w:rPr>
        <w:t>.</w:t>
      </w:r>
    </w:p>
    <w:p w:rsidR="002053B9" w:rsidRDefault="005A1E4A">
      <w:pPr>
        <w:numPr>
          <w:ilvl w:val="0"/>
          <w:numId w:val="7"/>
        </w:numPr>
        <w:rPr>
          <w:rFonts w:ascii="Shofar" w:hAnsi="Shofar" w:cs="Shofar"/>
        </w:rPr>
      </w:pPr>
      <w:r>
        <w:rPr>
          <w:rFonts w:ascii="Shofar" w:hAnsi="Shofar"/>
          <w:rtl/>
        </w:rPr>
        <w:t>אם מתייבם</w:t>
      </w:r>
      <w:r>
        <w:rPr>
          <w:rFonts w:ascii="Shofar" w:hAnsi="Shofar" w:cs="Shofar"/>
          <w:rtl/>
        </w:rPr>
        <w:t xml:space="preserve">, </w:t>
      </w:r>
      <w:r>
        <w:rPr>
          <w:rFonts w:ascii="Shofar" w:hAnsi="Shofar"/>
          <w:rtl/>
        </w:rPr>
        <w:t>יהיה איסור שיוצא מן הייבום</w:t>
      </w:r>
      <w:r>
        <w:rPr>
          <w:rFonts w:ascii="Shofar" w:hAnsi="Shofar" w:cs="Shofar"/>
          <w:rtl/>
        </w:rPr>
        <w:t xml:space="preserve">. </w:t>
      </w:r>
      <w:r>
        <w:rPr>
          <w:rFonts w:ascii="Shofar" w:hAnsi="Shofar"/>
          <w:rtl/>
        </w:rPr>
        <w:t>כאן</w:t>
      </w:r>
      <w:r>
        <w:rPr>
          <w:rFonts w:ascii="Shofar" w:hAnsi="Shofar" w:cs="Shofar"/>
          <w:rtl/>
        </w:rPr>
        <w:t xml:space="preserve">, </w:t>
      </w:r>
      <w:r>
        <w:rPr>
          <w:rFonts w:ascii="Shofar" w:hAnsi="Shofar"/>
          <w:rtl/>
        </w:rPr>
        <w:t xml:space="preserve">אין איסור יכול לצאת מן הייבום </w:t>
      </w:r>
      <w:r>
        <w:rPr>
          <w:rFonts w:ascii="Shofar" w:hAnsi="Shofar" w:cs="Shofar"/>
          <w:rtl/>
        </w:rPr>
        <w:t>(</w:t>
      </w:r>
      <w:r>
        <w:rPr>
          <w:rFonts w:ascii="Shofar" w:hAnsi="Shofar"/>
          <w:rtl/>
        </w:rPr>
        <w:t>אלא שלא יהיה ייבום כלל</w:t>
      </w:r>
      <w:r>
        <w:rPr>
          <w:rFonts w:ascii="Shofar" w:hAnsi="Shofar" w:cs="Shofar"/>
          <w:rtl/>
        </w:rPr>
        <w:t xml:space="preserve">, </w:t>
      </w:r>
      <w:r>
        <w:rPr>
          <w:rFonts w:ascii="Shofar" w:hAnsi="Shofar"/>
          <w:rtl/>
        </w:rPr>
        <w:t>שנמצא שלא היה הקידושין לאחיו</w:t>
      </w:r>
      <w:r>
        <w:rPr>
          <w:rFonts w:ascii="Shofar" w:hAnsi="Shofar"/>
          <w:rtl/>
        </w:rPr>
        <w:t xml:space="preserve"> חל</w:t>
      </w:r>
      <w:r>
        <w:rPr>
          <w:rFonts w:ascii="Shofar" w:hAnsi="Shofar" w:cs="Shofar"/>
          <w:rtl/>
        </w:rPr>
        <w:t>).</w:t>
      </w:r>
    </w:p>
    <w:p w:rsidR="002053B9" w:rsidRDefault="005A1E4A">
      <w:pPr>
        <w:rPr>
          <w:rFonts w:ascii="Shofar" w:hAnsi="Shofar" w:cs="Shofar"/>
        </w:rPr>
      </w:pPr>
      <w:r>
        <w:rPr>
          <w:rFonts w:ascii="Shofar" w:hAnsi="Shofar"/>
          <w:rtl/>
        </w:rPr>
        <w:t>אז</w:t>
      </w:r>
      <w:r>
        <w:rPr>
          <w:rFonts w:ascii="Shofar" w:hAnsi="Shofar" w:cs="Shofar"/>
          <w:rtl/>
        </w:rPr>
        <w:t xml:space="preserve">, </w:t>
      </w:r>
      <w:r>
        <w:rPr>
          <w:rFonts w:ascii="Shofar" w:hAnsi="Shofar"/>
          <w:rtl/>
        </w:rPr>
        <w:t>נמצא שמה שאין ייבום כאן אינו כלל מפני שהערווה דוחה מצוות ייבום</w:t>
      </w:r>
      <w:r>
        <w:rPr>
          <w:rFonts w:ascii="Shofar" w:hAnsi="Shofar" w:cs="Shofar"/>
          <w:rtl/>
        </w:rPr>
        <w:t xml:space="preserve">, </w:t>
      </w:r>
      <w:r>
        <w:rPr>
          <w:rFonts w:ascii="Shofar" w:hAnsi="Shofar"/>
          <w:rtl/>
        </w:rPr>
        <w:t>שהרי לא הותרה כמו שם</w:t>
      </w:r>
      <w:r>
        <w:rPr>
          <w:rFonts w:ascii="Shofar" w:hAnsi="Shofar" w:cs="Shofar"/>
          <w:rtl/>
        </w:rPr>
        <w:t xml:space="preserve">. </w:t>
      </w:r>
      <w:r>
        <w:rPr>
          <w:rFonts w:ascii="Shofar" w:hAnsi="Shofar"/>
          <w:rtl/>
        </w:rPr>
        <w:t>אלא</w:t>
      </w:r>
      <w:r>
        <w:rPr>
          <w:rFonts w:ascii="Shofar" w:hAnsi="Shofar" w:cs="Shofar"/>
          <w:rtl/>
        </w:rPr>
        <w:t xml:space="preserve">, </w:t>
      </w:r>
      <w:r>
        <w:rPr>
          <w:rFonts w:ascii="Shofar" w:hAnsi="Shofar"/>
          <w:rtl/>
        </w:rPr>
        <w:t>הוא מפני שאי אפשר לה לקיים מצוות ייבום</w:t>
      </w:r>
      <w:r>
        <w:rPr>
          <w:rFonts w:ascii="Shofar" w:hAnsi="Shofar" w:cs="Shofar"/>
          <w:rtl/>
        </w:rPr>
        <w:t xml:space="preserve">. </w:t>
      </w:r>
      <w:r>
        <w:rPr>
          <w:rFonts w:ascii="Shofar" w:hAnsi="Shofar"/>
          <w:rtl/>
        </w:rPr>
        <w:t>ותו</w:t>
      </w:r>
      <w:r>
        <w:rPr>
          <w:rFonts w:ascii="Shofar" w:hAnsi="Shofar" w:cs="Shofar"/>
          <w:rtl/>
        </w:rPr>
        <w:t>"</w:t>
      </w:r>
      <w:r>
        <w:rPr>
          <w:rFonts w:ascii="Shofar" w:hAnsi="Shofar"/>
          <w:rtl/>
        </w:rPr>
        <w:t>ת</w:t>
      </w:r>
      <w:r>
        <w:rPr>
          <w:rFonts w:ascii="Shofar" w:hAnsi="Shofar" w:cs="Shofar"/>
          <w:rtl/>
        </w:rPr>
        <w:t xml:space="preserve">. </w:t>
      </w:r>
    </w:p>
    <w:p w:rsidR="002053B9" w:rsidRDefault="005A1E4A">
      <w:pPr>
        <w:rPr>
          <w:rFonts w:ascii="Shofar" w:hAnsi="Shofar" w:cs="Shofar"/>
        </w:rPr>
      </w:pPr>
      <w:r>
        <w:rPr>
          <w:rFonts w:ascii="Shofar" w:hAnsi="Shofar"/>
          <w:rtl/>
        </w:rPr>
        <w:t>שוב שמעתי אחד מעורר שגמרא מדמה אותו לבת אחיו</w:t>
      </w:r>
      <w:r>
        <w:rPr>
          <w:rFonts w:ascii="Shofar" w:hAnsi="Shofar" w:cs="Shofar"/>
          <w:rtl/>
        </w:rPr>
        <w:t xml:space="preserve">. </w:t>
      </w:r>
      <w:r>
        <w:rPr>
          <w:rFonts w:ascii="Shofar" w:hAnsi="Shofar"/>
          <w:rtl/>
        </w:rPr>
        <w:t>שם</w:t>
      </w:r>
      <w:r>
        <w:rPr>
          <w:rFonts w:ascii="Shofar" w:hAnsi="Shofar" w:cs="Shofar"/>
          <w:rtl/>
        </w:rPr>
        <w:t xml:space="preserve">, </w:t>
      </w:r>
      <w:r>
        <w:rPr>
          <w:rFonts w:ascii="Shofar" w:hAnsi="Shofar"/>
          <w:rtl/>
        </w:rPr>
        <w:t>הוא ערווה</w:t>
      </w:r>
      <w:r>
        <w:rPr>
          <w:rFonts w:ascii="Shofar" w:hAnsi="Shofar" w:cs="Shofar"/>
          <w:rtl/>
        </w:rPr>
        <w:t xml:space="preserve">, </w:t>
      </w:r>
      <w:r>
        <w:rPr>
          <w:rFonts w:ascii="Shofar" w:hAnsi="Shofar"/>
          <w:rtl/>
        </w:rPr>
        <w:t>ומניח אותו איסור עליו</w:t>
      </w:r>
      <w:r>
        <w:rPr>
          <w:rFonts w:ascii="Shofar" w:hAnsi="Shofar" w:cs="Shofar"/>
          <w:rtl/>
        </w:rPr>
        <w:t xml:space="preserve">. </w:t>
      </w:r>
      <w:r>
        <w:rPr>
          <w:rFonts w:ascii="Shofar" w:hAnsi="Shofar"/>
          <w:rtl/>
        </w:rPr>
        <w:t>צריך לומר שיש סיבה</w:t>
      </w:r>
      <w:r>
        <w:rPr>
          <w:rFonts w:ascii="Shofar" w:hAnsi="Shofar" w:cs="Shofar"/>
          <w:rtl/>
        </w:rPr>
        <w:t xml:space="preserve">, </w:t>
      </w:r>
      <w:r>
        <w:rPr>
          <w:rFonts w:ascii="Shofar" w:hAnsi="Shofar"/>
          <w:rtl/>
        </w:rPr>
        <w:t>ואו</w:t>
      </w:r>
      <w:r>
        <w:rPr>
          <w:rFonts w:ascii="Shofar" w:hAnsi="Shofar"/>
          <w:rtl/>
        </w:rPr>
        <w:t>תו סיבה נדחה</w:t>
      </w:r>
      <w:r>
        <w:rPr>
          <w:rFonts w:ascii="Shofar" w:hAnsi="Shofar" w:cs="Shofar"/>
          <w:rtl/>
        </w:rPr>
        <w:t xml:space="preserve">, </w:t>
      </w:r>
      <w:r>
        <w:rPr>
          <w:rFonts w:ascii="Shofar" w:hAnsi="Shofar"/>
          <w:rtl/>
        </w:rPr>
        <w:t>ורע להניח אותו סיבה נדחה</w:t>
      </w:r>
      <w:r>
        <w:rPr>
          <w:rFonts w:ascii="Shofar" w:hAnsi="Shofar" w:cs="Shofar"/>
          <w:rtl/>
        </w:rPr>
        <w:t>.</w:t>
      </w:r>
    </w:p>
    <w:p w:rsidR="002053B9" w:rsidRDefault="002053B9">
      <w:pPr>
        <w:rPr>
          <w:rFonts w:ascii="Shofar" w:hAnsi="Shofar" w:cs="Shofar"/>
        </w:rPr>
      </w:pPr>
    </w:p>
    <w:p w:rsidR="002053B9" w:rsidRDefault="005A1E4A">
      <w:pPr>
        <w:rPr>
          <w:rFonts w:ascii="Shofar" w:hAnsi="Shofar" w:cs="Shofar"/>
        </w:rPr>
      </w:pPr>
      <w:r>
        <w:rPr>
          <w:rFonts w:ascii="Shofar" w:hAnsi="Shofar"/>
          <w:rtl/>
        </w:rPr>
        <w:t>קשה מה לנו שגורם עקירת דבר מן התורה</w:t>
      </w:r>
      <w:r>
        <w:rPr>
          <w:rFonts w:ascii="Shofar" w:hAnsi="Shofar" w:cs="Shofar"/>
          <w:rtl/>
        </w:rPr>
        <w:t xml:space="preserve">; </w:t>
      </w:r>
      <w:r>
        <w:rPr>
          <w:rFonts w:ascii="Shofar" w:hAnsi="Shofar"/>
          <w:rtl/>
        </w:rPr>
        <w:t>איפה מצאנו שזה עושה שאין גירושין חלים</w:t>
      </w:r>
      <w:r>
        <w:rPr>
          <w:rFonts w:ascii="Shofar" w:hAnsi="Shofar" w:cs="Shofar"/>
          <w:rtl/>
        </w:rPr>
        <w:t>.</w:t>
      </w:r>
    </w:p>
    <w:p w:rsidR="002053B9" w:rsidRDefault="005A1E4A">
      <w:pPr>
        <w:numPr>
          <w:ilvl w:val="0"/>
          <w:numId w:val="4"/>
        </w:numPr>
        <w:rPr>
          <w:rFonts w:ascii="Shofar" w:hAnsi="Shofar" w:cs="Shofar"/>
        </w:rPr>
      </w:pPr>
      <w:r>
        <w:rPr>
          <w:rFonts w:ascii="Shofar" w:hAnsi="Shofar"/>
          <w:rtl/>
        </w:rPr>
        <w:t xml:space="preserve">אפשר לפרש שהוא </w:t>
      </w:r>
      <w:r>
        <w:rPr>
          <w:rFonts w:ascii="Shofar" w:hAnsi="Shofar" w:cs="Shofar"/>
          <w:rtl/>
        </w:rPr>
        <w:t>"</w:t>
      </w:r>
      <w:r>
        <w:rPr>
          <w:rFonts w:ascii="Shofar" w:hAnsi="Shofar"/>
          <w:rtl/>
        </w:rPr>
        <w:t>מתנה על מה שכתב התורה</w:t>
      </w:r>
      <w:r>
        <w:rPr>
          <w:rFonts w:ascii="Shofar" w:hAnsi="Shofar" w:cs="Shofar"/>
          <w:rtl/>
        </w:rPr>
        <w:t xml:space="preserve">,” </w:t>
      </w:r>
      <w:r>
        <w:rPr>
          <w:rFonts w:ascii="Shofar" w:hAnsi="Shofar"/>
          <w:rtl/>
        </w:rPr>
        <w:t>שתורה אמר שיהיה ייבום</w:t>
      </w:r>
      <w:r>
        <w:rPr>
          <w:rFonts w:ascii="Shofar" w:hAnsi="Shofar" w:cs="Shofar"/>
          <w:rtl/>
        </w:rPr>
        <w:t xml:space="preserve">, </w:t>
      </w:r>
      <w:r>
        <w:rPr>
          <w:rFonts w:ascii="Shofar" w:hAnsi="Shofar"/>
          <w:rtl/>
        </w:rPr>
        <w:t>והוא גורם שאין ייבום</w:t>
      </w:r>
      <w:r>
        <w:rPr>
          <w:rFonts w:ascii="Shofar" w:hAnsi="Shofar" w:cs="Shofar"/>
          <w:rtl/>
        </w:rPr>
        <w:t xml:space="preserve">. </w:t>
      </w:r>
      <w:r>
        <w:rPr>
          <w:rFonts w:ascii="Shofar" w:hAnsi="Shofar"/>
          <w:rtl/>
        </w:rPr>
        <w:t>על זה יש להקשות</w:t>
      </w:r>
      <w:r>
        <w:rPr>
          <w:rFonts w:ascii="Shofar" w:hAnsi="Shofar" w:cs="Shofar"/>
          <w:rtl/>
        </w:rPr>
        <w:t>:</w:t>
      </w:r>
    </w:p>
    <w:p w:rsidR="002053B9" w:rsidRDefault="005A1E4A">
      <w:pPr>
        <w:numPr>
          <w:ilvl w:val="1"/>
          <w:numId w:val="4"/>
        </w:numPr>
        <w:rPr>
          <w:rFonts w:ascii="Shofar" w:hAnsi="Shofar" w:cs="Shofar"/>
        </w:rPr>
      </w:pPr>
      <w:r>
        <w:rPr>
          <w:rFonts w:ascii="Shofar" w:hAnsi="Shofar"/>
          <w:rtl/>
        </w:rPr>
        <w:t>אין זה מתנה על מה שכתב בתורה</w:t>
      </w:r>
      <w:r>
        <w:rPr>
          <w:rFonts w:ascii="Shofar" w:hAnsi="Shofar" w:cs="Shofar"/>
          <w:rtl/>
        </w:rPr>
        <w:t xml:space="preserve">, </w:t>
      </w:r>
      <w:r>
        <w:rPr>
          <w:rFonts w:ascii="Shofar" w:hAnsi="Shofar"/>
          <w:rtl/>
        </w:rPr>
        <w:t xml:space="preserve">שלא </w:t>
      </w:r>
      <w:r>
        <w:rPr>
          <w:rFonts w:ascii="Shofar" w:hAnsi="Shofar"/>
          <w:rtl/>
        </w:rPr>
        <w:t>מוכרחת לעבור על מה שכתב בתורה</w:t>
      </w:r>
      <w:r>
        <w:rPr>
          <w:rFonts w:ascii="Shofar" w:hAnsi="Shofar" w:cs="Shofar"/>
          <w:rtl/>
        </w:rPr>
        <w:t xml:space="preserve">, </w:t>
      </w:r>
      <w:r>
        <w:rPr>
          <w:rFonts w:ascii="Shofar" w:hAnsi="Shofar"/>
          <w:rtl/>
        </w:rPr>
        <w:t>כמו שאומר גמרא לקמן</w:t>
      </w:r>
      <w:r>
        <w:rPr>
          <w:rFonts w:ascii="Shofar" w:hAnsi="Shofar" w:cs="Shofar"/>
          <w:rtl/>
        </w:rPr>
        <w:t>.</w:t>
      </w:r>
    </w:p>
    <w:p w:rsidR="002053B9" w:rsidRDefault="005A1E4A">
      <w:pPr>
        <w:ind w:left="1080"/>
        <w:rPr>
          <w:rFonts w:ascii="Shofar" w:hAnsi="Shofar" w:cs="Shofar"/>
        </w:rPr>
      </w:pPr>
      <w:r>
        <w:rPr>
          <w:rFonts w:ascii="Shofar" w:hAnsi="Shofar"/>
          <w:rtl/>
        </w:rPr>
        <w:t>קל לתרץ לזה שאין הכי נמי</w:t>
      </w:r>
      <w:r>
        <w:rPr>
          <w:rFonts w:ascii="Shofar" w:hAnsi="Shofar" w:cs="Shofar"/>
          <w:rtl/>
        </w:rPr>
        <w:t xml:space="preserve">, </w:t>
      </w:r>
      <w:r>
        <w:rPr>
          <w:rFonts w:ascii="Shofar" w:hAnsi="Shofar"/>
          <w:rtl/>
        </w:rPr>
        <w:t>ואותו מסקנא שאומר כן אינו כרבי טרפון</w:t>
      </w:r>
      <w:r>
        <w:rPr>
          <w:rFonts w:ascii="Shofar" w:hAnsi="Shofar" w:cs="Shofar"/>
          <w:rtl/>
        </w:rPr>
        <w:t xml:space="preserve">, </w:t>
      </w:r>
      <w:r>
        <w:rPr>
          <w:rFonts w:ascii="Shofar" w:hAnsi="Shofar"/>
          <w:rtl/>
        </w:rPr>
        <w:t>כיון ששיטתו נדחה</w:t>
      </w:r>
      <w:r>
        <w:rPr>
          <w:rFonts w:ascii="Shofar" w:hAnsi="Shofar" w:cs="Shofar"/>
          <w:rtl/>
        </w:rPr>
        <w:t>.</w:t>
      </w:r>
    </w:p>
    <w:p w:rsidR="002053B9" w:rsidRDefault="005A1E4A">
      <w:pPr>
        <w:numPr>
          <w:ilvl w:val="1"/>
          <w:numId w:val="4"/>
        </w:numPr>
        <w:rPr>
          <w:rFonts w:ascii="Shofar" w:hAnsi="Shofar" w:cs="Shofar"/>
        </w:rPr>
      </w:pPr>
      <w:r>
        <w:rPr>
          <w:rFonts w:ascii="Shofar" w:hAnsi="Shofar"/>
          <w:rtl/>
        </w:rPr>
        <w:t>אם כן</w:t>
      </w:r>
      <w:r>
        <w:rPr>
          <w:rFonts w:ascii="Shofar" w:hAnsi="Shofar" w:cs="Shofar"/>
          <w:rtl/>
        </w:rPr>
        <w:t xml:space="preserve">, </w:t>
      </w:r>
      <w:r>
        <w:rPr>
          <w:rFonts w:ascii="Shofar" w:hAnsi="Shofar"/>
          <w:rtl/>
        </w:rPr>
        <w:t>קשה למה לא הוכיח גמרא מזה שסבר שחולקים בעל מנת</w:t>
      </w:r>
      <w:r>
        <w:rPr>
          <w:rFonts w:ascii="Shofar" w:hAnsi="Shofar" w:cs="Shofar"/>
          <w:rtl/>
        </w:rPr>
        <w:t xml:space="preserve">, </w:t>
      </w:r>
      <w:r>
        <w:rPr>
          <w:rFonts w:ascii="Shofar" w:hAnsi="Shofar"/>
          <w:rtl/>
        </w:rPr>
        <w:t>ולא בחוץ</w:t>
      </w:r>
      <w:r>
        <w:rPr>
          <w:rFonts w:ascii="Shofar" w:hAnsi="Shofar" w:cs="Shofar"/>
          <w:rtl/>
        </w:rPr>
        <w:t xml:space="preserve">. </w:t>
      </w:r>
      <w:r>
        <w:rPr>
          <w:rFonts w:ascii="Shofar" w:hAnsi="Shofar"/>
          <w:rtl/>
        </w:rPr>
        <w:t>יש לדון</w:t>
      </w:r>
      <w:r>
        <w:rPr>
          <w:rFonts w:ascii="Shofar" w:hAnsi="Shofar" w:cs="Shofar"/>
          <w:rtl/>
        </w:rPr>
        <w:t xml:space="preserve">, </w:t>
      </w:r>
      <w:r>
        <w:rPr>
          <w:rFonts w:ascii="Shofar" w:hAnsi="Shofar"/>
          <w:rtl/>
        </w:rPr>
        <w:t xml:space="preserve">שאולי נוכל לומר סברה כעין </w:t>
      </w:r>
      <w:r>
        <w:rPr>
          <w:rFonts w:ascii="Shofar" w:hAnsi="Shofar" w:cs="Shofar"/>
          <w:rtl/>
        </w:rPr>
        <w:t>"</w:t>
      </w:r>
      <w:r>
        <w:rPr>
          <w:rFonts w:ascii="Shofar" w:hAnsi="Shofar"/>
          <w:rtl/>
        </w:rPr>
        <w:t>מתנה על מה שכ’ בתורה</w:t>
      </w:r>
      <w:r>
        <w:rPr>
          <w:rFonts w:ascii="Shofar" w:hAnsi="Shofar" w:cs="Shofar"/>
          <w:rtl/>
        </w:rPr>
        <w:t>,</w:t>
      </w:r>
      <w:r>
        <w:rPr>
          <w:rFonts w:ascii="Shofar" w:hAnsi="Shofar" w:cs="Shofar"/>
          <w:rtl/>
        </w:rPr>
        <w:t xml:space="preserve">” </w:t>
      </w:r>
      <w:r>
        <w:rPr>
          <w:rFonts w:ascii="Shofar" w:hAnsi="Shofar"/>
          <w:rtl/>
        </w:rPr>
        <w:t>שאולי הוא שמניחים שלא</w:t>
      </w:r>
      <w:r>
        <w:rPr>
          <w:rFonts w:ascii="Shofar" w:hAnsi="Shofar" w:cs="Shofar"/>
          <w:rtl/>
        </w:rPr>
        <w:t xml:space="preserve">, </w:t>
      </w:r>
      <w:r>
        <w:rPr>
          <w:rFonts w:ascii="Shofar" w:hAnsi="Shofar"/>
          <w:rtl/>
        </w:rPr>
        <w:t>באמת</w:t>
      </w:r>
      <w:r>
        <w:rPr>
          <w:rFonts w:ascii="Shofar" w:hAnsi="Shofar" w:cs="Shofar"/>
          <w:rtl/>
        </w:rPr>
        <w:t xml:space="preserve">, </w:t>
      </w:r>
      <w:r>
        <w:rPr>
          <w:rFonts w:ascii="Shofar" w:hAnsi="Shofar"/>
          <w:rtl/>
        </w:rPr>
        <w:t>רצה כן</w:t>
      </w:r>
      <w:r>
        <w:rPr>
          <w:rFonts w:ascii="Shofar" w:hAnsi="Shofar" w:cs="Shofar"/>
          <w:rtl/>
        </w:rPr>
        <w:t xml:space="preserve">. </w:t>
      </w:r>
      <w:r>
        <w:rPr>
          <w:rFonts w:ascii="Shofar" w:hAnsi="Shofar"/>
          <w:rtl/>
        </w:rPr>
        <w:t>אז</w:t>
      </w:r>
      <w:r>
        <w:rPr>
          <w:rFonts w:ascii="Shofar" w:hAnsi="Shofar" w:cs="Shofar"/>
          <w:rtl/>
        </w:rPr>
        <w:t xml:space="preserve">, </w:t>
      </w:r>
      <w:r>
        <w:rPr>
          <w:rFonts w:ascii="Shofar" w:hAnsi="Shofar"/>
          <w:rtl/>
        </w:rPr>
        <w:t>יש לומר כעין זה אף בחוץ</w:t>
      </w:r>
      <w:r>
        <w:rPr>
          <w:rFonts w:ascii="Shofar" w:hAnsi="Shofar" w:cs="Shofar"/>
          <w:rtl/>
        </w:rPr>
        <w:t xml:space="preserve">, </w:t>
      </w:r>
      <w:r>
        <w:rPr>
          <w:rFonts w:ascii="Shofar" w:hAnsi="Shofar"/>
          <w:rtl/>
        </w:rPr>
        <w:t>שממה שגורם עבירה</w:t>
      </w:r>
      <w:r>
        <w:rPr>
          <w:rFonts w:ascii="Shofar" w:hAnsi="Shofar" w:cs="Shofar"/>
          <w:rtl/>
        </w:rPr>
        <w:t xml:space="preserve">, </w:t>
      </w:r>
      <w:r>
        <w:rPr>
          <w:rFonts w:ascii="Shofar" w:hAnsi="Shofar"/>
          <w:rtl/>
        </w:rPr>
        <w:t>צריך לומר שלא</w:t>
      </w:r>
      <w:r>
        <w:rPr>
          <w:rFonts w:ascii="Shofar" w:hAnsi="Shofar" w:cs="Shofar"/>
          <w:rtl/>
        </w:rPr>
        <w:t xml:space="preserve">, </w:t>
      </w:r>
      <w:r>
        <w:rPr>
          <w:rFonts w:ascii="Shofar" w:hAnsi="Shofar"/>
          <w:rtl/>
        </w:rPr>
        <w:t>באמת</w:t>
      </w:r>
      <w:r>
        <w:rPr>
          <w:rFonts w:ascii="Shofar" w:hAnsi="Shofar" w:cs="Shofar"/>
          <w:rtl/>
        </w:rPr>
        <w:t xml:space="preserve">, </w:t>
      </w:r>
      <w:r>
        <w:rPr>
          <w:rFonts w:ascii="Shofar" w:hAnsi="Shofar"/>
          <w:rtl/>
        </w:rPr>
        <w:t>רצה כן</w:t>
      </w:r>
      <w:r>
        <w:rPr>
          <w:rFonts w:ascii="Shofar" w:hAnsi="Shofar" w:cs="Shofar"/>
          <w:rtl/>
        </w:rPr>
        <w:t xml:space="preserve">. </w:t>
      </w:r>
      <w:r>
        <w:rPr>
          <w:rFonts w:ascii="Shofar" w:hAnsi="Shofar"/>
          <w:rtl/>
        </w:rPr>
        <w:t>יותר נראה לומר שרק נקט הדחייה הכי פשוטה</w:t>
      </w:r>
      <w:r>
        <w:rPr>
          <w:rFonts w:ascii="Shofar" w:hAnsi="Shofar" w:cs="Shofar"/>
          <w:rtl/>
        </w:rPr>
        <w:t>.</w:t>
      </w:r>
    </w:p>
    <w:p w:rsidR="002053B9" w:rsidRDefault="005A1E4A">
      <w:pPr>
        <w:numPr>
          <w:ilvl w:val="1"/>
          <w:numId w:val="4"/>
        </w:numPr>
        <w:rPr>
          <w:rFonts w:ascii="Shofar" w:hAnsi="Shofar" w:cs="Shofar"/>
        </w:rPr>
      </w:pPr>
      <w:r>
        <w:rPr>
          <w:rFonts w:ascii="Shofar" w:hAnsi="Shofar"/>
          <w:rtl/>
        </w:rPr>
        <w:t>מתנה על מה שכתב בתורה עושה שהתנאי בטל אבל המעשה קיים</w:t>
      </w:r>
      <w:r>
        <w:rPr>
          <w:rFonts w:ascii="Shofar" w:hAnsi="Shofar" w:cs="Shofar"/>
          <w:rtl/>
        </w:rPr>
        <w:t xml:space="preserve">. </w:t>
      </w:r>
      <w:r>
        <w:rPr>
          <w:rFonts w:ascii="Shofar" w:hAnsi="Shofar"/>
          <w:rtl/>
        </w:rPr>
        <w:t>כאן</w:t>
      </w:r>
      <w:r>
        <w:rPr>
          <w:rFonts w:ascii="Shofar" w:hAnsi="Shofar" w:cs="Shofar"/>
          <w:rtl/>
        </w:rPr>
        <w:t xml:space="preserve">, </w:t>
      </w:r>
      <w:r>
        <w:rPr>
          <w:rFonts w:ascii="Shofar" w:hAnsi="Shofar"/>
          <w:rtl/>
        </w:rPr>
        <w:t>מנסים לעשות שהמעשה בטל</w:t>
      </w:r>
      <w:r>
        <w:rPr>
          <w:rFonts w:ascii="Shofar" w:hAnsi="Shofar" w:cs="Shofar"/>
          <w:rtl/>
        </w:rPr>
        <w:t xml:space="preserve">. </w:t>
      </w:r>
      <w:r>
        <w:rPr>
          <w:rFonts w:ascii="Shofar" w:hAnsi="Shofar"/>
          <w:rtl/>
        </w:rPr>
        <w:t>לכאורה</w:t>
      </w:r>
      <w:r>
        <w:rPr>
          <w:rFonts w:ascii="Shofar" w:hAnsi="Shofar" w:cs="Shofar"/>
          <w:rtl/>
        </w:rPr>
        <w:t xml:space="preserve">, </w:t>
      </w:r>
      <w:r>
        <w:rPr>
          <w:rFonts w:ascii="Shofar" w:hAnsi="Shofar"/>
          <w:rtl/>
        </w:rPr>
        <w:t>אז</w:t>
      </w:r>
      <w:r>
        <w:rPr>
          <w:rFonts w:ascii="Shofar" w:hAnsi="Shofar" w:cs="Shofar"/>
          <w:rtl/>
        </w:rPr>
        <w:t xml:space="preserve">, </w:t>
      </w:r>
      <w:r>
        <w:rPr>
          <w:rFonts w:ascii="Shofar" w:hAnsi="Shofar"/>
          <w:rtl/>
        </w:rPr>
        <w:t xml:space="preserve">צריך לומר כעין </w:t>
      </w:r>
      <w:r>
        <w:rPr>
          <w:rFonts w:ascii="Shofar" w:hAnsi="Shofar" w:cs="Shofar"/>
        </w:rPr>
        <w:t>2</w:t>
      </w:r>
      <w:r>
        <w:rPr>
          <w:rFonts w:ascii="Shofar" w:hAnsi="Shofar" w:cs="Shofar"/>
          <w:rtl/>
        </w:rPr>
        <w:t xml:space="preserve">, </w:t>
      </w:r>
      <w:r>
        <w:rPr>
          <w:rFonts w:ascii="Shofar" w:hAnsi="Shofar"/>
          <w:rtl/>
        </w:rPr>
        <w:t>ולומר שכאן מסתבר לנו שבלי התנאי</w:t>
      </w:r>
      <w:r>
        <w:rPr>
          <w:rFonts w:ascii="Shofar" w:hAnsi="Shofar" w:cs="Shofar"/>
          <w:rtl/>
        </w:rPr>
        <w:t xml:space="preserve">, </w:t>
      </w:r>
      <w:r>
        <w:rPr>
          <w:rFonts w:ascii="Shofar" w:hAnsi="Shofar"/>
          <w:rtl/>
        </w:rPr>
        <w:t>לא רוצה בחלות</w:t>
      </w:r>
      <w:r>
        <w:rPr>
          <w:rFonts w:ascii="Shofar" w:hAnsi="Shofar" w:cs="Shofar"/>
          <w:rtl/>
        </w:rPr>
        <w:t xml:space="preserve">, </w:t>
      </w:r>
      <w:r>
        <w:rPr>
          <w:rFonts w:ascii="Shofar" w:hAnsi="Shofar"/>
          <w:rtl/>
        </w:rPr>
        <w:t>מה שאין כן במקומות אחרים שראינו מתנה על מה שכתוב בתורה</w:t>
      </w:r>
      <w:r>
        <w:rPr>
          <w:rFonts w:ascii="Shofar" w:hAnsi="Shofar" w:cs="Shofar"/>
          <w:rtl/>
        </w:rPr>
        <w:t xml:space="preserve">. </w:t>
      </w:r>
      <w:r>
        <w:rPr>
          <w:rFonts w:ascii="Shofar" w:hAnsi="Shofar"/>
          <w:rtl/>
        </w:rPr>
        <w:t>צריך הגדרה</w:t>
      </w:r>
      <w:r>
        <w:rPr>
          <w:rFonts w:ascii="Shofar" w:hAnsi="Shofar" w:cs="Shofar"/>
          <w:rtl/>
        </w:rPr>
        <w:t xml:space="preserve">, </w:t>
      </w:r>
      <w:r>
        <w:rPr>
          <w:rFonts w:ascii="Shofar" w:hAnsi="Shofar"/>
          <w:rtl/>
        </w:rPr>
        <w:t>אבל נראה מן הסברה לומר שכאן לא ירצה החלות בלי התנאי</w:t>
      </w:r>
      <w:r>
        <w:rPr>
          <w:rFonts w:ascii="Shofar" w:hAnsi="Shofar" w:cs="Shofar"/>
          <w:rtl/>
        </w:rPr>
        <w:t xml:space="preserve">, </w:t>
      </w:r>
      <w:r>
        <w:rPr>
          <w:rFonts w:ascii="Shofar" w:hAnsi="Shofar"/>
          <w:rtl/>
        </w:rPr>
        <w:t>מה שאין כן שם</w:t>
      </w:r>
      <w:r>
        <w:rPr>
          <w:rFonts w:ascii="Shofar" w:hAnsi="Shofar" w:cs="Shofar"/>
          <w:rtl/>
        </w:rPr>
        <w:t xml:space="preserve">, </w:t>
      </w:r>
      <w:r>
        <w:rPr>
          <w:rFonts w:ascii="Shofar" w:hAnsi="Shofar"/>
          <w:rtl/>
        </w:rPr>
        <w:t>שירצה החלות בלי התנאי</w:t>
      </w:r>
      <w:r>
        <w:rPr>
          <w:rFonts w:ascii="Shofar" w:hAnsi="Shofar" w:cs="Shofar"/>
          <w:rtl/>
        </w:rPr>
        <w:t xml:space="preserve">. </w:t>
      </w:r>
      <w:r>
        <w:rPr>
          <w:rFonts w:ascii="Shofar" w:hAnsi="Shofar"/>
          <w:rtl/>
        </w:rPr>
        <w:t>ותחשב</w:t>
      </w:r>
      <w:r>
        <w:rPr>
          <w:rFonts w:ascii="Shofar" w:hAnsi="Shofar" w:cs="Shofar"/>
          <w:rtl/>
        </w:rPr>
        <w:t xml:space="preserve">. </w:t>
      </w:r>
      <w:r>
        <w:rPr>
          <w:rFonts w:ascii="Shofar" w:hAnsi="Shofar"/>
          <w:rtl/>
        </w:rPr>
        <w:t>גם יש לומר שרק מקשה על ר</w:t>
      </w:r>
      <w:r>
        <w:rPr>
          <w:rFonts w:ascii="Shofar" w:hAnsi="Shofar"/>
          <w:rtl/>
        </w:rPr>
        <w:t>בי אליעזר לשיטתו</w:t>
      </w:r>
      <w:r>
        <w:rPr>
          <w:rFonts w:ascii="Shofar" w:hAnsi="Shofar" w:cs="Shofar"/>
          <w:rtl/>
        </w:rPr>
        <w:t xml:space="preserve">, </w:t>
      </w:r>
      <w:r>
        <w:rPr>
          <w:rFonts w:ascii="Shofar" w:hAnsi="Shofar"/>
          <w:rtl/>
        </w:rPr>
        <w:t>ואומר שבוודאי אינו נכון לומר שחל הגירושין עם אותו תנאי</w:t>
      </w:r>
      <w:r>
        <w:rPr>
          <w:rFonts w:ascii="Shofar" w:hAnsi="Shofar" w:cs="Shofar"/>
          <w:rtl/>
        </w:rPr>
        <w:t>. (</w:t>
      </w:r>
      <w:r>
        <w:rPr>
          <w:rFonts w:ascii="Shofar" w:hAnsi="Shofar"/>
          <w:rtl/>
        </w:rPr>
        <w:t>ואם תאמר ל</w:t>
      </w:r>
      <w:r>
        <w:rPr>
          <w:rFonts w:ascii="Shofar" w:hAnsi="Shofar" w:cs="Shofar"/>
          <w:rtl/>
        </w:rPr>
        <w:t>"</w:t>
      </w:r>
      <w:r>
        <w:rPr>
          <w:rFonts w:ascii="Shofar" w:hAnsi="Shofar"/>
          <w:rtl/>
        </w:rPr>
        <w:t>ל באר הטעם שחולק עליו</w:t>
      </w:r>
      <w:r>
        <w:rPr>
          <w:rFonts w:ascii="Shofar" w:hAnsi="Shofar" w:cs="Shofar"/>
          <w:rtl/>
        </w:rPr>
        <w:t xml:space="preserve">. </w:t>
      </w:r>
      <w:r>
        <w:rPr>
          <w:rFonts w:ascii="Shofar" w:hAnsi="Shofar"/>
          <w:rtl/>
        </w:rPr>
        <w:t>וי</w:t>
      </w:r>
      <w:r>
        <w:rPr>
          <w:rFonts w:ascii="Shofar" w:hAnsi="Shofar" w:cs="Shofar"/>
          <w:rtl/>
        </w:rPr>
        <w:t>"</w:t>
      </w:r>
      <w:r>
        <w:rPr>
          <w:rFonts w:ascii="Shofar" w:hAnsi="Shofar"/>
          <w:rtl/>
        </w:rPr>
        <w:t xml:space="preserve">ל </w:t>
      </w:r>
      <w:r>
        <w:rPr>
          <w:rFonts w:ascii="Shofar" w:hAnsi="Shofar"/>
          <w:rtl/>
        </w:rPr>
        <w:lastRenderedPageBreak/>
        <w:t>שאינו קושיה כל כך חזקה ומוכרחת</w:t>
      </w:r>
      <w:r>
        <w:rPr>
          <w:rFonts w:ascii="Shofar" w:hAnsi="Shofar" w:cs="Shofar"/>
          <w:rtl/>
        </w:rPr>
        <w:t xml:space="preserve">. </w:t>
      </w:r>
      <w:r>
        <w:rPr>
          <w:rFonts w:ascii="Shofar" w:hAnsi="Shofar"/>
          <w:rtl/>
        </w:rPr>
        <w:t>אבל</w:t>
      </w:r>
      <w:r>
        <w:rPr>
          <w:rFonts w:ascii="Shofar" w:hAnsi="Shofar" w:cs="Shofar"/>
          <w:rtl/>
        </w:rPr>
        <w:t xml:space="preserve">, </w:t>
      </w:r>
      <w:r>
        <w:rPr>
          <w:rFonts w:ascii="Shofar" w:hAnsi="Shofar"/>
          <w:rtl/>
        </w:rPr>
        <w:t>קצת צריך ביאור מה מנסה לעשות כאן</w:t>
      </w:r>
      <w:r>
        <w:rPr>
          <w:rFonts w:ascii="Shofar" w:hAnsi="Shofar" w:cs="Shofar"/>
          <w:rtl/>
        </w:rPr>
        <w:t xml:space="preserve">, </w:t>
      </w:r>
      <w:r>
        <w:rPr>
          <w:rFonts w:ascii="Shofar" w:hAnsi="Shofar"/>
          <w:rtl/>
        </w:rPr>
        <w:t>שכנראה</w:t>
      </w:r>
      <w:r>
        <w:rPr>
          <w:rFonts w:ascii="Shofar" w:hAnsi="Shofar" w:cs="Shofar"/>
          <w:rtl/>
        </w:rPr>
        <w:t xml:space="preserve">, </w:t>
      </w:r>
      <w:r>
        <w:rPr>
          <w:rFonts w:ascii="Shofar" w:hAnsi="Shofar"/>
          <w:rtl/>
        </w:rPr>
        <w:t>היינו צריכים לומר שהוא רק להוכיח שר</w:t>
      </w:r>
      <w:r>
        <w:rPr>
          <w:rFonts w:ascii="Shofar" w:hAnsi="Shofar" w:cs="Shofar"/>
          <w:rtl/>
        </w:rPr>
        <w:t>"</w:t>
      </w:r>
      <w:r>
        <w:rPr>
          <w:rFonts w:ascii="Shofar" w:hAnsi="Shofar"/>
          <w:rtl/>
        </w:rPr>
        <w:t>א אינו נכון</w:t>
      </w:r>
      <w:r>
        <w:rPr>
          <w:rFonts w:ascii="Shofar" w:hAnsi="Shofar" w:cs="Shofar"/>
          <w:rtl/>
        </w:rPr>
        <w:t xml:space="preserve">, </w:t>
      </w:r>
      <w:r>
        <w:rPr>
          <w:rFonts w:ascii="Shofar" w:hAnsi="Shofar"/>
          <w:rtl/>
        </w:rPr>
        <w:t>ולא להוכיח שהו</w:t>
      </w:r>
      <w:r>
        <w:rPr>
          <w:rFonts w:ascii="Shofar" w:hAnsi="Shofar"/>
          <w:rtl/>
        </w:rPr>
        <w:t>א עצמו נכון</w:t>
      </w:r>
      <w:r>
        <w:rPr>
          <w:rFonts w:ascii="Shofar" w:hAnsi="Shofar" w:cs="Shofar"/>
          <w:rtl/>
        </w:rPr>
        <w:t xml:space="preserve">. </w:t>
      </w:r>
      <w:r>
        <w:rPr>
          <w:rFonts w:ascii="Shofar" w:hAnsi="Shofar"/>
          <w:rtl/>
        </w:rPr>
        <w:t>זה מוזר לומר</w:t>
      </w:r>
      <w:r>
        <w:rPr>
          <w:rFonts w:ascii="Shofar" w:hAnsi="Shofar" w:cs="Shofar"/>
          <w:rtl/>
        </w:rPr>
        <w:t xml:space="preserve">.) </w:t>
      </w:r>
      <w:r>
        <w:rPr>
          <w:rFonts w:ascii="Shofar" w:hAnsi="Shofar"/>
          <w:rtl/>
        </w:rPr>
        <w:t>גם יש לומר שסובר שחל המעשה בכל מקום</w:t>
      </w:r>
      <w:r>
        <w:rPr>
          <w:rFonts w:ascii="Shofar" w:hAnsi="Shofar" w:cs="Shofar"/>
          <w:rtl/>
        </w:rPr>
        <w:t xml:space="preserve">, </w:t>
      </w:r>
      <w:r>
        <w:rPr>
          <w:rFonts w:ascii="Shofar" w:hAnsi="Shofar"/>
          <w:rtl/>
        </w:rPr>
        <w:t>ולא סובר כשום אחד מן השיטות שבמשנה</w:t>
      </w:r>
      <w:r>
        <w:rPr>
          <w:rFonts w:ascii="Shofar" w:hAnsi="Shofar" w:cs="Shofar"/>
          <w:rtl/>
        </w:rPr>
        <w:t>.</w:t>
      </w:r>
    </w:p>
    <w:p w:rsidR="002053B9" w:rsidRDefault="005A1E4A">
      <w:pPr>
        <w:numPr>
          <w:ilvl w:val="0"/>
          <w:numId w:val="4"/>
        </w:numPr>
        <w:rPr>
          <w:rFonts w:ascii="Shofar" w:hAnsi="Shofar" w:cs="Shofar"/>
        </w:rPr>
      </w:pPr>
      <w:r>
        <w:rPr>
          <w:rFonts w:ascii="Shofar" w:hAnsi="Shofar"/>
          <w:rtl/>
        </w:rPr>
        <w:t>אפשר לפרש שיש כאן שיור חשוב</w:t>
      </w:r>
      <w:r>
        <w:rPr>
          <w:rFonts w:ascii="Shofar" w:hAnsi="Shofar" w:cs="Shofar"/>
          <w:rtl/>
        </w:rPr>
        <w:t xml:space="preserve">. </w:t>
      </w:r>
      <w:r>
        <w:rPr>
          <w:rFonts w:ascii="Shofar" w:hAnsi="Shofar"/>
          <w:rtl/>
        </w:rPr>
        <w:t>השיור החשוב הוא</w:t>
      </w:r>
      <w:r>
        <w:rPr>
          <w:rFonts w:ascii="Shofar" w:hAnsi="Shofar" w:cs="Shofar"/>
          <w:rtl/>
        </w:rPr>
        <w:t>:</w:t>
      </w:r>
    </w:p>
    <w:p w:rsidR="002053B9" w:rsidRDefault="005A1E4A">
      <w:pPr>
        <w:numPr>
          <w:ilvl w:val="1"/>
          <w:numId w:val="4"/>
        </w:numPr>
        <w:rPr>
          <w:rFonts w:ascii="Shofar" w:hAnsi="Shofar" w:cs="Shofar"/>
        </w:rPr>
      </w:pPr>
      <w:r>
        <w:rPr>
          <w:rFonts w:ascii="Shofar" w:hAnsi="Shofar"/>
          <w:rtl/>
        </w:rPr>
        <w:t>אולי יגרום לה עבירה</w:t>
      </w:r>
      <w:r>
        <w:rPr>
          <w:rFonts w:ascii="Shofar" w:hAnsi="Shofar" w:cs="Shofar"/>
          <w:rtl/>
        </w:rPr>
        <w:t xml:space="preserve">. </w:t>
      </w:r>
      <w:r>
        <w:rPr>
          <w:rFonts w:ascii="Shofar" w:hAnsi="Shofar"/>
          <w:rtl/>
        </w:rPr>
        <w:t>כיון שהוא יגרום לה עבירה</w:t>
      </w:r>
      <w:r>
        <w:rPr>
          <w:rFonts w:ascii="Shofar" w:hAnsi="Shofar" w:cs="Shofar"/>
          <w:rtl/>
        </w:rPr>
        <w:t xml:space="preserve">, </w:t>
      </w:r>
      <w:r>
        <w:rPr>
          <w:rFonts w:ascii="Shofar" w:hAnsi="Shofar"/>
          <w:rtl/>
        </w:rPr>
        <w:t>הוא עדיין מיוחס לה</w:t>
      </w:r>
      <w:r>
        <w:rPr>
          <w:rFonts w:ascii="Shofar" w:hAnsi="Shofar" w:cs="Shofar"/>
          <w:rtl/>
        </w:rPr>
        <w:t xml:space="preserve">, </w:t>
      </w:r>
      <w:r>
        <w:rPr>
          <w:rFonts w:ascii="Shofar" w:hAnsi="Shofar"/>
          <w:rtl/>
        </w:rPr>
        <w:t>והוא שייר בגט</w:t>
      </w:r>
      <w:r>
        <w:rPr>
          <w:rFonts w:ascii="Shofar" w:hAnsi="Shofar" w:cs="Shofar"/>
          <w:rtl/>
        </w:rPr>
        <w:t xml:space="preserve">. </w:t>
      </w:r>
      <w:r>
        <w:rPr>
          <w:rFonts w:ascii="Shofar" w:hAnsi="Shofar"/>
          <w:rtl/>
        </w:rPr>
        <w:t>וא</w:t>
      </w:r>
      <w:r>
        <w:rPr>
          <w:rFonts w:ascii="Shofar" w:hAnsi="Shofar" w:cs="Shofar"/>
          <w:rtl/>
        </w:rPr>
        <w:t>"</w:t>
      </w:r>
      <w:r>
        <w:rPr>
          <w:rFonts w:ascii="Shofar" w:hAnsi="Shofar"/>
          <w:rtl/>
        </w:rPr>
        <w:t>ת הרי כל תנאי יכול לגרום</w:t>
      </w:r>
      <w:r>
        <w:rPr>
          <w:rFonts w:ascii="Shofar" w:hAnsi="Shofar"/>
          <w:rtl/>
        </w:rPr>
        <w:t xml:space="preserve"> איסור</w:t>
      </w:r>
      <w:r>
        <w:rPr>
          <w:rFonts w:ascii="Shofar" w:hAnsi="Shofar" w:cs="Shofar"/>
          <w:rtl/>
        </w:rPr>
        <w:t xml:space="preserve">, </w:t>
      </w:r>
      <w:r>
        <w:rPr>
          <w:rFonts w:ascii="Shofar" w:hAnsi="Shofar"/>
          <w:rtl/>
        </w:rPr>
        <w:t>שאם לא תקיים תנאה</w:t>
      </w:r>
      <w:r>
        <w:rPr>
          <w:rFonts w:ascii="Shofar" w:hAnsi="Shofar" w:cs="Shofar"/>
          <w:rtl/>
        </w:rPr>
        <w:t xml:space="preserve">, </w:t>
      </w:r>
      <w:r>
        <w:rPr>
          <w:rFonts w:ascii="Shofar" w:hAnsi="Shofar"/>
          <w:rtl/>
        </w:rPr>
        <w:t>ותזנה</w:t>
      </w:r>
      <w:r>
        <w:rPr>
          <w:rFonts w:ascii="Shofar" w:hAnsi="Shofar" w:cs="Shofar"/>
          <w:rtl/>
        </w:rPr>
        <w:t xml:space="preserve">, </w:t>
      </w:r>
      <w:r>
        <w:rPr>
          <w:rFonts w:ascii="Shofar" w:hAnsi="Shofar"/>
          <w:rtl/>
        </w:rPr>
        <w:t>הרי קרה איסור</w:t>
      </w:r>
      <w:r>
        <w:rPr>
          <w:rFonts w:ascii="Shofar" w:hAnsi="Shofar" w:cs="Shofar"/>
          <w:rtl/>
        </w:rPr>
        <w:t xml:space="preserve">. </w:t>
      </w:r>
      <w:r>
        <w:rPr>
          <w:rFonts w:ascii="Shofar" w:hAnsi="Shofar"/>
          <w:rtl/>
        </w:rPr>
        <w:t>ויש לדון</w:t>
      </w:r>
      <w:r>
        <w:rPr>
          <w:rFonts w:ascii="Shofar" w:hAnsi="Shofar" w:cs="Shofar"/>
          <w:rtl/>
        </w:rPr>
        <w:t xml:space="preserve">, </w:t>
      </w:r>
      <w:r>
        <w:rPr>
          <w:rFonts w:ascii="Shofar" w:hAnsi="Shofar"/>
          <w:rtl/>
        </w:rPr>
        <w:t>שאז לא גרם על ידי גט שלו</w:t>
      </w:r>
      <w:r>
        <w:rPr>
          <w:rFonts w:ascii="Shofar" w:hAnsi="Shofar" w:cs="Shofar"/>
          <w:rtl/>
        </w:rPr>
        <w:t xml:space="preserve">, </w:t>
      </w:r>
      <w:r>
        <w:rPr>
          <w:rFonts w:ascii="Shofar" w:hAnsi="Shofar"/>
          <w:rtl/>
        </w:rPr>
        <w:t>שבלי גט</w:t>
      </w:r>
      <w:r>
        <w:rPr>
          <w:rFonts w:ascii="Shofar" w:hAnsi="Shofar" w:cs="Shofar"/>
          <w:rtl/>
        </w:rPr>
        <w:t xml:space="preserve">, </w:t>
      </w:r>
      <w:r>
        <w:rPr>
          <w:rFonts w:ascii="Shofar" w:hAnsi="Shofar"/>
          <w:rtl/>
        </w:rPr>
        <w:t>בוודאי היה איסור</w:t>
      </w:r>
      <w:r>
        <w:rPr>
          <w:rFonts w:ascii="Shofar" w:hAnsi="Shofar" w:cs="Shofar"/>
          <w:rtl/>
        </w:rPr>
        <w:t xml:space="preserve">. </w:t>
      </w:r>
      <w:r>
        <w:rPr>
          <w:rFonts w:ascii="Shofar" w:hAnsi="Shofar"/>
          <w:rtl/>
        </w:rPr>
        <w:t>גי</w:t>
      </w:r>
      <w:r>
        <w:rPr>
          <w:rFonts w:ascii="Shofar" w:hAnsi="Shofar" w:cs="Shofar"/>
          <w:rtl/>
        </w:rPr>
        <w:t>"</w:t>
      </w:r>
      <w:r>
        <w:rPr>
          <w:rFonts w:ascii="Shofar" w:hAnsi="Shofar"/>
          <w:rtl/>
        </w:rPr>
        <w:t>ל שזה יכול לגרום שממ</w:t>
      </w:r>
      <w:r>
        <w:rPr>
          <w:rFonts w:ascii="Shofar" w:hAnsi="Shofar" w:cs="Shofar"/>
          <w:rtl/>
        </w:rPr>
        <w:t>"</w:t>
      </w:r>
      <w:r>
        <w:rPr>
          <w:rFonts w:ascii="Shofar" w:hAnsi="Shofar"/>
          <w:rtl/>
        </w:rPr>
        <w:t>נ תעבור איסור</w:t>
      </w:r>
      <w:r>
        <w:rPr>
          <w:rFonts w:ascii="Shofar" w:hAnsi="Shofar" w:cs="Shofar"/>
          <w:rtl/>
        </w:rPr>
        <w:t xml:space="preserve">, </w:t>
      </w:r>
      <w:r>
        <w:rPr>
          <w:rFonts w:ascii="Shofar" w:hAnsi="Shofar"/>
          <w:rtl/>
        </w:rPr>
        <w:t>אבל שאר תנאים רק יגרמו שתוכל לבחור לעבור</w:t>
      </w:r>
      <w:r>
        <w:rPr>
          <w:rFonts w:ascii="Shofar" w:hAnsi="Shofar" w:cs="Shofar"/>
          <w:rtl/>
        </w:rPr>
        <w:t>.</w:t>
      </w:r>
    </w:p>
    <w:p w:rsidR="002053B9" w:rsidRDefault="005A1E4A">
      <w:pPr>
        <w:numPr>
          <w:ilvl w:val="1"/>
          <w:numId w:val="4"/>
        </w:numPr>
        <w:rPr>
          <w:rFonts w:ascii="Shofar" w:hAnsi="Shofar" w:cs="Shofar"/>
        </w:rPr>
      </w:pPr>
      <w:r>
        <w:rPr>
          <w:rFonts w:ascii="Shofar" w:hAnsi="Shofar"/>
          <w:rtl/>
        </w:rPr>
        <w:t>עושה שאי אפשר לה לינשא בהיתר</w:t>
      </w:r>
      <w:r>
        <w:rPr>
          <w:rFonts w:ascii="Shofar" w:hAnsi="Shofar" w:cs="Shofar"/>
          <w:rtl/>
        </w:rPr>
        <w:t xml:space="preserve">, </w:t>
      </w:r>
      <w:r>
        <w:rPr>
          <w:rFonts w:ascii="Shofar" w:hAnsi="Shofar"/>
          <w:rtl/>
        </w:rPr>
        <w:t>שבכל זמן צריכה לחוש שתעבור על מצו</w:t>
      </w:r>
      <w:r>
        <w:rPr>
          <w:rFonts w:ascii="Shofar" w:hAnsi="Shofar"/>
          <w:rtl/>
        </w:rPr>
        <w:t>ות ייבום</w:t>
      </w:r>
      <w:r>
        <w:rPr>
          <w:rStyle w:val="FootnoteReference1"/>
          <w:rFonts w:ascii="Shofar" w:hAnsi="Shofar"/>
          <w:rtl/>
        </w:rPr>
        <w:footnoteReference w:id="2"/>
      </w:r>
      <w:r>
        <w:rPr>
          <w:rFonts w:ascii="Shofar" w:hAnsi="Shofar" w:cs="Shofar"/>
          <w:rtl/>
        </w:rPr>
        <w:t>.</w:t>
      </w:r>
    </w:p>
    <w:p w:rsidR="002053B9" w:rsidRDefault="005A1E4A">
      <w:pPr>
        <w:ind w:left="1080"/>
        <w:rPr>
          <w:rFonts w:ascii="Shofar" w:hAnsi="Shofar" w:cs="Shofar"/>
        </w:rPr>
      </w:pPr>
      <w:r>
        <w:rPr>
          <w:rFonts w:ascii="Shofar" w:hAnsi="Shofar"/>
          <w:rtl/>
        </w:rPr>
        <w:t>אין זה כל כך נכון</w:t>
      </w:r>
      <w:r>
        <w:rPr>
          <w:rFonts w:ascii="Shofar" w:hAnsi="Shofar" w:cs="Shofar"/>
          <w:rtl/>
        </w:rPr>
        <w:t xml:space="preserve">, </w:t>
      </w:r>
      <w:r>
        <w:rPr>
          <w:rFonts w:ascii="Shofar" w:hAnsi="Shofar"/>
          <w:rtl/>
        </w:rPr>
        <w:t>שיכולה לישא למי שכבר מת אביו בלי בן אחר</w:t>
      </w:r>
      <w:r>
        <w:rPr>
          <w:rFonts w:ascii="Shofar" w:hAnsi="Shofar" w:cs="Shofar"/>
          <w:rtl/>
        </w:rPr>
        <w:t xml:space="preserve">. </w:t>
      </w:r>
      <w:r>
        <w:rPr>
          <w:rFonts w:ascii="Shofar" w:hAnsi="Shofar"/>
          <w:rtl/>
        </w:rPr>
        <w:t>אפשר שעדיין נחשב שיור חשוב כיון שממעט כל כך היתירה</w:t>
      </w:r>
      <w:r>
        <w:rPr>
          <w:rFonts w:ascii="Shofar" w:hAnsi="Shofar" w:cs="Shofar"/>
          <w:rtl/>
        </w:rPr>
        <w:t>.</w:t>
      </w:r>
    </w:p>
    <w:p w:rsidR="002053B9" w:rsidRDefault="005A1E4A">
      <w:pPr>
        <w:ind w:left="720"/>
        <w:rPr>
          <w:rFonts w:ascii="Shofar" w:hAnsi="Shofar"/>
        </w:rPr>
      </w:pPr>
      <w:r>
        <w:rPr>
          <w:rFonts w:ascii="Shofar" w:hAnsi="Shofar"/>
          <w:rtl/>
        </w:rPr>
        <w:t>על צד זה גם כן יכולים להקשות שני קושיות שלעיל</w:t>
      </w:r>
      <w:r>
        <w:rPr>
          <w:rFonts w:ascii="Shofar" w:hAnsi="Shofar" w:cs="Shofar"/>
          <w:rtl/>
        </w:rPr>
        <w:t xml:space="preserve">. </w:t>
      </w:r>
      <w:r>
        <w:rPr>
          <w:rFonts w:ascii="Shofar" w:hAnsi="Shofar"/>
          <w:rtl/>
        </w:rPr>
        <w:t>על ראשון</w:t>
      </w:r>
      <w:r>
        <w:rPr>
          <w:rFonts w:ascii="Shofar" w:hAnsi="Shofar" w:cs="Shofar"/>
          <w:rtl/>
        </w:rPr>
        <w:t xml:space="preserve">, </w:t>
      </w:r>
      <w:r>
        <w:rPr>
          <w:rFonts w:ascii="Shofar" w:hAnsi="Shofar"/>
          <w:rtl/>
        </w:rPr>
        <w:t>נשיב מה שכתבנו לעיל</w:t>
      </w:r>
      <w:r>
        <w:rPr>
          <w:rFonts w:ascii="Shofar" w:hAnsi="Shofar" w:cs="Shofar"/>
          <w:rtl/>
        </w:rPr>
        <w:t>. (</w:t>
      </w:r>
      <w:r>
        <w:rPr>
          <w:rFonts w:ascii="Shofar" w:hAnsi="Shofar"/>
          <w:rtl/>
        </w:rPr>
        <w:t>ונראה שאולי הוא יותר קל לומר כאן</w:t>
      </w:r>
      <w:r>
        <w:rPr>
          <w:rFonts w:ascii="Shofar" w:hAnsi="Shofar" w:cs="Shofar"/>
          <w:rtl/>
        </w:rPr>
        <w:t xml:space="preserve">, </w:t>
      </w:r>
      <w:r>
        <w:rPr>
          <w:rFonts w:ascii="Shofar" w:hAnsi="Shofar"/>
          <w:rtl/>
        </w:rPr>
        <w:t>שהרי</w:t>
      </w:r>
      <w:r>
        <w:rPr>
          <w:rFonts w:ascii="Shofar" w:hAnsi="Shofar" w:cs="Shofar"/>
          <w:rtl/>
        </w:rPr>
        <w:t xml:space="preserve">, </w:t>
      </w:r>
      <w:r>
        <w:rPr>
          <w:rFonts w:ascii="Shofar" w:hAnsi="Shofar"/>
          <w:rtl/>
        </w:rPr>
        <w:t>לכאורה</w:t>
      </w:r>
      <w:r>
        <w:rPr>
          <w:rFonts w:ascii="Shofar" w:hAnsi="Shofar" w:cs="Shofar"/>
          <w:rtl/>
        </w:rPr>
        <w:t xml:space="preserve">, </w:t>
      </w:r>
      <w:r>
        <w:rPr>
          <w:rFonts w:ascii="Shofar" w:hAnsi="Shofar"/>
          <w:rtl/>
        </w:rPr>
        <w:t>עיקר ח</w:t>
      </w:r>
      <w:r>
        <w:rPr>
          <w:rFonts w:ascii="Shofar" w:hAnsi="Shofar"/>
          <w:rtl/>
        </w:rPr>
        <w:t>ידוש של אותו משנה הוא לענין דין מתנה על מה שכתב בתורה</w:t>
      </w:r>
      <w:r>
        <w:rPr>
          <w:rFonts w:ascii="Shofar" w:hAnsi="Shofar" w:cs="Shofar"/>
          <w:rtl/>
        </w:rPr>
        <w:t xml:space="preserve">, </w:t>
      </w:r>
      <w:r>
        <w:rPr>
          <w:rFonts w:ascii="Shofar" w:hAnsi="Shofar"/>
          <w:rtl/>
        </w:rPr>
        <w:t>כיון שהוא דין שיותר מצוי</w:t>
      </w:r>
      <w:r>
        <w:rPr>
          <w:rFonts w:ascii="Shofar" w:hAnsi="Shofar" w:cs="Shofar"/>
          <w:rtl/>
        </w:rPr>
        <w:t xml:space="preserve">. </w:t>
      </w:r>
      <w:r>
        <w:rPr>
          <w:rFonts w:ascii="Shofar" w:hAnsi="Shofar"/>
          <w:rtl/>
        </w:rPr>
        <w:t>אז</w:t>
      </w:r>
      <w:r>
        <w:rPr>
          <w:rFonts w:ascii="Shofar" w:hAnsi="Shofar" w:cs="Shofar"/>
          <w:rtl/>
        </w:rPr>
        <w:t xml:space="preserve">, </w:t>
      </w:r>
      <w:r>
        <w:rPr>
          <w:rFonts w:ascii="Shofar" w:hAnsi="Shofar"/>
          <w:rtl/>
        </w:rPr>
        <w:t>לא כל כך קשה שלא הזכרנו משנה זה</w:t>
      </w:r>
      <w:r>
        <w:rPr>
          <w:rFonts w:ascii="Shofar" w:hAnsi="Shofar" w:cs="Shofar"/>
          <w:rtl/>
        </w:rPr>
        <w:t xml:space="preserve">.) </w:t>
      </w:r>
      <w:r>
        <w:rPr>
          <w:rFonts w:ascii="Shofar" w:hAnsi="Shofar"/>
          <w:rtl/>
        </w:rPr>
        <w:t>קושיה שניה יותר צריך ביאור.</w:t>
      </w:r>
    </w:p>
    <w:p w:rsidR="002053B9" w:rsidRDefault="005A1E4A">
      <w:pPr>
        <w:pStyle w:val="ListParagraph"/>
        <w:numPr>
          <w:ilvl w:val="0"/>
          <w:numId w:val="4"/>
        </w:numPr>
        <w:rPr>
          <w:rFonts w:ascii="Shofar" w:hAnsi="Shofar"/>
        </w:rPr>
      </w:pPr>
      <w:r>
        <w:rPr>
          <w:rFonts w:ascii="Shofar" w:hAnsi="Shofar"/>
          <w:rtl/>
        </w:rPr>
        <w:t>אפשר שמקשה שהיה לנו לגזור מדרבנן, כדי שלא ימצא איסור זה. אם כן, צריך לדון אם סובר כן (שזה דין דרבנן) או רק מק</w:t>
      </w:r>
      <w:r>
        <w:rPr>
          <w:rFonts w:ascii="Shofar" w:hAnsi="Shofar"/>
          <w:rtl/>
        </w:rPr>
        <w:t>שה שיהיה, על כל פנים, דין דרבנן כאן.</w:t>
      </w:r>
    </w:p>
    <w:p w:rsidR="002053B9" w:rsidRDefault="005A1E4A">
      <w:pPr>
        <w:numPr>
          <w:ilvl w:val="0"/>
          <w:numId w:val="4"/>
        </w:numPr>
        <w:rPr>
          <w:rFonts w:ascii="Shofar" w:hAnsi="Shofar" w:cs="Shofar"/>
        </w:rPr>
      </w:pPr>
      <w:r>
        <w:rPr>
          <w:rFonts w:ascii="Shofar" w:hAnsi="Shofar"/>
          <w:rtl/>
        </w:rPr>
        <w:t>אפשר שאין זה קושיה מסברה</w:t>
      </w:r>
      <w:r>
        <w:rPr>
          <w:rFonts w:ascii="Shofar" w:hAnsi="Shofar" w:cs="Shofar"/>
          <w:rtl/>
        </w:rPr>
        <w:t xml:space="preserve">, </w:t>
      </w:r>
      <w:r>
        <w:rPr>
          <w:rFonts w:ascii="Shofar" w:hAnsi="Shofar"/>
          <w:rtl/>
        </w:rPr>
        <w:t>אלא הוא קושיה על המקור</w:t>
      </w:r>
      <w:r>
        <w:rPr>
          <w:rFonts w:ascii="Shofar" w:hAnsi="Shofar" w:cs="Shofar"/>
          <w:rtl/>
        </w:rPr>
        <w:t xml:space="preserve">. </w:t>
      </w:r>
      <w:r>
        <w:rPr>
          <w:rFonts w:ascii="Shofar" w:hAnsi="Shofar"/>
          <w:rtl/>
        </w:rPr>
        <w:t>נראה שיש לומר כן בשלש אופנים</w:t>
      </w:r>
      <w:r>
        <w:rPr>
          <w:rFonts w:ascii="Shofar" w:hAnsi="Shofar" w:cs="Shofar"/>
          <w:rtl/>
        </w:rPr>
        <w:t>:</w:t>
      </w:r>
    </w:p>
    <w:p w:rsidR="002053B9" w:rsidRDefault="005A1E4A">
      <w:pPr>
        <w:numPr>
          <w:ilvl w:val="1"/>
          <w:numId w:val="4"/>
        </w:numPr>
        <w:rPr>
          <w:rFonts w:ascii="Shofar" w:hAnsi="Shofar" w:cs="Shofar"/>
        </w:rPr>
      </w:pPr>
      <w:r>
        <w:rPr>
          <w:rFonts w:ascii="Shofar" w:hAnsi="Shofar"/>
          <w:rtl/>
        </w:rPr>
        <w:t>אולי מפרש שאי אפשר לומר שתורה אמר ריבוי לציורים אלו</w:t>
      </w:r>
      <w:r>
        <w:rPr>
          <w:rFonts w:ascii="Shofar" w:hAnsi="Shofar" w:cs="Shofar"/>
          <w:rtl/>
        </w:rPr>
        <w:t xml:space="preserve">, </w:t>
      </w:r>
      <w:r>
        <w:rPr>
          <w:rFonts w:ascii="Shofar" w:hAnsi="Shofar"/>
          <w:rtl/>
        </w:rPr>
        <w:t>שהרי אסור לגרש כך</w:t>
      </w:r>
      <w:r>
        <w:rPr>
          <w:rFonts w:ascii="Shofar" w:hAnsi="Shofar" w:cs="Shofar"/>
          <w:rtl/>
        </w:rPr>
        <w:t>. “</w:t>
      </w:r>
      <w:r>
        <w:rPr>
          <w:rFonts w:ascii="Shofar" w:hAnsi="Shofar"/>
          <w:rtl/>
        </w:rPr>
        <w:t>דאי</w:t>
      </w:r>
      <w:r>
        <w:rPr>
          <w:rFonts w:ascii="Shofar" w:hAnsi="Shofar" w:cs="Shofar"/>
          <w:rtl/>
        </w:rPr>
        <w:t xml:space="preserve">" </w:t>
      </w:r>
      <w:r>
        <w:rPr>
          <w:rFonts w:ascii="Shofar" w:hAnsi="Shofar"/>
          <w:rtl/>
        </w:rPr>
        <w:t>לא כתב קרא</w:t>
      </w:r>
      <w:r>
        <w:rPr>
          <w:rFonts w:ascii="Shofar" w:hAnsi="Shofar" w:cs="Shofar"/>
          <w:rtl/>
        </w:rPr>
        <w:t xml:space="preserve">, </w:t>
      </w:r>
      <w:r>
        <w:rPr>
          <w:rFonts w:ascii="Shofar" w:hAnsi="Shofar"/>
          <w:rtl/>
        </w:rPr>
        <w:t>ואז צריך לומר שלא נכתב</w:t>
      </w:r>
      <w:r>
        <w:rPr>
          <w:rFonts w:ascii="Shofar" w:hAnsi="Shofar" w:cs="Shofar"/>
          <w:rtl/>
        </w:rPr>
        <w:t xml:space="preserve">. </w:t>
      </w:r>
      <w:r>
        <w:rPr>
          <w:rFonts w:ascii="Shofar" w:hAnsi="Shofar"/>
          <w:rtl/>
        </w:rPr>
        <w:t>יש לדחות את זה בכמה אופני</w:t>
      </w:r>
      <w:r>
        <w:rPr>
          <w:rFonts w:ascii="Shofar" w:hAnsi="Shofar"/>
          <w:rtl/>
        </w:rPr>
        <w:t>ם</w:t>
      </w:r>
      <w:r>
        <w:rPr>
          <w:rFonts w:ascii="Shofar" w:hAnsi="Shofar" w:cs="Shofar"/>
          <w:rtl/>
        </w:rPr>
        <w:t>:</w:t>
      </w:r>
    </w:p>
    <w:p w:rsidR="002053B9" w:rsidRDefault="005A1E4A">
      <w:pPr>
        <w:numPr>
          <w:ilvl w:val="2"/>
          <w:numId w:val="4"/>
        </w:numPr>
        <w:rPr>
          <w:rFonts w:ascii="Shofar" w:hAnsi="Shofar" w:cs="Shofar"/>
        </w:rPr>
      </w:pPr>
      <w:r>
        <w:rPr>
          <w:rFonts w:ascii="Shofar" w:hAnsi="Shofar"/>
          <w:rtl/>
        </w:rPr>
        <w:t>כותב תורה דאי לאיסורא</w:t>
      </w:r>
      <w:r>
        <w:rPr>
          <w:rFonts w:ascii="Shofar" w:hAnsi="Shofar" w:cs="Shofar"/>
          <w:rtl/>
        </w:rPr>
        <w:t xml:space="preserve">. </w:t>
      </w:r>
      <w:r>
        <w:rPr>
          <w:rFonts w:ascii="Shofar" w:hAnsi="Shofar"/>
          <w:rtl/>
        </w:rPr>
        <w:t>כאן</w:t>
      </w:r>
      <w:r>
        <w:rPr>
          <w:rFonts w:ascii="Shofar" w:hAnsi="Shofar" w:cs="Shofar"/>
          <w:rtl/>
        </w:rPr>
        <w:t xml:space="preserve">, </w:t>
      </w:r>
      <w:r>
        <w:rPr>
          <w:rFonts w:ascii="Shofar" w:hAnsi="Shofar"/>
          <w:rtl/>
        </w:rPr>
        <w:t>יש איסור לכוהן שיוצא</w:t>
      </w:r>
      <w:r>
        <w:rPr>
          <w:rFonts w:ascii="Shofar" w:hAnsi="Shofar" w:cs="Shofar"/>
          <w:rtl/>
        </w:rPr>
        <w:t xml:space="preserve">. </w:t>
      </w:r>
      <w:r>
        <w:rPr>
          <w:rFonts w:ascii="Shofar" w:hAnsi="Shofar"/>
          <w:rtl/>
        </w:rPr>
        <w:t>אולי היה יכול לדחות כן</w:t>
      </w:r>
      <w:r>
        <w:rPr>
          <w:rFonts w:ascii="Shofar" w:hAnsi="Shofar" w:cs="Shofar"/>
          <w:rtl/>
        </w:rPr>
        <w:t>.</w:t>
      </w:r>
    </w:p>
    <w:p w:rsidR="002053B9" w:rsidRDefault="005A1E4A">
      <w:pPr>
        <w:numPr>
          <w:ilvl w:val="2"/>
          <w:numId w:val="4"/>
        </w:numPr>
        <w:rPr>
          <w:rFonts w:ascii="Shofar" w:hAnsi="Shofar" w:cs="Shofar"/>
        </w:rPr>
      </w:pPr>
      <w:r>
        <w:rPr>
          <w:rFonts w:ascii="Shofar" w:hAnsi="Shofar"/>
          <w:rtl/>
        </w:rPr>
        <w:t>מחודש לומר שהגירושין עצמם אסורים</w:t>
      </w:r>
      <w:r>
        <w:rPr>
          <w:rFonts w:ascii="Shofar" w:hAnsi="Shofar" w:cs="Shofar"/>
          <w:rtl/>
        </w:rPr>
        <w:t xml:space="preserve">, </w:t>
      </w:r>
      <w:r>
        <w:rPr>
          <w:rFonts w:ascii="Shofar" w:hAnsi="Shofar"/>
          <w:rtl/>
        </w:rPr>
        <w:t>ולא רק גורמים איסור</w:t>
      </w:r>
      <w:r>
        <w:rPr>
          <w:rFonts w:ascii="Shofar" w:hAnsi="Shofar" w:cs="Shofar"/>
          <w:rtl/>
        </w:rPr>
        <w:t>. (</w:t>
      </w:r>
      <w:r>
        <w:rPr>
          <w:rFonts w:ascii="Shofar" w:hAnsi="Shofar"/>
          <w:rtl/>
        </w:rPr>
        <w:t>ר</w:t>
      </w:r>
      <w:r>
        <w:rPr>
          <w:rFonts w:ascii="Shofar" w:hAnsi="Shofar" w:cs="Shofar"/>
          <w:rtl/>
        </w:rPr>
        <w:t>"</w:t>
      </w:r>
      <w:r>
        <w:rPr>
          <w:rFonts w:ascii="Shofar" w:hAnsi="Shofar"/>
          <w:rtl/>
        </w:rPr>
        <w:t>ל</w:t>
      </w:r>
      <w:r>
        <w:rPr>
          <w:rFonts w:ascii="Shofar" w:hAnsi="Shofar" w:cs="Shofar"/>
          <w:rtl/>
        </w:rPr>
        <w:t xml:space="preserve">, </w:t>
      </w:r>
      <w:r>
        <w:rPr>
          <w:rFonts w:ascii="Shofar" w:hAnsi="Shofar"/>
          <w:rtl/>
        </w:rPr>
        <w:t>מחודש שחוששים כל כך</w:t>
      </w:r>
      <w:r>
        <w:rPr>
          <w:rFonts w:ascii="Shofar" w:hAnsi="Shofar" w:cs="Shofar"/>
          <w:rtl/>
        </w:rPr>
        <w:t>.)</w:t>
      </w:r>
    </w:p>
    <w:p w:rsidR="002053B9" w:rsidRDefault="005A1E4A">
      <w:pPr>
        <w:numPr>
          <w:ilvl w:val="2"/>
          <w:numId w:val="4"/>
        </w:numPr>
        <w:rPr>
          <w:rFonts w:ascii="Shofar" w:hAnsi="Shofar" w:cs="Shofar"/>
        </w:rPr>
      </w:pPr>
      <w:r>
        <w:rPr>
          <w:rFonts w:ascii="Shofar" w:hAnsi="Shofar"/>
          <w:rtl/>
        </w:rPr>
        <w:t>גמרא מסיק שסובר שב</w:t>
      </w:r>
      <w:r>
        <w:rPr>
          <w:rFonts w:ascii="Shofar" w:hAnsi="Shofar" w:cs="Shofar"/>
          <w:rtl/>
        </w:rPr>
        <w:t>"</w:t>
      </w:r>
      <w:r>
        <w:rPr>
          <w:rFonts w:ascii="Shofar" w:hAnsi="Shofar"/>
          <w:rtl/>
        </w:rPr>
        <w:t>על מנת</w:t>
      </w:r>
      <w:r>
        <w:rPr>
          <w:rFonts w:ascii="Shofar" w:hAnsi="Shofar" w:cs="Shofar"/>
          <w:rtl/>
        </w:rPr>
        <w:t xml:space="preserve">" </w:t>
      </w:r>
      <w:r>
        <w:rPr>
          <w:rFonts w:ascii="Shofar" w:hAnsi="Shofar"/>
          <w:rtl/>
        </w:rPr>
        <w:t>חולקים</w:t>
      </w:r>
      <w:r>
        <w:rPr>
          <w:rFonts w:ascii="Shofar" w:hAnsi="Shofar" w:cs="Shofar"/>
          <w:rtl/>
        </w:rPr>
        <w:t xml:space="preserve">. </w:t>
      </w:r>
      <w:r>
        <w:rPr>
          <w:rFonts w:ascii="Shofar" w:hAnsi="Shofar"/>
          <w:rtl/>
        </w:rPr>
        <w:t>לזה</w:t>
      </w:r>
      <w:r>
        <w:rPr>
          <w:rFonts w:ascii="Shofar" w:hAnsi="Shofar" w:cs="Shofar"/>
          <w:rtl/>
        </w:rPr>
        <w:t xml:space="preserve">, </w:t>
      </w:r>
      <w:r>
        <w:rPr>
          <w:rFonts w:ascii="Shofar" w:hAnsi="Shofar"/>
          <w:rtl/>
        </w:rPr>
        <w:t>לא צריכים קרא</w:t>
      </w:r>
      <w:r>
        <w:rPr>
          <w:rFonts w:ascii="Shofar" w:hAnsi="Shofar" w:cs="Shofar"/>
          <w:rtl/>
        </w:rPr>
        <w:t>.</w:t>
      </w:r>
    </w:p>
    <w:p w:rsidR="002053B9" w:rsidRDefault="005A1E4A">
      <w:pPr>
        <w:numPr>
          <w:ilvl w:val="1"/>
          <w:numId w:val="4"/>
        </w:numPr>
        <w:rPr>
          <w:rFonts w:ascii="Shofar" w:hAnsi="Shofar" w:cs="Shofar"/>
        </w:rPr>
      </w:pPr>
      <w:r>
        <w:rPr>
          <w:rFonts w:ascii="Shofar" w:hAnsi="Shofar"/>
          <w:rtl/>
        </w:rPr>
        <w:t>אולי מפרש שכשקרא אומר ציור גירושין סתם</w:t>
      </w:r>
      <w:r>
        <w:rPr>
          <w:rFonts w:ascii="Shofar" w:hAnsi="Shofar" w:cs="Shofar"/>
          <w:rtl/>
        </w:rPr>
        <w:t xml:space="preserve">, </w:t>
      </w:r>
      <w:r>
        <w:rPr>
          <w:rFonts w:ascii="Shofar" w:hAnsi="Shofar"/>
          <w:rtl/>
        </w:rPr>
        <w:t>לא מכוון לגירושין של איסור</w:t>
      </w:r>
      <w:r>
        <w:rPr>
          <w:rFonts w:ascii="Shofar" w:hAnsi="Shofar" w:cs="Shofar"/>
          <w:rtl/>
        </w:rPr>
        <w:t xml:space="preserve">, </w:t>
      </w:r>
      <w:r>
        <w:rPr>
          <w:rFonts w:ascii="Shofar" w:hAnsi="Shofar"/>
          <w:rtl/>
        </w:rPr>
        <w:t>אלא לסתם גירושין</w:t>
      </w:r>
      <w:r>
        <w:rPr>
          <w:rFonts w:ascii="Shofar" w:hAnsi="Shofar" w:cs="Shofar"/>
          <w:rtl/>
        </w:rPr>
        <w:t xml:space="preserve">. </w:t>
      </w:r>
      <w:r>
        <w:rPr>
          <w:rFonts w:ascii="Shofar" w:hAnsi="Shofar"/>
          <w:rtl/>
        </w:rPr>
        <w:t>סתם גירושין הוא של היתר</w:t>
      </w:r>
      <w:r>
        <w:rPr>
          <w:rFonts w:ascii="Shofar" w:hAnsi="Shofar" w:cs="Shofar"/>
          <w:rtl/>
        </w:rPr>
        <w:t xml:space="preserve">, </w:t>
      </w:r>
      <w:r>
        <w:rPr>
          <w:rFonts w:ascii="Shofar" w:hAnsi="Shofar"/>
          <w:rtl/>
        </w:rPr>
        <w:t>ואז לא יודעים ששל איסור חל</w:t>
      </w:r>
      <w:r>
        <w:rPr>
          <w:rFonts w:ascii="Shofar" w:hAnsi="Shofar" w:cs="Shofar"/>
          <w:rtl/>
        </w:rPr>
        <w:t xml:space="preserve">. </w:t>
      </w:r>
      <w:r>
        <w:rPr>
          <w:rFonts w:ascii="Shofar" w:hAnsi="Shofar"/>
          <w:rtl/>
        </w:rPr>
        <w:t>יש להקשות</w:t>
      </w:r>
      <w:r>
        <w:rPr>
          <w:rFonts w:ascii="Shofar" w:hAnsi="Shofar" w:cs="Shofar"/>
          <w:rtl/>
        </w:rPr>
        <w:t>:</w:t>
      </w:r>
    </w:p>
    <w:p w:rsidR="002053B9" w:rsidRDefault="005A1E4A">
      <w:pPr>
        <w:numPr>
          <w:ilvl w:val="2"/>
          <w:numId w:val="4"/>
        </w:numPr>
        <w:rPr>
          <w:rFonts w:ascii="Shofar" w:hAnsi="Shofar" w:cs="Shofar"/>
        </w:rPr>
      </w:pPr>
      <w:r>
        <w:rPr>
          <w:rFonts w:ascii="Shofar" w:hAnsi="Shofar"/>
          <w:rtl/>
        </w:rPr>
        <w:t>רבי אליעזר גופא אומר שאין סברה לחלק</w:t>
      </w:r>
      <w:r>
        <w:rPr>
          <w:rFonts w:ascii="Shofar" w:hAnsi="Shofar" w:cs="Shofar"/>
          <w:rtl/>
        </w:rPr>
        <w:t xml:space="preserve">. </w:t>
      </w:r>
      <w:r>
        <w:rPr>
          <w:rFonts w:ascii="Shofar" w:hAnsi="Shofar"/>
          <w:rtl/>
        </w:rPr>
        <w:t>אז</w:t>
      </w:r>
      <w:r>
        <w:rPr>
          <w:rFonts w:ascii="Shofar" w:hAnsi="Shofar" w:cs="Shofar"/>
          <w:rtl/>
        </w:rPr>
        <w:t xml:space="preserve">, </w:t>
      </w:r>
      <w:r>
        <w:rPr>
          <w:rFonts w:ascii="Shofar" w:hAnsi="Shofar"/>
          <w:rtl/>
        </w:rPr>
        <w:t>לא צריך עוד קרא לרבות אותו</w:t>
      </w:r>
      <w:r>
        <w:rPr>
          <w:rFonts w:ascii="Shofar" w:hAnsi="Shofar" w:cs="Shofar"/>
          <w:rtl/>
        </w:rPr>
        <w:t xml:space="preserve">. </w:t>
      </w:r>
      <w:r>
        <w:rPr>
          <w:rFonts w:ascii="Shofar" w:hAnsi="Shofar"/>
          <w:rtl/>
        </w:rPr>
        <w:t>ויש לדון</w:t>
      </w:r>
      <w:r>
        <w:rPr>
          <w:rFonts w:ascii="Shofar" w:hAnsi="Shofar" w:cs="Shofar"/>
          <w:rtl/>
        </w:rPr>
        <w:t xml:space="preserve">, </w:t>
      </w:r>
      <w:r>
        <w:rPr>
          <w:rFonts w:ascii="Shofar" w:hAnsi="Shofar"/>
          <w:rtl/>
        </w:rPr>
        <w:t>שאולי זה סברה לומר שכשתורה אומר אותו</w:t>
      </w:r>
      <w:r>
        <w:rPr>
          <w:rFonts w:ascii="Shofar" w:hAnsi="Shofar" w:cs="Shofar"/>
          <w:rtl/>
        </w:rPr>
        <w:t xml:space="preserve">, </w:t>
      </w:r>
      <w:r>
        <w:rPr>
          <w:rFonts w:ascii="Shofar" w:hAnsi="Shofar"/>
          <w:rtl/>
        </w:rPr>
        <w:t>הרי הוא בכלל הסתם</w:t>
      </w:r>
      <w:r>
        <w:rPr>
          <w:rFonts w:ascii="Shofar" w:hAnsi="Shofar" w:cs="Shofar"/>
          <w:rtl/>
        </w:rPr>
        <w:t xml:space="preserve">, </w:t>
      </w:r>
      <w:r>
        <w:rPr>
          <w:rFonts w:ascii="Shofar" w:hAnsi="Shofar"/>
          <w:rtl/>
        </w:rPr>
        <w:t>אבל אינו ס</w:t>
      </w:r>
      <w:r>
        <w:rPr>
          <w:rFonts w:ascii="Shofar" w:hAnsi="Shofar"/>
          <w:rtl/>
        </w:rPr>
        <w:t>ברה ללמד דין זה</w:t>
      </w:r>
      <w:r>
        <w:rPr>
          <w:rFonts w:ascii="Shofar" w:hAnsi="Shofar" w:cs="Shofar"/>
          <w:rtl/>
        </w:rPr>
        <w:t xml:space="preserve">. </w:t>
      </w:r>
      <w:r>
        <w:rPr>
          <w:rFonts w:ascii="Shofar" w:hAnsi="Shofar"/>
          <w:rtl/>
        </w:rPr>
        <w:t>הענין הוא שכשדנים מה בכלל סתם</w:t>
      </w:r>
      <w:r>
        <w:rPr>
          <w:rFonts w:ascii="Shofar" w:hAnsi="Shofar" w:cs="Shofar"/>
          <w:rtl/>
        </w:rPr>
        <w:t xml:space="preserve">, </w:t>
      </w:r>
      <w:r>
        <w:rPr>
          <w:rFonts w:ascii="Shofar" w:hAnsi="Shofar"/>
          <w:rtl/>
        </w:rPr>
        <w:t>אם אין סיבה גדולה לחלק</w:t>
      </w:r>
      <w:r>
        <w:rPr>
          <w:rFonts w:ascii="Shofar" w:hAnsi="Shofar" w:cs="Shofar"/>
          <w:rtl/>
        </w:rPr>
        <w:t xml:space="preserve">, </w:t>
      </w:r>
      <w:r>
        <w:rPr>
          <w:rFonts w:ascii="Shofar" w:hAnsi="Shofar"/>
          <w:rtl/>
        </w:rPr>
        <w:t>בני אדם מחשיבים אותו חלק מציור הסתם</w:t>
      </w:r>
      <w:r>
        <w:rPr>
          <w:rFonts w:ascii="Shofar" w:hAnsi="Shofar" w:cs="Shofar"/>
          <w:rtl/>
        </w:rPr>
        <w:t>.</w:t>
      </w:r>
      <w:r>
        <w:rPr>
          <w:rFonts w:ascii="Shofar" w:hAnsi="Shofar"/>
          <w:rtl/>
        </w:rPr>
        <w:t>אבל</w:t>
      </w:r>
      <w:r>
        <w:rPr>
          <w:rFonts w:ascii="Shofar" w:hAnsi="Shofar" w:cs="Shofar"/>
          <w:rtl/>
        </w:rPr>
        <w:t xml:space="preserve">, </w:t>
      </w:r>
      <w:r>
        <w:rPr>
          <w:rFonts w:ascii="Shofar" w:hAnsi="Shofar"/>
          <w:rtl/>
        </w:rPr>
        <w:t>אם באנו ללמוד</w:t>
      </w:r>
      <w:r>
        <w:rPr>
          <w:rFonts w:ascii="Shofar" w:hAnsi="Shofar" w:cs="Shofar"/>
          <w:rtl/>
        </w:rPr>
        <w:t xml:space="preserve">, </w:t>
      </w:r>
      <w:r>
        <w:rPr>
          <w:rFonts w:ascii="Shofar" w:hAnsi="Shofar"/>
          <w:rtl/>
        </w:rPr>
        <w:t>כיון שיש חילוק קטן</w:t>
      </w:r>
      <w:r>
        <w:rPr>
          <w:rFonts w:ascii="Shofar" w:hAnsi="Shofar" w:cs="Shofar"/>
          <w:rtl/>
        </w:rPr>
        <w:t xml:space="preserve">, </w:t>
      </w:r>
      <w:r>
        <w:rPr>
          <w:rFonts w:ascii="Shofar" w:hAnsi="Shofar"/>
          <w:rtl/>
        </w:rPr>
        <w:t>אין להוכיח הלימוד</w:t>
      </w:r>
      <w:r>
        <w:rPr>
          <w:rFonts w:ascii="Shofar" w:hAnsi="Shofar" w:cs="Shofar"/>
          <w:rtl/>
        </w:rPr>
        <w:t xml:space="preserve">. </w:t>
      </w:r>
      <w:r>
        <w:rPr>
          <w:rFonts w:ascii="Shofar" w:hAnsi="Shofar"/>
          <w:rtl/>
        </w:rPr>
        <w:t>אז</w:t>
      </w:r>
      <w:r>
        <w:rPr>
          <w:rFonts w:ascii="Shofar" w:hAnsi="Shofar" w:cs="Shofar"/>
          <w:rtl/>
        </w:rPr>
        <w:t xml:space="preserve">, </w:t>
      </w:r>
      <w:r>
        <w:rPr>
          <w:rFonts w:ascii="Shofar" w:hAnsi="Shofar"/>
          <w:rtl/>
        </w:rPr>
        <w:t>בלי מקור</w:t>
      </w:r>
      <w:r>
        <w:rPr>
          <w:rFonts w:ascii="Shofar" w:hAnsi="Shofar" w:cs="Shofar"/>
          <w:rtl/>
        </w:rPr>
        <w:t xml:space="preserve">, </w:t>
      </w:r>
      <w:r>
        <w:rPr>
          <w:rFonts w:ascii="Shofar" w:hAnsi="Shofar"/>
          <w:rtl/>
        </w:rPr>
        <w:t>לא נוכל להניח הדין</w:t>
      </w:r>
      <w:r>
        <w:rPr>
          <w:rFonts w:ascii="Shofar" w:hAnsi="Shofar" w:cs="Shofar"/>
          <w:rtl/>
        </w:rPr>
        <w:t>.</w:t>
      </w:r>
    </w:p>
    <w:p w:rsidR="002053B9" w:rsidRDefault="005A1E4A">
      <w:pPr>
        <w:numPr>
          <w:ilvl w:val="2"/>
          <w:numId w:val="4"/>
        </w:numPr>
        <w:rPr>
          <w:rFonts w:ascii="Shofar" w:hAnsi="Shofar" w:cs="Shofar"/>
        </w:rPr>
      </w:pPr>
      <w:r>
        <w:rPr>
          <w:rFonts w:ascii="Shofar" w:hAnsi="Shofar"/>
          <w:rtl/>
        </w:rPr>
        <w:t>מחודש לומר שהגירושין עצמם אסורים</w:t>
      </w:r>
      <w:r>
        <w:rPr>
          <w:rFonts w:ascii="Shofar" w:hAnsi="Shofar" w:cs="Shofar"/>
          <w:rtl/>
        </w:rPr>
        <w:t>.</w:t>
      </w:r>
    </w:p>
    <w:p w:rsidR="002053B9" w:rsidRDefault="005A1E4A">
      <w:pPr>
        <w:rPr>
          <w:rFonts w:ascii="Shofar" w:hAnsi="Shofar" w:cs="Shofar"/>
        </w:rPr>
      </w:pPr>
      <w:r>
        <w:rPr>
          <w:rFonts w:ascii="Shofar" w:hAnsi="Shofar"/>
          <w:rtl/>
        </w:rPr>
        <w:t>עיין ברש</w:t>
      </w:r>
      <w:r>
        <w:rPr>
          <w:rFonts w:ascii="Shofar" w:hAnsi="Shofar" w:cs="Shofar"/>
          <w:rtl/>
        </w:rPr>
        <w:t>"</w:t>
      </w:r>
      <w:r>
        <w:rPr>
          <w:rFonts w:ascii="Shofar" w:hAnsi="Shofar"/>
          <w:rtl/>
        </w:rPr>
        <w:t>י</w:t>
      </w:r>
      <w:r>
        <w:rPr>
          <w:rFonts w:ascii="Shofar" w:hAnsi="Shofar" w:cs="Shofar"/>
          <w:rtl/>
        </w:rPr>
        <w:t xml:space="preserve">. </w:t>
      </w:r>
      <w:r>
        <w:rPr>
          <w:rFonts w:ascii="Shofar" w:hAnsi="Shofar"/>
          <w:rtl/>
        </w:rPr>
        <w:t>גמרא כ’</w:t>
      </w:r>
      <w:r>
        <w:rPr>
          <w:rFonts w:ascii="Shofar" w:hAnsi="Shofar" w:cs="Shofar"/>
          <w:rtl/>
        </w:rPr>
        <w:t xml:space="preserve">, </w:t>
      </w:r>
      <w:r>
        <w:rPr>
          <w:rFonts w:ascii="Shofar" w:hAnsi="Shofar" w:cs="Shofar"/>
          <w:rtl/>
        </w:rPr>
        <w:t>“</w:t>
      </w:r>
      <w:r>
        <w:rPr>
          <w:rFonts w:ascii="Shofar" w:hAnsi="Shofar"/>
          <w:rtl/>
        </w:rPr>
        <w:t>שאין זה כריתות</w:t>
      </w:r>
      <w:r>
        <w:rPr>
          <w:rFonts w:ascii="Shofar" w:hAnsi="Shofar" w:cs="Shofar"/>
          <w:rtl/>
        </w:rPr>
        <w:t xml:space="preserve">.” </w:t>
      </w:r>
      <w:r>
        <w:rPr>
          <w:rFonts w:ascii="Shofar" w:hAnsi="Shofar"/>
          <w:rtl/>
        </w:rPr>
        <w:t>לכאורה</w:t>
      </w:r>
      <w:r>
        <w:rPr>
          <w:rFonts w:ascii="Shofar" w:hAnsi="Shofar" w:cs="Shofar"/>
          <w:rtl/>
        </w:rPr>
        <w:t xml:space="preserve">, </w:t>
      </w:r>
      <w:r>
        <w:rPr>
          <w:rFonts w:ascii="Shofar" w:hAnsi="Shofar"/>
          <w:rtl/>
        </w:rPr>
        <w:t>היה אפשר לומר שר</w:t>
      </w:r>
      <w:r>
        <w:rPr>
          <w:rFonts w:ascii="Shofar" w:hAnsi="Shofar" w:cs="Shofar"/>
          <w:rtl/>
        </w:rPr>
        <w:t>"</w:t>
      </w:r>
      <w:r>
        <w:rPr>
          <w:rFonts w:ascii="Shofar" w:hAnsi="Shofar"/>
          <w:rtl/>
        </w:rPr>
        <w:t>ל שאין זה גט שמתיר אותה</w:t>
      </w:r>
      <w:r>
        <w:rPr>
          <w:rFonts w:ascii="Shofar" w:hAnsi="Shofar" w:cs="Shofar"/>
          <w:rtl/>
        </w:rPr>
        <w:t xml:space="preserve">. </w:t>
      </w:r>
      <w:r>
        <w:rPr>
          <w:rFonts w:ascii="Shofar" w:hAnsi="Shofar"/>
          <w:rtl/>
        </w:rPr>
        <w:t>הוא דרך מוזר לומר כן</w:t>
      </w:r>
      <w:r>
        <w:rPr>
          <w:rFonts w:ascii="Shofar" w:hAnsi="Shofar" w:cs="Shofar"/>
          <w:rtl/>
        </w:rPr>
        <w:t xml:space="preserve">, </w:t>
      </w:r>
      <w:r>
        <w:rPr>
          <w:rFonts w:ascii="Shofar" w:hAnsi="Shofar"/>
          <w:rtl/>
        </w:rPr>
        <w:t>אבל אינו כל כך דחוק</w:t>
      </w:r>
      <w:r>
        <w:rPr>
          <w:rFonts w:ascii="Shofar" w:hAnsi="Shofar" w:cs="Shofar"/>
          <w:rtl/>
        </w:rPr>
        <w:t xml:space="preserve">. </w:t>
      </w:r>
      <w:r>
        <w:rPr>
          <w:rFonts w:ascii="Shofar" w:hAnsi="Shofar"/>
          <w:rtl/>
        </w:rPr>
        <w:t>רש</w:t>
      </w:r>
      <w:r>
        <w:rPr>
          <w:rFonts w:ascii="Shofar" w:hAnsi="Shofar" w:cs="Shofar"/>
          <w:rtl/>
        </w:rPr>
        <w:t>"</w:t>
      </w:r>
      <w:r>
        <w:rPr>
          <w:rFonts w:ascii="Shofar" w:hAnsi="Shofar"/>
          <w:rtl/>
        </w:rPr>
        <w:t>י מפרש ש</w:t>
      </w:r>
      <w:r>
        <w:rPr>
          <w:rFonts w:ascii="Shofar" w:hAnsi="Shofar" w:cs="Shofar"/>
          <w:rtl/>
        </w:rPr>
        <w:t>"</w:t>
      </w:r>
      <w:r>
        <w:rPr>
          <w:rFonts w:ascii="Shofar" w:hAnsi="Shofar"/>
          <w:rtl/>
        </w:rPr>
        <w:t>אין זה כריתות שנאמר בתורה…</w:t>
      </w:r>
      <w:r>
        <w:rPr>
          <w:rFonts w:ascii="Shofar" w:hAnsi="Shofar" w:cs="Shofar"/>
          <w:rtl/>
        </w:rPr>
        <w:t xml:space="preserve">.” </w:t>
      </w:r>
      <w:r>
        <w:rPr>
          <w:rFonts w:ascii="Shofar" w:hAnsi="Shofar"/>
          <w:rtl/>
        </w:rPr>
        <w:t>לכאורה</w:t>
      </w:r>
      <w:r>
        <w:rPr>
          <w:rFonts w:ascii="Shofar" w:hAnsi="Shofar" w:cs="Shofar"/>
          <w:rtl/>
        </w:rPr>
        <w:t xml:space="preserve">, </w:t>
      </w:r>
      <w:r>
        <w:rPr>
          <w:rFonts w:ascii="Shofar" w:hAnsi="Shofar"/>
          <w:rtl/>
        </w:rPr>
        <w:t>משמע שיש דבר מיוחד בגט כיון שכתיב בתורה</w:t>
      </w:r>
      <w:r>
        <w:rPr>
          <w:rFonts w:ascii="Shofar" w:hAnsi="Shofar" w:cs="Shofar"/>
          <w:rtl/>
        </w:rPr>
        <w:t xml:space="preserve">. </w:t>
      </w:r>
      <w:r>
        <w:rPr>
          <w:rFonts w:ascii="Shofar" w:hAnsi="Shofar"/>
          <w:rtl/>
        </w:rPr>
        <w:t>לצד ראשון</w:t>
      </w:r>
      <w:r>
        <w:rPr>
          <w:rFonts w:ascii="Shofar" w:hAnsi="Shofar" w:cs="Shofar"/>
          <w:rtl/>
        </w:rPr>
        <w:t xml:space="preserve">, </w:t>
      </w:r>
      <w:r>
        <w:rPr>
          <w:rFonts w:ascii="Shofar" w:hAnsi="Shofar"/>
          <w:rtl/>
        </w:rPr>
        <w:t>קשה</w:t>
      </w:r>
      <w:r>
        <w:rPr>
          <w:rFonts w:ascii="Shofar" w:hAnsi="Shofar" w:cs="Shofar"/>
          <w:rtl/>
        </w:rPr>
        <w:t xml:space="preserve">, </w:t>
      </w:r>
      <w:r>
        <w:rPr>
          <w:rFonts w:ascii="Shofar" w:hAnsi="Shofar"/>
          <w:rtl/>
        </w:rPr>
        <w:t>שדין זה מתקיים בכל דבר שבתורה</w:t>
      </w:r>
      <w:r>
        <w:rPr>
          <w:rFonts w:ascii="Shofar" w:hAnsi="Shofar" w:cs="Shofar"/>
          <w:rtl/>
        </w:rPr>
        <w:t xml:space="preserve">. </w:t>
      </w:r>
      <w:r>
        <w:rPr>
          <w:rFonts w:ascii="Shofar" w:hAnsi="Shofar"/>
          <w:rtl/>
        </w:rPr>
        <w:t>לצד שני</w:t>
      </w:r>
      <w:r>
        <w:rPr>
          <w:rFonts w:ascii="Shofar" w:hAnsi="Shofar" w:cs="Shofar"/>
          <w:rtl/>
        </w:rPr>
        <w:t xml:space="preserve">, </w:t>
      </w:r>
      <w:r>
        <w:rPr>
          <w:rFonts w:ascii="Shofar" w:hAnsi="Shofar"/>
          <w:rtl/>
        </w:rPr>
        <w:t>אולי מה שמביא מ</w:t>
      </w:r>
      <w:r>
        <w:rPr>
          <w:rFonts w:ascii="Shofar" w:hAnsi="Shofar" w:cs="Shofar"/>
          <w:rtl/>
        </w:rPr>
        <w:t>"</w:t>
      </w:r>
      <w:r>
        <w:rPr>
          <w:rFonts w:ascii="Shofar" w:hAnsi="Shofar"/>
          <w:rtl/>
        </w:rPr>
        <w:t>כריתות</w:t>
      </w:r>
      <w:r>
        <w:rPr>
          <w:rFonts w:ascii="Shofar" w:hAnsi="Shofar" w:cs="Shofar"/>
          <w:rtl/>
        </w:rPr>
        <w:t xml:space="preserve">" </w:t>
      </w:r>
      <w:r>
        <w:rPr>
          <w:rFonts w:ascii="Shofar" w:hAnsi="Shofar"/>
          <w:rtl/>
        </w:rPr>
        <w:t>הוא שצריך להיות בלי שיור</w:t>
      </w:r>
      <w:r>
        <w:rPr>
          <w:rFonts w:ascii="Shofar" w:hAnsi="Shofar" w:cs="Shofar"/>
          <w:rtl/>
        </w:rPr>
        <w:t xml:space="preserve">, </w:t>
      </w:r>
      <w:r>
        <w:rPr>
          <w:rFonts w:ascii="Shofar" w:hAnsi="Shofar"/>
          <w:rtl/>
        </w:rPr>
        <w:t>שהבעיה בשיור הוא</w:t>
      </w:r>
      <w:r>
        <w:rPr>
          <w:rFonts w:ascii="Shofar" w:hAnsi="Shofar" w:cs="Shofar"/>
          <w:rtl/>
        </w:rPr>
        <w:t xml:space="preserve">, </w:t>
      </w:r>
      <w:r>
        <w:rPr>
          <w:rFonts w:ascii="Shofar" w:hAnsi="Shofar"/>
          <w:rtl/>
        </w:rPr>
        <w:t>אולי</w:t>
      </w:r>
      <w:r>
        <w:rPr>
          <w:rFonts w:ascii="Shofar" w:hAnsi="Shofar" w:cs="Shofar"/>
          <w:rtl/>
        </w:rPr>
        <w:t xml:space="preserve">, </w:t>
      </w:r>
      <w:r>
        <w:rPr>
          <w:rFonts w:ascii="Shofar" w:hAnsi="Shofar"/>
          <w:rtl/>
        </w:rPr>
        <w:t>מה שאין אשה נכרתת מאיש</w:t>
      </w:r>
      <w:r>
        <w:rPr>
          <w:rFonts w:ascii="Shofar" w:hAnsi="Shofar" w:cs="Shofar"/>
          <w:rtl/>
        </w:rPr>
        <w:t>.</w:t>
      </w:r>
      <w:r>
        <w:rPr>
          <w:rStyle w:val="FootnoteReference1"/>
          <w:rFonts w:ascii="Shofar" w:hAnsi="Shofar" w:cs="Shofar"/>
          <w:rtl/>
        </w:rPr>
        <w:footnoteReference w:id="3"/>
      </w:r>
      <w:r>
        <w:rPr>
          <w:rFonts w:ascii="Shofar" w:hAnsi="Shofar" w:cs="Shofar"/>
          <w:rtl/>
        </w:rPr>
        <w:t xml:space="preserve"> </w:t>
      </w:r>
      <w:r>
        <w:rPr>
          <w:rFonts w:ascii="Shofar" w:hAnsi="Shofar"/>
          <w:rtl/>
        </w:rPr>
        <w:t>גם הוא טוב לצד שלישי</w:t>
      </w:r>
      <w:r>
        <w:rPr>
          <w:rFonts w:ascii="Shofar" w:hAnsi="Shofar" w:cs="Shofar"/>
          <w:rtl/>
        </w:rPr>
        <w:t xml:space="preserve">, </w:t>
      </w:r>
      <w:r>
        <w:rPr>
          <w:rFonts w:ascii="Shofar" w:hAnsi="Shofar"/>
          <w:rtl/>
        </w:rPr>
        <w:t>שמפרש שלא נשמע מן המילה שאמרה תורה</w:t>
      </w:r>
      <w:r>
        <w:rPr>
          <w:rFonts w:ascii="Shofar" w:hAnsi="Shofar" w:cs="Shofar"/>
          <w:rtl/>
        </w:rPr>
        <w:t xml:space="preserve">. </w:t>
      </w:r>
      <w:r>
        <w:rPr>
          <w:rFonts w:ascii="Shofar" w:hAnsi="Shofar"/>
          <w:rtl/>
        </w:rPr>
        <w:t>ותחשב</w:t>
      </w:r>
      <w:r>
        <w:rPr>
          <w:rFonts w:ascii="Shofar" w:hAnsi="Shofar" w:cs="Shofar"/>
          <w:rtl/>
        </w:rPr>
        <w:t>.</w:t>
      </w:r>
    </w:p>
    <w:p w:rsidR="002053B9" w:rsidRDefault="005A1E4A">
      <w:pPr>
        <w:rPr>
          <w:rFonts w:ascii="Shofar" w:hAnsi="Shofar" w:cs="Shofar"/>
        </w:rPr>
      </w:pPr>
      <w:r>
        <w:rPr>
          <w:rFonts w:ascii="Shofar" w:hAnsi="Shofar"/>
          <w:rtl/>
        </w:rPr>
        <w:t>אז</w:t>
      </w:r>
      <w:r>
        <w:rPr>
          <w:rFonts w:ascii="Shofar" w:hAnsi="Shofar" w:cs="Shofar"/>
          <w:rtl/>
        </w:rPr>
        <w:t xml:space="preserve">, </w:t>
      </w:r>
      <w:r>
        <w:rPr>
          <w:rFonts w:ascii="Shofar" w:hAnsi="Shofar"/>
          <w:rtl/>
        </w:rPr>
        <w:t>כיון שצד שני כמעט נדחה מכוח קושיות</w:t>
      </w:r>
      <w:r>
        <w:rPr>
          <w:rFonts w:ascii="Shofar" w:hAnsi="Shofar" w:cs="Shofar"/>
          <w:rtl/>
        </w:rPr>
        <w:t xml:space="preserve">, </w:t>
      </w:r>
      <w:r>
        <w:rPr>
          <w:rFonts w:ascii="Shofar" w:hAnsi="Shofar"/>
          <w:rtl/>
        </w:rPr>
        <w:t>וצד ראשון לא נראה מרש</w:t>
      </w:r>
      <w:r>
        <w:rPr>
          <w:rFonts w:ascii="Shofar" w:hAnsi="Shofar" w:cs="Shofar"/>
          <w:rtl/>
        </w:rPr>
        <w:t>"</w:t>
      </w:r>
      <w:r>
        <w:rPr>
          <w:rFonts w:ascii="Shofar" w:hAnsi="Shofar"/>
          <w:rtl/>
        </w:rPr>
        <w:t>י</w:t>
      </w:r>
      <w:r>
        <w:rPr>
          <w:rFonts w:ascii="Shofar" w:hAnsi="Shofar" w:cs="Shofar"/>
          <w:rtl/>
        </w:rPr>
        <w:t xml:space="preserve">, </w:t>
      </w:r>
      <w:r>
        <w:rPr>
          <w:rFonts w:ascii="Shofar" w:hAnsi="Shofar"/>
          <w:rtl/>
        </w:rPr>
        <w:t>נניח כצד שני</w:t>
      </w:r>
      <w:r>
        <w:rPr>
          <w:rFonts w:ascii="Shofar" w:hAnsi="Shofar" w:cs="Shofar"/>
          <w:rtl/>
        </w:rPr>
        <w:t>.</w:t>
      </w:r>
    </w:p>
    <w:p w:rsidR="002053B9" w:rsidRDefault="005A1E4A">
      <w:pPr>
        <w:rPr>
          <w:rFonts w:ascii="Shofar" w:hAnsi="Shofar" w:cs="Shofar"/>
        </w:rPr>
      </w:pPr>
      <w:r>
        <w:rPr>
          <w:rFonts w:ascii="Shofar" w:hAnsi="Shofar"/>
          <w:rtl/>
        </w:rPr>
        <w:t>רש</w:t>
      </w:r>
      <w:r>
        <w:rPr>
          <w:rFonts w:ascii="Shofar" w:hAnsi="Shofar" w:cs="Shofar"/>
          <w:rtl/>
        </w:rPr>
        <w:t>"</w:t>
      </w:r>
      <w:r>
        <w:rPr>
          <w:rFonts w:ascii="Shofar" w:hAnsi="Shofar"/>
          <w:rtl/>
        </w:rPr>
        <w:t xml:space="preserve">י גם </w:t>
      </w:r>
      <w:r>
        <w:rPr>
          <w:rFonts w:ascii="Shofar" w:hAnsi="Shofar"/>
          <w:rtl/>
        </w:rPr>
        <w:t>אומר שמה שעושה שאינו ככריתות שבתורה הוא שעובר על איסור</w:t>
      </w:r>
      <w:r>
        <w:rPr>
          <w:rFonts w:ascii="Shofar" w:hAnsi="Shofar" w:cs="Shofar"/>
          <w:rtl/>
        </w:rPr>
        <w:t xml:space="preserve">. </w:t>
      </w:r>
      <w:r>
        <w:rPr>
          <w:rFonts w:ascii="Shofar" w:hAnsi="Shofar"/>
          <w:rtl/>
        </w:rPr>
        <w:t>זה כצד ראשון שבצד שני</w:t>
      </w:r>
      <w:r>
        <w:rPr>
          <w:rFonts w:ascii="Shofar" w:hAnsi="Shofar" w:cs="Shofar"/>
          <w:rtl/>
        </w:rPr>
        <w:t xml:space="preserve">. </w:t>
      </w:r>
      <w:r>
        <w:rPr>
          <w:rFonts w:ascii="Shofar" w:hAnsi="Shofar"/>
          <w:rtl/>
        </w:rPr>
        <w:t>אז</w:t>
      </w:r>
      <w:r>
        <w:rPr>
          <w:rFonts w:ascii="Shofar" w:hAnsi="Shofar" w:cs="Shofar"/>
          <w:rtl/>
        </w:rPr>
        <w:t xml:space="preserve">, </w:t>
      </w:r>
      <w:r>
        <w:rPr>
          <w:rFonts w:ascii="Shofar" w:hAnsi="Shofar"/>
          <w:rtl/>
        </w:rPr>
        <w:t>מצאנו הצד שנראה מרש</w:t>
      </w:r>
      <w:r>
        <w:rPr>
          <w:rFonts w:ascii="Shofar" w:hAnsi="Shofar" w:cs="Shofar"/>
          <w:rtl/>
        </w:rPr>
        <w:t>"</w:t>
      </w:r>
      <w:r>
        <w:rPr>
          <w:rFonts w:ascii="Shofar" w:hAnsi="Shofar"/>
          <w:rtl/>
        </w:rPr>
        <w:t>י</w:t>
      </w:r>
      <w:r>
        <w:rPr>
          <w:rFonts w:ascii="Shofar" w:hAnsi="Shofar" w:cs="Shofar"/>
          <w:rtl/>
        </w:rPr>
        <w:t>.</w:t>
      </w:r>
    </w:p>
    <w:p w:rsidR="002053B9" w:rsidRDefault="002053B9">
      <w:pPr>
        <w:ind w:left="720"/>
        <w:rPr>
          <w:rFonts w:ascii="Shofar" w:hAnsi="Shofar" w:cs="Shofar"/>
        </w:rPr>
      </w:pPr>
    </w:p>
    <w:p w:rsidR="002053B9" w:rsidRDefault="005A1E4A">
      <w:pPr>
        <w:pStyle w:val="Heading2"/>
      </w:pPr>
      <w:bookmarkStart w:id="2" w:name="_Toc135840617"/>
      <w:r>
        <w:rPr>
          <w:rtl/>
        </w:rPr>
        <w:t>דחייה:</w:t>
      </w:r>
      <w:bookmarkEnd w:id="2"/>
      <w:r>
        <w:rPr>
          <w:rtl/>
        </w:rPr>
        <w:t xml:space="preserve"> </w:t>
      </w:r>
    </w:p>
    <w:p w:rsidR="002053B9" w:rsidRDefault="005A1E4A">
      <w:pPr>
        <w:rPr>
          <w:rFonts w:ascii="Shofar" w:hAnsi="Shofar" w:cs="Shofar"/>
        </w:rPr>
      </w:pPr>
      <w:r>
        <w:rPr>
          <w:rFonts w:ascii="Shofar" w:hAnsi="Shofar"/>
          <w:rtl/>
        </w:rPr>
        <w:t>אילו היה כן</w:t>
      </w:r>
      <w:r>
        <w:rPr>
          <w:rFonts w:ascii="Shofar" w:hAnsi="Shofar" w:cs="Shofar"/>
          <w:rtl/>
        </w:rPr>
        <w:t xml:space="preserve">, </w:t>
      </w:r>
      <w:r>
        <w:rPr>
          <w:rFonts w:ascii="Shofar" w:hAnsi="Shofar"/>
          <w:rtl/>
        </w:rPr>
        <w:t>היה אסור לישא בת אחיו</w:t>
      </w:r>
      <w:r>
        <w:rPr>
          <w:rFonts w:ascii="Shofar" w:hAnsi="Shofar" w:cs="Shofar"/>
          <w:rtl/>
        </w:rPr>
        <w:t>.</w:t>
      </w:r>
    </w:p>
    <w:p w:rsidR="002053B9" w:rsidRDefault="002053B9">
      <w:pPr>
        <w:rPr>
          <w:rFonts w:ascii="Shofar" w:hAnsi="Shofar" w:cs="Shofar"/>
        </w:rPr>
      </w:pPr>
    </w:p>
    <w:p w:rsidR="002053B9" w:rsidRDefault="005A1E4A">
      <w:pPr>
        <w:rPr>
          <w:rFonts w:ascii="Shofar" w:hAnsi="Shofar" w:cs="Shofar"/>
        </w:rPr>
      </w:pPr>
      <w:r>
        <w:rPr>
          <w:rFonts w:ascii="Shofar" w:hAnsi="Shofar"/>
          <w:rtl/>
        </w:rPr>
        <w:t>יש לבאר את הדיחוי</w:t>
      </w:r>
      <w:r>
        <w:rPr>
          <w:rFonts w:ascii="Shofar" w:hAnsi="Shofar" w:cs="Shofar"/>
          <w:rtl/>
        </w:rPr>
        <w:t>:</w:t>
      </w:r>
    </w:p>
    <w:p w:rsidR="002053B9" w:rsidRDefault="005A1E4A">
      <w:pPr>
        <w:rPr>
          <w:rFonts w:ascii="Shofar" w:hAnsi="Shofar" w:cs="Shofar"/>
        </w:rPr>
      </w:pPr>
      <w:r>
        <w:rPr>
          <w:rFonts w:ascii="Shofar" w:hAnsi="Shofar"/>
          <w:rtl/>
        </w:rPr>
        <w:t>צד ראשון אמר שהוא כמתנה על מה שכתב בתורה</w:t>
      </w:r>
      <w:r>
        <w:rPr>
          <w:rFonts w:ascii="Shofar" w:hAnsi="Shofar" w:cs="Shofar"/>
          <w:rtl/>
        </w:rPr>
        <w:t xml:space="preserve">. </w:t>
      </w:r>
      <w:r>
        <w:rPr>
          <w:rFonts w:ascii="Shofar" w:hAnsi="Shofar"/>
          <w:rtl/>
        </w:rPr>
        <w:t>הדיחוי הוא שמצאנו חלות שחל באיסור כזה</w:t>
      </w:r>
      <w:r>
        <w:rPr>
          <w:rFonts w:ascii="Shofar" w:hAnsi="Shofar" w:cs="Shofar"/>
          <w:rtl/>
        </w:rPr>
        <w:t xml:space="preserve">. </w:t>
      </w:r>
      <w:r>
        <w:rPr>
          <w:rFonts w:ascii="Shofar" w:hAnsi="Shofar"/>
          <w:rtl/>
        </w:rPr>
        <w:t>צריך</w:t>
      </w:r>
      <w:r>
        <w:rPr>
          <w:rFonts w:ascii="Shofar" w:hAnsi="Shofar"/>
          <w:rtl/>
        </w:rPr>
        <w:t xml:space="preserve"> לדון בשני דברים</w:t>
      </w:r>
      <w:r>
        <w:rPr>
          <w:rFonts w:ascii="Shofar" w:hAnsi="Shofar" w:cs="Shofar"/>
          <w:rtl/>
        </w:rPr>
        <w:t>:</w:t>
      </w:r>
    </w:p>
    <w:p w:rsidR="002053B9" w:rsidRDefault="005A1E4A">
      <w:pPr>
        <w:numPr>
          <w:ilvl w:val="0"/>
          <w:numId w:val="8"/>
        </w:numPr>
        <w:rPr>
          <w:rFonts w:ascii="Shofar" w:hAnsi="Shofar" w:cs="Shofar"/>
        </w:rPr>
      </w:pPr>
      <w:r>
        <w:rPr>
          <w:rFonts w:ascii="Shofar" w:hAnsi="Shofar"/>
          <w:rtl/>
        </w:rPr>
        <w:t>צריך לדון מהו הקא משמע לן</w:t>
      </w:r>
      <w:r>
        <w:rPr>
          <w:rFonts w:ascii="Shofar" w:hAnsi="Shofar" w:cs="Shofar"/>
          <w:rtl/>
        </w:rPr>
        <w:t xml:space="preserve">. </w:t>
      </w:r>
      <w:r>
        <w:rPr>
          <w:rFonts w:ascii="Shofar" w:hAnsi="Shofar"/>
          <w:rtl/>
        </w:rPr>
        <w:t>נראה שני צדדים</w:t>
      </w:r>
      <w:r>
        <w:rPr>
          <w:rFonts w:ascii="Shofar" w:hAnsi="Shofar" w:cs="Shofar"/>
          <w:rtl/>
        </w:rPr>
        <w:t>:</w:t>
      </w:r>
    </w:p>
    <w:p w:rsidR="002053B9" w:rsidRDefault="005A1E4A">
      <w:pPr>
        <w:numPr>
          <w:ilvl w:val="1"/>
          <w:numId w:val="9"/>
        </w:numPr>
        <w:rPr>
          <w:rFonts w:ascii="Shofar" w:hAnsi="Shofar" w:cs="Shofar"/>
        </w:rPr>
      </w:pPr>
      <w:r>
        <w:rPr>
          <w:rFonts w:ascii="Shofar" w:hAnsi="Shofar"/>
          <w:rtl/>
        </w:rPr>
        <w:lastRenderedPageBreak/>
        <w:t>יודעים שיש דבר שמשנה בין הו</w:t>
      </w:r>
      <w:r>
        <w:rPr>
          <w:rFonts w:ascii="Shofar" w:hAnsi="Shofar" w:cs="Shofar"/>
          <w:rtl/>
        </w:rPr>
        <w:t>"</w:t>
      </w:r>
      <w:r>
        <w:rPr>
          <w:rFonts w:ascii="Shofar" w:hAnsi="Shofar"/>
          <w:rtl/>
        </w:rPr>
        <w:t xml:space="preserve">א למסקנא </w:t>
      </w:r>
      <w:r>
        <w:rPr>
          <w:rFonts w:ascii="Shofar" w:hAnsi="Shofar" w:cs="Shofar"/>
          <w:rtl/>
        </w:rPr>
        <w:t>(</w:t>
      </w:r>
      <w:r>
        <w:rPr>
          <w:rFonts w:ascii="Shofar" w:hAnsi="Shofar"/>
          <w:rtl/>
        </w:rPr>
        <w:t>הזכרנו אותו לעיל</w:t>
      </w:r>
      <w:r>
        <w:rPr>
          <w:rFonts w:ascii="Shofar" w:hAnsi="Shofar" w:cs="Shofar"/>
          <w:rtl/>
        </w:rPr>
        <w:t xml:space="preserve">), </w:t>
      </w:r>
      <w:r>
        <w:rPr>
          <w:rFonts w:ascii="Shofar" w:hAnsi="Shofar"/>
          <w:rtl/>
        </w:rPr>
        <w:t>והוא שכיון שלא מוכרחת לעבור</w:t>
      </w:r>
      <w:r>
        <w:rPr>
          <w:rFonts w:ascii="Shofar" w:hAnsi="Shofar" w:cs="Shofar"/>
          <w:rtl/>
        </w:rPr>
        <w:t xml:space="preserve">, </w:t>
      </w:r>
      <w:r>
        <w:rPr>
          <w:rFonts w:ascii="Shofar" w:hAnsi="Shofar"/>
          <w:rtl/>
        </w:rPr>
        <w:t>אינו נחשב תנאי נגד מה שכתוב בתורה</w:t>
      </w:r>
      <w:r>
        <w:rPr>
          <w:rFonts w:ascii="Shofar" w:hAnsi="Shofar" w:cs="Shofar"/>
          <w:rtl/>
        </w:rPr>
        <w:t xml:space="preserve">. </w:t>
      </w:r>
      <w:r>
        <w:rPr>
          <w:rFonts w:ascii="Shofar" w:hAnsi="Shofar"/>
          <w:rtl/>
        </w:rPr>
        <w:t>אפשר שכן מוכיח תורה</w:t>
      </w:r>
      <w:r>
        <w:rPr>
          <w:rFonts w:ascii="Shofar" w:hAnsi="Shofar" w:cs="Shofar"/>
          <w:rtl/>
        </w:rPr>
        <w:t xml:space="preserve">, </w:t>
      </w:r>
      <w:r>
        <w:rPr>
          <w:rFonts w:ascii="Shofar" w:hAnsi="Shofar"/>
          <w:rtl/>
        </w:rPr>
        <w:t>והוא שכיון שלא מוכרחת שתעבור</w:t>
      </w:r>
      <w:r>
        <w:rPr>
          <w:rFonts w:ascii="Shofar" w:hAnsi="Shofar" w:cs="Shofar"/>
          <w:rtl/>
        </w:rPr>
        <w:t xml:space="preserve">, </w:t>
      </w:r>
      <w:r>
        <w:rPr>
          <w:rFonts w:ascii="Shofar" w:hAnsi="Shofar"/>
          <w:rtl/>
        </w:rPr>
        <w:t xml:space="preserve">שאולי לא ימות בלי בנים </w:t>
      </w:r>
      <w:r>
        <w:rPr>
          <w:rFonts w:ascii="Shofar" w:hAnsi="Shofar"/>
          <w:rtl/>
        </w:rPr>
        <w:t xml:space="preserve">כשהוא עדיין נשואה לו </w:t>
      </w:r>
      <w:r>
        <w:rPr>
          <w:rFonts w:ascii="Shofar" w:hAnsi="Shofar" w:cs="Shofar"/>
          <w:rtl/>
        </w:rPr>
        <w:t>(</w:t>
      </w:r>
      <w:r>
        <w:rPr>
          <w:rFonts w:ascii="Shofar" w:hAnsi="Shofar"/>
          <w:rtl/>
        </w:rPr>
        <w:t>או אולי תפסל מייבום מסיבה אחרת</w:t>
      </w:r>
      <w:r>
        <w:rPr>
          <w:rFonts w:ascii="Shofar" w:hAnsi="Shofar" w:cs="Shofar"/>
          <w:rtl/>
        </w:rPr>
        <w:t xml:space="preserve">), </w:t>
      </w:r>
      <w:r>
        <w:rPr>
          <w:rFonts w:ascii="Shofar" w:hAnsi="Shofar"/>
          <w:rtl/>
        </w:rPr>
        <w:t>לא נחשב מתנה על מה שכתוב בתורה</w:t>
      </w:r>
      <w:r>
        <w:rPr>
          <w:rFonts w:ascii="Shofar" w:hAnsi="Shofar" w:cs="Shofar"/>
          <w:rtl/>
        </w:rPr>
        <w:t>.</w:t>
      </w:r>
    </w:p>
    <w:p w:rsidR="002053B9" w:rsidRDefault="005A1E4A">
      <w:pPr>
        <w:numPr>
          <w:ilvl w:val="1"/>
          <w:numId w:val="9"/>
        </w:numPr>
        <w:rPr>
          <w:rFonts w:ascii="Shofar" w:hAnsi="Shofar" w:cs="Shofar"/>
        </w:rPr>
      </w:pPr>
      <w:r>
        <w:rPr>
          <w:rFonts w:ascii="Shofar" w:hAnsi="Shofar"/>
          <w:rtl/>
        </w:rPr>
        <w:t>אולי זה משנה במסקנא</w:t>
      </w:r>
      <w:r>
        <w:rPr>
          <w:rFonts w:ascii="Shofar" w:hAnsi="Shofar" w:cs="Shofar"/>
          <w:rtl/>
        </w:rPr>
        <w:t xml:space="preserve">, </w:t>
      </w:r>
      <w:r>
        <w:rPr>
          <w:rFonts w:ascii="Shofar" w:hAnsi="Shofar"/>
          <w:rtl/>
        </w:rPr>
        <w:t>אבל אין זה מה שאומרת גמרא</w:t>
      </w:r>
      <w:r>
        <w:rPr>
          <w:rFonts w:ascii="Shofar" w:hAnsi="Shofar" w:cs="Shofar"/>
          <w:rtl/>
        </w:rPr>
        <w:t>. (</w:t>
      </w:r>
      <w:r>
        <w:rPr>
          <w:rFonts w:ascii="Shofar" w:hAnsi="Shofar"/>
          <w:rtl/>
        </w:rPr>
        <w:t>ר</w:t>
      </w:r>
      <w:r>
        <w:rPr>
          <w:rFonts w:ascii="Shofar" w:hAnsi="Shofar" w:cs="Shofar"/>
          <w:rtl/>
        </w:rPr>
        <w:t>"</w:t>
      </w:r>
      <w:r>
        <w:rPr>
          <w:rFonts w:ascii="Shofar" w:hAnsi="Shofar"/>
          <w:rtl/>
        </w:rPr>
        <w:t>ל</w:t>
      </w:r>
      <w:r>
        <w:rPr>
          <w:rFonts w:ascii="Shofar" w:hAnsi="Shofar" w:cs="Shofar"/>
          <w:rtl/>
        </w:rPr>
        <w:t xml:space="preserve">, </w:t>
      </w:r>
      <w:r>
        <w:rPr>
          <w:rFonts w:ascii="Shofar" w:hAnsi="Shofar"/>
          <w:rtl/>
        </w:rPr>
        <w:t>היה אפשר לגמרא לומר כן</w:t>
      </w:r>
      <w:r>
        <w:rPr>
          <w:rFonts w:ascii="Shofar" w:hAnsi="Shofar" w:cs="Shofar"/>
          <w:rtl/>
        </w:rPr>
        <w:t xml:space="preserve">, </w:t>
      </w:r>
      <w:r>
        <w:rPr>
          <w:rFonts w:ascii="Shofar" w:hAnsi="Shofar"/>
          <w:rtl/>
        </w:rPr>
        <w:t>אבל לא משיב כן</w:t>
      </w:r>
      <w:r>
        <w:rPr>
          <w:rFonts w:ascii="Shofar" w:hAnsi="Shofar" w:cs="Shofar"/>
          <w:rtl/>
        </w:rPr>
        <w:t xml:space="preserve">, </w:t>
      </w:r>
      <w:r>
        <w:rPr>
          <w:rFonts w:ascii="Shofar" w:hAnsi="Shofar"/>
          <w:rtl/>
        </w:rPr>
        <w:t>אלא משיב דבר אחר</w:t>
      </w:r>
      <w:r>
        <w:rPr>
          <w:rFonts w:ascii="Shofar" w:hAnsi="Shofar" w:cs="Shofar"/>
          <w:rtl/>
        </w:rPr>
        <w:t xml:space="preserve">.) </w:t>
      </w:r>
      <w:r>
        <w:rPr>
          <w:rFonts w:ascii="Shofar" w:hAnsi="Shofar"/>
          <w:rtl/>
        </w:rPr>
        <w:t>צריך</w:t>
      </w:r>
      <w:r>
        <w:rPr>
          <w:rFonts w:ascii="Shofar" w:hAnsi="Shofar" w:cs="Shofar"/>
          <w:rtl/>
        </w:rPr>
        <w:t xml:space="preserve">, </w:t>
      </w:r>
      <w:r>
        <w:rPr>
          <w:rFonts w:ascii="Shofar" w:hAnsi="Shofar"/>
          <w:rtl/>
        </w:rPr>
        <w:t>כמובן</w:t>
      </w:r>
      <w:r>
        <w:rPr>
          <w:rFonts w:ascii="Shofar" w:hAnsi="Shofar" w:cs="Shofar"/>
          <w:rtl/>
        </w:rPr>
        <w:t xml:space="preserve">, </w:t>
      </w:r>
      <w:r>
        <w:rPr>
          <w:rFonts w:ascii="Shofar" w:hAnsi="Shofar"/>
          <w:rtl/>
        </w:rPr>
        <w:t xml:space="preserve">דבר שלא יאמר </w:t>
      </w:r>
      <w:r>
        <w:rPr>
          <w:rFonts w:ascii="Shofar" w:hAnsi="Shofar" w:cs="Shofar"/>
        </w:rPr>
        <w:t>1</w:t>
      </w:r>
      <w:r>
        <w:rPr>
          <w:rFonts w:ascii="Shofar" w:hAnsi="Shofar" w:cs="Shofar"/>
          <w:rtl/>
        </w:rPr>
        <w:t xml:space="preserve"> (</w:t>
      </w:r>
      <w:r>
        <w:rPr>
          <w:rFonts w:ascii="Shofar" w:hAnsi="Shofar"/>
          <w:rtl/>
        </w:rPr>
        <w:t xml:space="preserve">שאם יאמר </w:t>
      </w:r>
      <w:r>
        <w:rPr>
          <w:rFonts w:ascii="Shofar" w:hAnsi="Shofar" w:cs="Shofar"/>
        </w:rPr>
        <w:t>1</w:t>
      </w:r>
      <w:r>
        <w:rPr>
          <w:rFonts w:ascii="Shofar" w:hAnsi="Shofar" w:cs="Shofar"/>
          <w:rtl/>
        </w:rPr>
        <w:t xml:space="preserve">, </w:t>
      </w:r>
      <w:r>
        <w:rPr>
          <w:rFonts w:ascii="Shofar" w:hAnsi="Shofar"/>
          <w:rtl/>
        </w:rPr>
        <w:t>נניח שכן אומר</w:t>
      </w:r>
      <w:r>
        <w:rPr>
          <w:rFonts w:ascii="Shofar" w:hAnsi="Shofar" w:cs="Shofar"/>
          <w:rtl/>
        </w:rPr>
        <w:t>).</w:t>
      </w:r>
      <w:r>
        <w:rPr>
          <w:rFonts w:ascii="Shofar" w:hAnsi="Shofar" w:cs="Shofar"/>
          <w:rtl/>
        </w:rPr>
        <w:t xml:space="preserve"> </w:t>
      </w:r>
      <w:r>
        <w:rPr>
          <w:rFonts w:ascii="Shofar" w:hAnsi="Shofar"/>
          <w:rtl/>
        </w:rPr>
        <w:t>אז</w:t>
      </w:r>
      <w:r>
        <w:rPr>
          <w:rFonts w:ascii="Shofar" w:hAnsi="Shofar" w:cs="Shofar"/>
          <w:rtl/>
        </w:rPr>
        <w:t xml:space="preserve">, </w:t>
      </w:r>
      <w:r>
        <w:rPr>
          <w:rFonts w:ascii="Shofar" w:hAnsi="Shofar"/>
          <w:rtl/>
        </w:rPr>
        <w:t>יש לומר שמוכיח שאין זה נחשב איסור</w:t>
      </w:r>
      <w:r>
        <w:rPr>
          <w:rFonts w:ascii="Shofar" w:hAnsi="Shofar" w:cs="Shofar"/>
          <w:rtl/>
        </w:rPr>
        <w:t>:</w:t>
      </w:r>
    </w:p>
    <w:p w:rsidR="002053B9" w:rsidRDefault="005A1E4A">
      <w:pPr>
        <w:numPr>
          <w:ilvl w:val="2"/>
          <w:numId w:val="9"/>
        </w:numPr>
        <w:rPr>
          <w:rFonts w:ascii="Shofar" w:hAnsi="Shofar" w:cs="Shofar"/>
        </w:rPr>
      </w:pPr>
      <w:r>
        <w:rPr>
          <w:rFonts w:ascii="Shofar" w:hAnsi="Shofar"/>
          <w:rtl/>
        </w:rPr>
        <w:t>גרמתו לאיסור אינו חזק</w:t>
      </w:r>
      <w:r>
        <w:rPr>
          <w:rFonts w:ascii="Shofar" w:hAnsi="Shofar" w:cs="Shofar"/>
          <w:rtl/>
        </w:rPr>
        <w:t xml:space="preserve">, </w:t>
      </w:r>
      <w:r>
        <w:rPr>
          <w:rFonts w:ascii="Shofar" w:hAnsi="Shofar"/>
          <w:rtl/>
        </w:rPr>
        <w:t>שרק יקרה בספק</w:t>
      </w:r>
      <w:r>
        <w:rPr>
          <w:rFonts w:ascii="Shofar" w:hAnsi="Shofar" w:cs="Shofar"/>
          <w:rtl/>
        </w:rPr>
        <w:t>.</w:t>
      </w:r>
    </w:p>
    <w:p w:rsidR="002053B9" w:rsidRDefault="005A1E4A">
      <w:pPr>
        <w:numPr>
          <w:ilvl w:val="2"/>
          <w:numId w:val="9"/>
        </w:numPr>
        <w:rPr>
          <w:rFonts w:ascii="Shofar" w:hAnsi="Shofar" w:cs="Shofar"/>
        </w:rPr>
      </w:pPr>
      <w:r>
        <w:rPr>
          <w:rFonts w:ascii="Shofar" w:hAnsi="Shofar"/>
          <w:rtl/>
        </w:rPr>
        <w:t>אין זה מתנה נגד ציווי ה’</w:t>
      </w:r>
      <w:r>
        <w:rPr>
          <w:rFonts w:ascii="Shofar" w:hAnsi="Shofar" w:cs="Shofar"/>
          <w:rtl/>
        </w:rPr>
        <w:t xml:space="preserve">, </w:t>
      </w:r>
      <w:r>
        <w:rPr>
          <w:rFonts w:ascii="Shofar" w:hAnsi="Shofar"/>
          <w:rtl/>
        </w:rPr>
        <w:t>אלא מתנה נגד סיבה של ציווי ה’</w:t>
      </w:r>
      <w:r>
        <w:rPr>
          <w:rFonts w:ascii="Shofar" w:hAnsi="Shofar" w:cs="Shofar"/>
          <w:rtl/>
        </w:rPr>
        <w:t>.</w:t>
      </w:r>
    </w:p>
    <w:p w:rsidR="002053B9" w:rsidRDefault="005A1E4A">
      <w:pPr>
        <w:numPr>
          <w:ilvl w:val="2"/>
          <w:numId w:val="9"/>
        </w:numPr>
        <w:rPr>
          <w:rFonts w:ascii="Shofar" w:hAnsi="Shofar" w:cs="Shofar"/>
        </w:rPr>
      </w:pPr>
      <w:r>
        <w:rPr>
          <w:rFonts w:ascii="Shofar" w:hAnsi="Shofar"/>
          <w:rtl/>
        </w:rPr>
        <w:t>אם לא נושאה</w:t>
      </w:r>
      <w:r>
        <w:rPr>
          <w:rFonts w:ascii="Shofar" w:hAnsi="Shofar" w:cs="Shofar"/>
          <w:rtl/>
        </w:rPr>
        <w:t xml:space="preserve">, </w:t>
      </w:r>
      <w:r>
        <w:rPr>
          <w:rFonts w:ascii="Shofar" w:hAnsi="Shofar"/>
          <w:rtl/>
        </w:rPr>
        <w:t>לא ייבם</w:t>
      </w:r>
      <w:r>
        <w:rPr>
          <w:rFonts w:ascii="Shofar" w:hAnsi="Shofar" w:cs="Shofar"/>
          <w:rtl/>
        </w:rPr>
        <w:t xml:space="preserve">. </w:t>
      </w:r>
      <w:r>
        <w:rPr>
          <w:rFonts w:ascii="Shofar" w:hAnsi="Shofar"/>
          <w:rtl/>
        </w:rPr>
        <w:t>אז</w:t>
      </w:r>
      <w:r>
        <w:rPr>
          <w:rFonts w:ascii="Shofar" w:hAnsi="Shofar" w:cs="Shofar"/>
          <w:rtl/>
        </w:rPr>
        <w:t xml:space="preserve">, </w:t>
      </w:r>
      <w:r>
        <w:rPr>
          <w:rFonts w:ascii="Shofar" w:hAnsi="Shofar"/>
          <w:rtl/>
        </w:rPr>
        <w:t>אין זה איסור</w:t>
      </w:r>
      <w:r>
        <w:rPr>
          <w:rFonts w:ascii="Shofar" w:hAnsi="Shofar" w:cs="Shofar"/>
          <w:rtl/>
        </w:rPr>
        <w:t xml:space="preserve">, </w:t>
      </w:r>
      <w:r>
        <w:rPr>
          <w:rFonts w:ascii="Shofar" w:hAnsi="Shofar"/>
          <w:rtl/>
        </w:rPr>
        <w:t>שאינו יותר טוב אם לא נושא אותה</w:t>
      </w:r>
      <w:r>
        <w:rPr>
          <w:rFonts w:ascii="Shofar" w:hAnsi="Shofar" w:cs="Shofar"/>
          <w:rtl/>
        </w:rPr>
        <w:t>.</w:t>
      </w:r>
    </w:p>
    <w:p w:rsidR="002053B9" w:rsidRDefault="005A1E4A">
      <w:pPr>
        <w:numPr>
          <w:ilvl w:val="0"/>
          <w:numId w:val="8"/>
        </w:numPr>
        <w:rPr>
          <w:rFonts w:ascii="Shofar" w:hAnsi="Shofar" w:cs="Shofar"/>
        </w:rPr>
      </w:pPr>
      <w:r>
        <w:rPr>
          <w:rFonts w:ascii="Shofar" w:hAnsi="Shofar"/>
          <w:rtl/>
        </w:rPr>
        <w:t>יש עדיין קושיה על זה</w:t>
      </w:r>
      <w:r>
        <w:rPr>
          <w:rFonts w:ascii="Shofar" w:hAnsi="Shofar" w:cs="Shofar"/>
          <w:rtl/>
        </w:rPr>
        <w:t xml:space="preserve">, </w:t>
      </w:r>
      <w:r>
        <w:rPr>
          <w:rFonts w:ascii="Shofar" w:hAnsi="Shofar"/>
          <w:rtl/>
        </w:rPr>
        <w:t xml:space="preserve">והוא שקשה איך נוכיח מנושא </w:t>
      </w:r>
      <w:r>
        <w:rPr>
          <w:rFonts w:ascii="Shofar" w:hAnsi="Shofar"/>
          <w:rtl/>
        </w:rPr>
        <w:t>בת אחותו</w:t>
      </w:r>
      <w:r>
        <w:rPr>
          <w:rFonts w:ascii="Shofar" w:hAnsi="Shofar" w:cs="Shofar"/>
          <w:rtl/>
        </w:rPr>
        <w:t xml:space="preserve">, </w:t>
      </w:r>
      <w:r>
        <w:rPr>
          <w:rFonts w:ascii="Shofar" w:hAnsi="Shofar"/>
          <w:rtl/>
        </w:rPr>
        <w:t>כיון ששם לא מתנה</w:t>
      </w:r>
      <w:r>
        <w:rPr>
          <w:rFonts w:ascii="Shofar" w:hAnsi="Shofar" w:cs="Shofar"/>
          <w:rtl/>
        </w:rPr>
        <w:t>.</w:t>
      </w:r>
    </w:p>
    <w:p w:rsidR="002053B9" w:rsidRDefault="005A1E4A">
      <w:pPr>
        <w:numPr>
          <w:ilvl w:val="1"/>
          <w:numId w:val="10"/>
        </w:numPr>
        <w:rPr>
          <w:rFonts w:ascii="Shofar" w:hAnsi="Shofar" w:cs="Shofar"/>
        </w:rPr>
      </w:pPr>
      <w:r>
        <w:rPr>
          <w:rFonts w:ascii="Shofar" w:hAnsi="Shofar"/>
          <w:rtl/>
        </w:rPr>
        <w:t>לצד ראשון</w:t>
      </w:r>
      <w:r>
        <w:rPr>
          <w:rFonts w:ascii="Shofar" w:hAnsi="Shofar" w:cs="Shofar"/>
          <w:rtl/>
        </w:rPr>
        <w:t xml:space="preserve">, </w:t>
      </w:r>
      <w:r>
        <w:rPr>
          <w:rFonts w:ascii="Shofar" w:hAnsi="Shofar"/>
          <w:rtl/>
        </w:rPr>
        <w:t>צריכים לומר כמו שכתבנו לעיל</w:t>
      </w:r>
      <w:r>
        <w:rPr>
          <w:rFonts w:ascii="Shofar" w:hAnsi="Shofar" w:cs="Shofar"/>
          <w:rtl/>
        </w:rPr>
        <w:t xml:space="preserve">, </w:t>
      </w:r>
      <w:r>
        <w:rPr>
          <w:rFonts w:ascii="Shofar" w:hAnsi="Shofar"/>
          <w:rtl/>
        </w:rPr>
        <w:t>והוא שכל חלות שעשוי נגד התורה לא חל</w:t>
      </w:r>
      <w:r>
        <w:rPr>
          <w:rFonts w:ascii="Shofar" w:hAnsi="Shofar" w:cs="Shofar"/>
          <w:rtl/>
        </w:rPr>
        <w:t xml:space="preserve">. </w:t>
      </w:r>
      <w:r>
        <w:rPr>
          <w:rFonts w:ascii="Shofar" w:hAnsi="Shofar"/>
          <w:rtl/>
        </w:rPr>
        <w:t>באמת</w:t>
      </w:r>
      <w:r>
        <w:rPr>
          <w:rFonts w:ascii="Shofar" w:hAnsi="Shofar" w:cs="Shofar"/>
          <w:rtl/>
        </w:rPr>
        <w:t xml:space="preserve">, </w:t>
      </w:r>
      <w:r>
        <w:rPr>
          <w:rFonts w:ascii="Shofar" w:hAnsi="Shofar"/>
          <w:rtl/>
        </w:rPr>
        <w:t>בין כך ובין כך כמעט מוכרח כך</w:t>
      </w:r>
      <w:r>
        <w:rPr>
          <w:rFonts w:ascii="Shofar" w:hAnsi="Shofar" w:cs="Shofar"/>
          <w:rtl/>
        </w:rPr>
        <w:t xml:space="preserve">, </w:t>
      </w:r>
      <w:r>
        <w:rPr>
          <w:rFonts w:ascii="Shofar" w:hAnsi="Shofar"/>
          <w:rtl/>
        </w:rPr>
        <w:t>כמו שכתבנו לעיל</w:t>
      </w:r>
      <w:r>
        <w:rPr>
          <w:rFonts w:ascii="Shofar" w:hAnsi="Shofar" w:cs="Shofar"/>
          <w:rtl/>
        </w:rPr>
        <w:t>.</w:t>
      </w:r>
    </w:p>
    <w:p w:rsidR="002053B9" w:rsidRDefault="005A1E4A">
      <w:pPr>
        <w:numPr>
          <w:ilvl w:val="1"/>
          <w:numId w:val="10"/>
        </w:numPr>
        <w:rPr>
          <w:rFonts w:ascii="Shofar" w:hAnsi="Shofar" w:cs="Shofar"/>
        </w:rPr>
      </w:pPr>
      <w:r>
        <w:rPr>
          <w:rFonts w:ascii="Shofar" w:hAnsi="Shofar"/>
          <w:rtl/>
        </w:rPr>
        <w:t>לצד שני</w:t>
      </w:r>
      <w:r>
        <w:rPr>
          <w:rFonts w:ascii="Shofar" w:hAnsi="Shofar" w:cs="Shofar"/>
          <w:rtl/>
        </w:rPr>
        <w:t xml:space="preserve">, </w:t>
      </w:r>
      <w:r>
        <w:rPr>
          <w:rFonts w:ascii="Shofar" w:hAnsi="Shofar"/>
          <w:rtl/>
        </w:rPr>
        <w:t>קל לומר</w:t>
      </w:r>
      <w:r>
        <w:rPr>
          <w:rFonts w:ascii="Shofar" w:hAnsi="Shofar" w:cs="Shofar"/>
          <w:rtl/>
        </w:rPr>
        <w:t xml:space="preserve">, </w:t>
      </w:r>
      <w:r>
        <w:rPr>
          <w:rFonts w:ascii="Shofar" w:hAnsi="Shofar"/>
          <w:rtl/>
        </w:rPr>
        <w:t xml:space="preserve">והוא שאולי </w:t>
      </w:r>
      <w:r>
        <w:rPr>
          <w:rFonts w:ascii="Shofar" w:hAnsi="Shofar" w:cs="Shofar"/>
          <w:rtl/>
        </w:rPr>
        <w:t>"</w:t>
      </w:r>
      <w:r>
        <w:rPr>
          <w:rFonts w:ascii="Shofar" w:hAnsi="Shofar"/>
          <w:rtl/>
        </w:rPr>
        <w:t>לא ישא</w:t>
      </w:r>
      <w:r>
        <w:rPr>
          <w:rFonts w:ascii="Shofar" w:hAnsi="Shofar" w:cs="Shofar"/>
          <w:rtl/>
        </w:rPr>
        <w:t xml:space="preserve">" </w:t>
      </w:r>
      <w:r>
        <w:rPr>
          <w:rFonts w:ascii="Shofar" w:hAnsi="Shofar"/>
          <w:rtl/>
        </w:rPr>
        <w:t>לא ר</w:t>
      </w:r>
      <w:r>
        <w:rPr>
          <w:rFonts w:ascii="Shofar" w:hAnsi="Shofar" w:cs="Shofar"/>
          <w:rtl/>
        </w:rPr>
        <w:t>"</w:t>
      </w:r>
      <w:r>
        <w:rPr>
          <w:rFonts w:ascii="Shofar" w:hAnsi="Shofar"/>
          <w:rtl/>
        </w:rPr>
        <w:t>ל שלא יחול</w:t>
      </w:r>
      <w:r>
        <w:rPr>
          <w:rFonts w:ascii="Shofar" w:hAnsi="Shofar" w:cs="Shofar"/>
          <w:rtl/>
        </w:rPr>
        <w:t xml:space="preserve">, </w:t>
      </w:r>
      <w:r>
        <w:rPr>
          <w:rFonts w:ascii="Shofar" w:hAnsi="Shofar"/>
          <w:rtl/>
        </w:rPr>
        <w:t>אלא ר</w:t>
      </w:r>
      <w:r>
        <w:rPr>
          <w:rFonts w:ascii="Shofar" w:hAnsi="Shofar" w:cs="Shofar"/>
          <w:rtl/>
        </w:rPr>
        <w:t>"</w:t>
      </w:r>
      <w:r>
        <w:rPr>
          <w:rFonts w:ascii="Shofar" w:hAnsi="Shofar"/>
          <w:rtl/>
        </w:rPr>
        <w:t xml:space="preserve">ל </w:t>
      </w:r>
      <w:r>
        <w:rPr>
          <w:rFonts w:ascii="Shofar" w:hAnsi="Shofar" w:cs="Shofar"/>
          <w:rtl/>
        </w:rPr>
        <w:t>(</w:t>
      </w:r>
      <w:r>
        <w:rPr>
          <w:rFonts w:ascii="Shofar" w:hAnsi="Shofar"/>
          <w:rtl/>
        </w:rPr>
        <w:t>וכן משמע לשונו</w:t>
      </w:r>
      <w:r>
        <w:rPr>
          <w:rFonts w:ascii="Shofar" w:hAnsi="Shofar" w:cs="Shofar"/>
          <w:rtl/>
        </w:rPr>
        <w:t xml:space="preserve">) </w:t>
      </w:r>
      <w:r>
        <w:rPr>
          <w:rFonts w:ascii="Shofar" w:hAnsi="Shofar"/>
          <w:rtl/>
        </w:rPr>
        <w:t>שיהיה אסור לו לישא</w:t>
      </w:r>
      <w:r>
        <w:rPr>
          <w:rFonts w:ascii="Shofar" w:hAnsi="Shofar" w:cs="Shofar"/>
          <w:rtl/>
        </w:rPr>
        <w:t xml:space="preserve">. </w:t>
      </w:r>
      <w:r>
        <w:rPr>
          <w:rFonts w:ascii="Shofar" w:hAnsi="Shofar"/>
          <w:rtl/>
        </w:rPr>
        <w:t>אז</w:t>
      </w:r>
      <w:r>
        <w:rPr>
          <w:rFonts w:ascii="Shofar" w:hAnsi="Shofar" w:cs="Shofar"/>
          <w:rtl/>
        </w:rPr>
        <w:t xml:space="preserve">, </w:t>
      </w:r>
      <w:r>
        <w:rPr>
          <w:rFonts w:ascii="Shofar" w:hAnsi="Shofar"/>
          <w:rtl/>
        </w:rPr>
        <w:t>מוכיח מכאן שאינו איסור</w:t>
      </w:r>
      <w:r>
        <w:rPr>
          <w:rFonts w:ascii="Shofar" w:hAnsi="Shofar" w:cs="Shofar"/>
          <w:rtl/>
        </w:rPr>
        <w:t>.</w:t>
      </w:r>
    </w:p>
    <w:p w:rsidR="002053B9" w:rsidRDefault="005A1E4A">
      <w:pPr>
        <w:rPr>
          <w:rFonts w:ascii="Shofar" w:hAnsi="Shofar" w:cs="Shofar"/>
        </w:rPr>
      </w:pPr>
      <w:r>
        <w:rPr>
          <w:rFonts w:ascii="Shofar" w:hAnsi="Shofar"/>
          <w:rtl/>
        </w:rPr>
        <w:t>צד שני אמר שנחשב שיור לשני טעמים</w:t>
      </w:r>
      <w:r>
        <w:rPr>
          <w:rFonts w:ascii="Shofar" w:hAnsi="Shofar" w:cs="Shofar"/>
          <w:rtl/>
        </w:rPr>
        <w:t>.</w:t>
      </w:r>
    </w:p>
    <w:p w:rsidR="002053B9" w:rsidRDefault="005A1E4A">
      <w:pPr>
        <w:rPr>
          <w:rFonts w:ascii="Shofar" w:hAnsi="Shofar" w:cs="Shofar"/>
        </w:rPr>
      </w:pPr>
      <w:r>
        <w:rPr>
          <w:rFonts w:ascii="Shofar" w:hAnsi="Shofar"/>
          <w:rtl/>
        </w:rPr>
        <w:t>צד ראשון שבשני אמר שנחשב שיור כיון שגורם איסור</w:t>
      </w:r>
      <w:r>
        <w:rPr>
          <w:rFonts w:ascii="Shofar" w:hAnsi="Shofar" w:cs="Shofar"/>
          <w:rtl/>
        </w:rPr>
        <w:t>.</w:t>
      </w:r>
    </w:p>
    <w:p w:rsidR="002053B9" w:rsidRDefault="005A1E4A">
      <w:pPr>
        <w:rPr>
          <w:rFonts w:ascii="Shofar" w:hAnsi="Shofar" w:cs="Shofar"/>
        </w:rPr>
      </w:pPr>
      <w:r>
        <w:rPr>
          <w:rFonts w:ascii="Shofar" w:hAnsi="Shofar"/>
          <w:rtl/>
        </w:rPr>
        <w:t>צד שני שבשני אמר שנחשב שיור כיון שלא מתיר לה לישא</w:t>
      </w:r>
      <w:r>
        <w:rPr>
          <w:rFonts w:ascii="Shofar" w:hAnsi="Shofar" w:cs="Shofar"/>
          <w:rtl/>
        </w:rPr>
        <w:t>.</w:t>
      </w:r>
    </w:p>
    <w:p w:rsidR="002053B9" w:rsidRDefault="005A1E4A">
      <w:pPr>
        <w:rPr>
          <w:rFonts w:ascii="Shofar" w:hAnsi="Shofar" w:cs="Shofar"/>
        </w:rPr>
      </w:pPr>
      <w:r>
        <w:rPr>
          <w:rFonts w:ascii="Shofar" w:hAnsi="Shofar"/>
          <w:rtl/>
        </w:rPr>
        <w:t>נראה שלשניהם צריך לומר שדוחה גמרא שאין איסור</w:t>
      </w:r>
      <w:r>
        <w:rPr>
          <w:rFonts w:ascii="Shofar" w:hAnsi="Shofar" w:cs="Shofar"/>
          <w:rtl/>
        </w:rPr>
        <w:t xml:space="preserve">. </w:t>
      </w:r>
      <w:r>
        <w:rPr>
          <w:rFonts w:ascii="Shofar" w:hAnsi="Shofar"/>
          <w:rtl/>
        </w:rPr>
        <w:t>אז</w:t>
      </w:r>
      <w:r>
        <w:rPr>
          <w:rFonts w:ascii="Shofar" w:hAnsi="Shofar" w:cs="Shofar"/>
          <w:rtl/>
        </w:rPr>
        <w:t xml:space="preserve">, </w:t>
      </w:r>
      <w:r>
        <w:rPr>
          <w:rFonts w:ascii="Shofar" w:hAnsi="Shofar"/>
          <w:rtl/>
        </w:rPr>
        <w:t>אין הגרמת איסור שיור</w:t>
      </w:r>
      <w:r>
        <w:rPr>
          <w:rFonts w:ascii="Shofar" w:hAnsi="Shofar" w:cs="Shofar"/>
          <w:rtl/>
        </w:rPr>
        <w:t xml:space="preserve">, </w:t>
      </w:r>
      <w:r>
        <w:rPr>
          <w:rFonts w:ascii="Shofar" w:hAnsi="Shofar"/>
          <w:rtl/>
        </w:rPr>
        <w:t>ואז תוכל לישא</w:t>
      </w:r>
      <w:r>
        <w:rPr>
          <w:rFonts w:ascii="Shofar" w:hAnsi="Shofar" w:cs="Shofar"/>
          <w:rtl/>
        </w:rPr>
        <w:t xml:space="preserve">, </w:t>
      </w:r>
      <w:r>
        <w:rPr>
          <w:rFonts w:ascii="Shofar" w:hAnsi="Shofar"/>
          <w:rtl/>
        </w:rPr>
        <w:t>ואין ז</w:t>
      </w:r>
      <w:r>
        <w:rPr>
          <w:rFonts w:ascii="Shofar" w:hAnsi="Shofar"/>
          <w:rtl/>
        </w:rPr>
        <w:t>ה שיור</w:t>
      </w:r>
      <w:r>
        <w:rPr>
          <w:rFonts w:ascii="Shofar" w:hAnsi="Shofar" w:cs="Shofar"/>
          <w:rtl/>
        </w:rPr>
        <w:t>.</w:t>
      </w:r>
    </w:p>
    <w:p w:rsidR="002053B9" w:rsidRDefault="005A1E4A">
      <w:pPr>
        <w:rPr>
          <w:rFonts w:ascii="Shofar" w:hAnsi="Shofar" w:cs="Shofar"/>
        </w:rPr>
      </w:pPr>
      <w:r>
        <w:rPr>
          <w:rFonts w:ascii="Shofar" w:hAnsi="Shofar"/>
          <w:rtl/>
        </w:rPr>
        <w:t>צד שלישי אומר שאין מקור</w:t>
      </w:r>
      <w:r>
        <w:rPr>
          <w:rFonts w:ascii="Shofar" w:hAnsi="Shofar" w:cs="Shofar"/>
          <w:rtl/>
        </w:rPr>
        <w:t xml:space="preserve">. </w:t>
      </w:r>
      <w:r>
        <w:rPr>
          <w:rFonts w:ascii="Shofar" w:hAnsi="Shofar"/>
          <w:rtl/>
        </w:rPr>
        <w:t>לראשון</w:t>
      </w:r>
      <w:r>
        <w:rPr>
          <w:rFonts w:ascii="Shofar" w:hAnsi="Shofar" w:cs="Shofar"/>
          <w:rtl/>
        </w:rPr>
        <w:t xml:space="preserve">, </w:t>
      </w:r>
      <w:r>
        <w:rPr>
          <w:rFonts w:ascii="Shofar" w:hAnsi="Shofar"/>
          <w:rtl/>
        </w:rPr>
        <w:t>פשוט שאין ללמוד מכאן</w:t>
      </w:r>
      <w:r>
        <w:rPr>
          <w:rFonts w:ascii="Shofar" w:hAnsi="Shofar" w:cs="Shofar"/>
          <w:rtl/>
        </w:rPr>
        <w:t xml:space="preserve">, </w:t>
      </w:r>
      <w:r>
        <w:rPr>
          <w:rFonts w:ascii="Shofar" w:hAnsi="Shofar"/>
          <w:rtl/>
        </w:rPr>
        <w:t>שלא צריכים מקור בפני עצמו</w:t>
      </w:r>
      <w:r>
        <w:rPr>
          <w:rFonts w:ascii="Shofar" w:hAnsi="Shofar" w:cs="Shofar"/>
          <w:rtl/>
        </w:rPr>
        <w:t xml:space="preserve">. </w:t>
      </w:r>
      <w:r>
        <w:rPr>
          <w:rFonts w:ascii="Shofar" w:hAnsi="Shofar"/>
          <w:rtl/>
        </w:rPr>
        <w:t>לצד שני</w:t>
      </w:r>
      <w:r>
        <w:rPr>
          <w:rFonts w:ascii="Shofar" w:hAnsi="Shofar" w:cs="Shofar"/>
          <w:rtl/>
        </w:rPr>
        <w:t xml:space="preserve">, </w:t>
      </w:r>
      <w:r>
        <w:rPr>
          <w:rFonts w:ascii="Shofar" w:hAnsi="Shofar"/>
          <w:rtl/>
        </w:rPr>
        <w:t>אפשר שמוכיח שאינו אסור</w:t>
      </w:r>
      <w:r>
        <w:rPr>
          <w:rFonts w:ascii="Shofar" w:hAnsi="Shofar" w:cs="Shofar"/>
          <w:rtl/>
        </w:rPr>
        <w:t xml:space="preserve">, </w:t>
      </w:r>
      <w:r>
        <w:rPr>
          <w:rFonts w:ascii="Shofar" w:hAnsi="Shofar"/>
          <w:rtl/>
        </w:rPr>
        <w:t>ואפשר שמוכיח שאף שדבר אסור</w:t>
      </w:r>
      <w:r>
        <w:rPr>
          <w:rFonts w:ascii="Shofar" w:hAnsi="Shofar" w:cs="Shofar"/>
          <w:rtl/>
        </w:rPr>
        <w:t xml:space="preserve">, </w:t>
      </w:r>
      <w:r>
        <w:rPr>
          <w:rFonts w:ascii="Shofar" w:hAnsi="Shofar"/>
          <w:rtl/>
        </w:rPr>
        <w:t>לא צריך מקור בפני עצמו</w:t>
      </w:r>
      <w:r>
        <w:rPr>
          <w:rFonts w:ascii="Shofar" w:hAnsi="Shofar" w:cs="Shofar"/>
          <w:rtl/>
        </w:rPr>
        <w:t xml:space="preserve">, </w:t>
      </w:r>
      <w:r>
        <w:rPr>
          <w:rFonts w:ascii="Shofar" w:hAnsi="Shofar"/>
          <w:rtl/>
        </w:rPr>
        <w:t>אלא אם הוא קרוב די</w:t>
      </w:r>
      <w:r>
        <w:rPr>
          <w:rFonts w:ascii="Shofar" w:hAnsi="Shofar" w:cs="Shofar"/>
          <w:rtl/>
        </w:rPr>
        <w:t xml:space="preserve">, </w:t>
      </w:r>
      <w:r>
        <w:rPr>
          <w:rFonts w:ascii="Shofar" w:hAnsi="Shofar"/>
          <w:rtl/>
        </w:rPr>
        <w:t>יכול להילמד</w:t>
      </w:r>
      <w:r>
        <w:rPr>
          <w:rFonts w:ascii="Shofar" w:hAnsi="Shofar" w:cs="Shofar"/>
          <w:rtl/>
        </w:rPr>
        <w:t>.</w:t>
      </w:r>
    </w:p>
    <w:p w:rsidR="002053B9" w:rsidRDefault="002053B9">
      <w:pPr>
        <w:rPr>
          <w:rFonts w:ascii="Shofar" w:hAnsi="Shofar" w:cs="Shofar"/>
        </w:rPr>
      </w:pPr>
    </w:p>
    <w:p w:rsidR="002053B9" w:rsidRDefault="005A1E4A">
      <w:pPr>
        <w:rPr>
          <w:rFonts w:ascii="Shofar" w:hAnsi="Shofar" w:cs="Shofar"/>
        </w:rPr>
      </w:pPr>
      <w:r>
        <w:rPr>
          <w:rFonts w:ascii="Shofar" w:hAnsi="Shofar"/>
          <w:rtl/>
        </w:rPr>
        <w:t>ואם תאמר מהיכי תיתי לרבי טרפון שההלכה הוא כן</w:t>
      </w:r>
      <w:r>
        <w:rPr>
          <w:rFonts w:ascii="Shofar" w:hAnsi="Shofar" w:cs="Shofar"/>
          <w:rtl/>
        </w:rPr>
        <w:t xml:space="preserve">; </w:t>
      </w:r>
      <w:r>
        <w:rPr>
          <w:rFonts w:ascii="Shofar" w:hAnsi="Shofar"/>
          <w:rtl/>
        </w:rPr>
        <w:t>אולי לא ישא אדם את בת אחותו</w:t>
      </w:r>
      <w:r>
        <w:rPr>
          <w:rFonts w:ascii="Shofar" w:hAnsi="Shofar" w:cs="Shofar"/>
          <w:rtl/>
        </w:rPr>
        <w:t xml:space="preserve">. </w:t>
      </w:r>
      <w:r>
        <w:rPr>
          <w:rFonts w:ascii="Shofar" w:hAnsi="Shofar"/>
          <w:rtl/>
        </w:rPr>
        <w:t>ויש לומר שיודעים שכן אמר</w:t>
      </w:r>
      <w:r>
        <w:rPr>
          <w:rFonts w:ascii="Shofar" w:hAnsi="Shofar" w:cs="Shofar"/>
          <w:rtl/>
        </w:rPr>
        <w:t xml:space="preserve">. </w:t>
      </w:r>
      <w:r>
        <w:rPr>
          <w:rFonts w:ascii="Shofar" w:hAnsi="Shofar"/>
          <w:rtl/>
        </w:rPr>
        <w:t>אז</w:t>
      </w:r>
      <w:r>
        <w:rPr>
          <w:rFonts w:ascii="Shofar" w:hAnsi="Shofar" w:cs="Shofar"/>
          <w:rtl/>
        </w:rPr>
        <w:t xml:space="preserve">, </w:t>
      </w:r>
      <w:r>
        <w:rPr>
          <w:rFonts w:ascii="Shofar" w:hAnsi="Shofar"/>
          <w:rtl/>
        </w:rPr>
        <w:t>הקושיה הוא</w:t>
      </w:r>
      <w:r>
        <w:rPr>
          <w:rFonts w:ascii="Shofar" w:hAnsi="Shofar" w:cs="Shofar"/>
          <w:rtl/>
        </w:rPr>
        <w:t xml:space="preserve">, </w:t>
      </w:r>
      <w:r>
        <w:rPr>
          <w:rFonts w:ascii="Shofar" w:hAnsi="Shofar"/>
          <w:rtl/>
        </w:rPr>
        <w:t>באמת</w:t>
      </w:r>
      <w:r>
        <w:rPr>
          <w:rFonts w:ascii="Shofar" w:hAnsi="Shofar" w:cs="Shofar"/>
          <w:rtl/>
        </w:rPr>
        <w:t xml:space="preserve">, </w:t>
      </w:r>
      <w:r>
        <w:rPr>
          <w:rFonts w:ascii="Shofar" w:hAnsi="Shofar"/>
          <w:rtl/>
        </w:rPr>
        <w:t>לשיטתו</w:t>
      </w:r>
      <w:r>
        <w:rPr>
          <w:rFonts w:ascii="Shofar" w:hAnsi="Shofar" w:cs="Shofar"/>
          <w:rtl/>
        </w:rPr>
        <w:t xml:space="preserve">, </w:t>
      </w:r>
      <w:r>
        <w:rPr>
          <w:rFonts w:ascii="Shofar" w:hAnsi="Shofar"/>
          <w:rtl/>
        </w:rPr>
        <w:t>אבל אילו היה אחר שלא ידענו שהודה לאותו הדין</w:t>
      </w:r>
      <w:r>
        <w:rPr>
          <w:rFonts w:ascii="Shofar" w:hAnsi="Shofar" w:cs="Shofar"/>
          <w:rtl/>
        </w:rPr>
        <w:t xml:space="preserve">, </w:t>
      </w:r>
      <w:r>
        <w:rPr>
          <w:rFonts w:ascii="Shofar" w:hAnsi="Shofar"/>
          <w:rtl/>
        </w:rPr>
        <w:t>לא היה מקשה אילו הקשה כן על רבי אליעזר</w:t>
      </w:r>
      <w:r>
        <w:rPr>
          <w:rFonts w:ascii="Shofar" w:hAnsi="Shofar" w:cs="Shofar"/>
          <w:rtl/>
        </w:rPr>
        <w:t xml:space="preserve">. </w:t>
      </w:r>
      <w:r>
        <w:rPr>
          <w:rFonts w:ascii="Shofar" w:hAnsi="Shofar"/>
          <w:rtl/>
        </w:rPr>
        <w:t>יותר מזה</w:t>
      </w:r>
      <w:r>
        <w:rPr>
          <w:rFonts w:ascii="Shofar" w:hAnsi="Shofar" w:cs="Shofar"/>
          <w:rtl/>
        </w:rPr>
        <w:t xml:space="preserve">, </w:t>
      </w:r>
      <w:r>
        <w:rPr>
          <w:rFonts w:ascii="Shofar" w:hAnsi="Shofar"/>
          <w:rtl/>
        </w:rPr>
        <w:t>יש לומר שממה שלא הקשה על דין נושא בת אחותו</w:t>
      </w:r>
      <w:r>
        <w:rPr>
          <w:rFonts w:ascii="Shofar" w:hAnsi="Shofar" w:cs="Shofar"/>
          <w:rtl/>
        </w:rPr>
        <w:t xml:space="preserve">, </w:t>
      </w:r>
      <w:r>
        <w:rPr>
          <w:rFonts w:ascii="Shofar" w:hAnsi="Shofar"/>
          <w:rtl/>
        </w:rPr>
        <w:t>רואים שיכול לסבול אותו היתר</w:t>
      </w:r>
      <w:r>
        <w:rPr>
          <w:rFonts w:ascii="Shofar" w:hAnsi="Shofar" w:cs="Shofar"/>
          <w:rtl/>
        </w:rPr>
        <w:t xml:space="preserve">, </w:t>
      </w:r>
      <w:r>
        <w:rPr>
          <w:rFonts w:ascii="Shofar" w:hAnsi="Shofar"/>
          <w:rtl/>
        </w:rPr>
        <w:t xml:space="preserve">אף </w:t>
      </w:r>
      <w:r>
        <w:rPr>
          <w:rFonts w:ascii="Shofar" w:hAnsi="Shofar"/>
          <w:rtl/>
        </w:rPr>
        <w:t>אם חולק עליו</w:t>
      </w:r>
      <w:r>
        <w:rPr>
          <w:rFonts w:ascii="Shofar" w:hAnsi="Shofar" w:cs="Shofar"/>
          <w:rtl/>
        </w:rPr>
        <w:t xml:space="preserve">. </w:t>
      </w:r>
      <w:r>
        <w:rPr>
          <w:rFonts w:ascii="Shofar" w:hAnsi="Shofar"/>
          <w:rtl/>
        </w:rPr>
        <w:t>אז</w:t>
      </w:r>
      <w:r>
        <w:rPr>
          <w:rFonts w:ascii="Shofar" w:hAnsi="Shofar" w:cs="Shofar"/>
          <w:rtl/>
        </w:rPr>
        <w:t xml:space="preserve">, </w:t>
      </w:r>
      <w:r>
        <w:rPr>
          <w:rFonts w:ascii="Shofar" w:hAnsi="Shofar"/>
          <w:rtl/>
        </w:rPr>
        <w:t>לא היה לו להקשות על רבי אליעזר</w:t>
      </w:r>
      <w:r>
        <w:rPr>
          <w:rFonts w:ascii="Shofar" w:hAnsi="Shofar" w:cs="Shofar"/>
          <w:rtl/>
        </w:rPr>
        <w:t>. (</w:t>
      </w:r>
      <w:r>
        <w:rPr>
          <w:rFonts w:ascii="Shofar" w:hAnsi="Shofar"/>
          <w:rtl/>
        </w:rPr>
        <w:t xml:space="preserve">גם יש לציין ליבמות </w:t>
      </w:r>
      <w:r>
        <w:rPr>
          <w:rFonts w:ascii="Shofar" w:hAnsi="Shofar" w:cs="Shofar"/>
          <w:rtl/>
        </w:rPr>
        <w:t>(</w:t>
      </w:r>
      <w:r>
        <w:rPr>
          <w:rFonts w:ascii="Shofar" w:hAnsi="Shofar"/>
          <w:rtl/>
        </w:rPr>
        <w:t>סב</w:t>
      </w:r>
      <w:r>
        <w:rPr>
          <w:rFonts w:ascii="Shofar" w:hAnsi="Shofar" w:cs="Shofar"/>
          <w:rtl/>
        </w:rPr>
        <w:t xml:space="preserve">:) </w:t>
      </w:r>
      <w:r>
        <w:rPr>
          <w:rFonts w:ascii="Shofar" w:hAnsi="Shofar"/>
          <w:rtl/>
        </w:rPr>
        <w:t>שדורש מקרא על טובת נושא בת אחותו</w:t>
      </w:r>
      <w:r>
        <w:rPr>
          <w:rFonts w:ascii="Shofar" w:hAnsi="Shofar" w:cs="Shofar"/>
          <w:rtl/>
        </w:rPr>
        <w:t xml:space="preserve">. </w:t>
      </w:r>
      <w:r>
        <w:rPr>
          <w:rFonts w:ascii="Shofar" w:hAnsi="Shofar"/>
          <w:rtl/>
        </w:rPr>
        <w:t xml:space="preserve">אם נאמר שיש משמעות שם לבת אחותו </w:t>
      </w:r>
      <w:r>
        <w:rPr>
          <w:rFonts w:ascii="Shofar" w:hAnsi="Shofar" w:cs="Shofar"/>
          <w:rtl/>
        </w:rPr>
        <w:t>(</w:t>
      </w:r>
      <w:r>
        <w:rPr>
          <w:rFonts w:ascii="Shofar" w:hAnsi="Shofar"/>
          <w:rtl/>
        </w:rPr>
        <w:t>עיין שם</w:t>
      </w:r>
      <w:r>
        <w:rPr>
          <w:rFonts w:ascii="Shofar" w:hAnsi="Shofar" w:cs="Shofar"/>
          <w:rtl/>
        </w:rPr>
        <w:t xml:space="preserve">), </w:t>
      </w:r>
      <w:r>
        <w:rPr>
          <w:rFonts w:ascii="Shofar" w:hAnsi="Shofar"/>
          <w:rtl/>
        </w:rPr>
        <w:t>ולא רק שיודע שהוא טוב</w:t>
      </w:r>
      <w:r>
        <w:rPr>
          <w:rFonts w:ascii="Shofar" w:hAnsi="Shofar" w:cs="Shofar"/>
          <w:rtl/>
        </w:rPr>
        <w:t xml:space="preserve">, </w:t>
      </w:r>
      <w:r>
        <w:rPr>
          <w:rFonts w:ascii="Shofar" w:hAnsi="Shofar"/>
          <w:rtl/>
        </w:rPr>
        <w:t>ולכן שם עליו אותו קרא</w:t>
      </w:r>
      <w:r>
        <w:rPr>
          <w:rFonts w:ascii="Shofar" w:hAnsi="Shofar" w:cs="Shofar"/>
          <w:rtl/>
        </w:rPr>
        <w:t xml:space="preserve">, </w:t>
      </w:r>
      <w:r>
        <w:rPr>
          <w:rFonts w:ascii="Shofar" w:hAnsi="Shofar"/>
          <w:rtl/>
        </w:rPr>
        <w:t>יכולים לומר שיש קרא שמשמע שהוא מותר ושהוא חל</w:t>
      </w:r>
      <w:r>
        <w:rPr>
          <w:rFonts w:ascii="Shofar" w:hAnsi="Shofar" w:cs="Shofar"/>
          <w:rtl/>
        </w:rPr>
        <w:t>.</w:t>
      </w:r>
    </w:p>
    <w:p w:rsidR="002053B9" w:rsidRDefault="005A1E4A">
      <w:pPr>
        <w:rPr>
          <w:rFonts w:ascii="Shofar" w:hAnsi="Shofar" w:cs="Shofar"/>
        </w:rPr>
      </w:pPr>
      <w:r>
        <w:rPr>
          <w:rFonts w:ascii="Shofar" w:hAnsi="Shofar" w:cs="Shofar"/>
          <w:rtl/>
        </w:rPr>
        <w:t xml:space="preserve"> </w:t>
      </w:r>
    </w:p>
    <w:p w:rsidR="002053B9" w:rsidRDefault="005A1E4A">
      <w:pPr>
        <w:pStyle w:val="Heading2"/>
        <w:rPr>
          <w:rFonts w:cs="Shofar"/>
        </w:rPr>
      </w:pPr>
      <w:bookmarkStart w:id="3" w:name="_Toc135840618"/>
      <w:r>
        <w:rPr>
          <w:rtl/>
        </w:rPr>
        <w:t>מה הניח</w:t>
      </w:r>
      <w:r>
        <w:rPr>
          <w:rFonts w:cs="Shofar"/>
          <w:rtl/>
        </w:rPr>
        <w:t>:</w:t>
      </w:r>
      <w:bookmarkEnd w:id="3"/>
      <w:r>
        <w:rPr>
          <w:rFonts w:cs="Shofar"/>
          <w:rtl/>
        </w:rPr>
        <w:t xml:space="preserve"> </w:t>
      </w:r>
    </w:p>
    <w:p w:rsidR="002053B9" w:rsidRDefault="005A1E4A">
      <w:pPr>
        <w:rPr>
          <w:rFonts w:ascii="Shofar" w:hAnsi="Shofar" w:cs="Shofar"/>
        </w:rPr>
      </w:pPr>
      <w:r>
        <w:rPr>
          <w:rFonts w:ascii="Shofar" w:hAnsi="Shofar"/>
          <w:rtl/>
        </w:rPr>
        <w:t>אין דין זה נכון בחוץ</w:t>
      </w:r>
      <w:r>
        <w:rPr>
          <w:rFonts w:ascii="Shofar" w:hAnsi="Shofar" w:cs="Shofar"/>
          <w:rtl/>
        </w:rPr>
        <w:t xml:space="preserve">, </w:t>
      </w:r>
      <w:r>
        <w:rPr>
          <w:rFonts w:ascii="Shofar" w:hAnsi="Shofar"/>
          <w:rtl/>
        </w:rPr>
        <w:t xml:space="preserve">שאז יכולה לייבם </w:t>
      </w:r>
      <w:r>
        <w:rPr>
          <w:rFonts w:ascii="Shofar" w:hAnsi="Shofar" w:cs="Shofar"/>
          <w:rtl/>
        </w:rPr>
        <w:t>(</w:t>
      </w:r>
      <w:r>
        <w:rPr>
          <w:rFonts w:ascii="Shofar" w:hAnsi="Shofar"/>
          <w:rtl/>
        </w:rPr>
        <w:t>שיכולה לישא אחר נשואי אחר</w:t>
      </w:r>
      <w:r>
        <w:rPr>
          <w:rFonts w:ascii="Shofar" w:hAnsi="Shofar" w:cs="Shofar"/>
          <w:rtl/>
        </w:rPr>
        <w:t xml:space="preserve">). </w:t>
      </w:r>
      <w:r>
        <w:rPr>
          <w:rFonts w:ascii="Shofar" w:hAnsi="Shofar"/>
          <w:rtl/>
        </w:rPr>
        <w:t>אז</w:t>
      </w:r>
      <w:r>
        <w:rPr>
          <w:rFonts w:ascii="Shofar" w:hAnsi="Shofar" w:cs="Shofar"/>
          <w:rtl/>
        </w:rPr>
        <w:t xml:space="preserve">, </w:t>
      </w:r>
      <w:r>
        <w:rPr>
          <w:rFonts w:ascii="Shofar" w:hAnsi="Shofar"/>
          <w:rtl/>
        </w:rPr>
        <w:t>צריך לומר שסבר שחולקים בעל מנת</w:t>
      </w:r>
      <w:r>
        <w:rPr>
          <w:rFonts w:ascii="Shofar" w:hAnsi="Shofar" w:cs="Shofar"/>
          <w:rtl/>
        </w:rPr>
        <w:t>.</w:t>
      </w:r>
    </w:p>
    <w:p w:rsidR="002053B9" w:rsidRDefault="002053B9">
      <w:pPr>
        <w:rPr>
          <w:rFonts w:ascii="Shofar" w:hAnsi="Shofar" w:cs="Shofar"/>
        </w:rPr>
      </w:pPr>
    </w:p>
    <w:p w:rsidR="002053B9" w:rsidRDefault="005A1E4A">
      <w:pPr>
        <w:rPr>
          <w:rFonts w:ascii="Shofar" w:hAnsi="Shofar" w:cs="Shofar"/>
        </w:rPr>
      </w:pPr>
      <w:r>
        <w:rPr>
          <w:rFonts w:ascii="Shofar" w:hAnsi="Shofar"/>
          <w:rtl/>
        </w:rPr>
        <w:t>יש לדון למה הדין כן</w:t>
      </w:r>
      <w:r>
        <w:rPr>
          <w:rFonts w:ascii="Shofar" w:hAnsi="Shofar" w:cs="Shofar"/>
          <w:rtl/>
        </w:rPr>
        <w:t xml:space="preserve">, </w:t>
      </w:r>
      <w:r>
        <w:rPr>
          <w:rFonts w:ascii="Shofar" w:hAnsi="Shofar"/>
          <w:rtl/>
        </w:rPr>
        <w:t>שלכאורה</w:t>
      </w:r>
      <w:r>
        <w:rPr>
          <w:rFonts w:ascii="Shofar" w:hAnsi="Shofar" w:cs="Shofar"/>
          <w:rtl/>
        </w:rPr>
        <w:t xml:space="preserve">, </w:t>
      </w:r>
      <w:r>
        <w:rPr>
          <w:rFonts w:ascii="Shofar" w:hAnsi="Shofar"/>
          <w:rtl/>
        </w:rPr>
        <w:t xml:space="preserve">עדיין תהיה אסורה למי שגירושין ראשונה מיעט </w:t>
      </w:r>
      <w:r>
        <w:rPr>
          <w:rFonts w:ascii="Shofar" w:hAnsi="Shofar" w:cs="Shofar"/>
          <w:rtl/>
        </w:rPr>
        <w:t>(</w:t>
      </w:r>
      <w:r>
        <w:rPr>
          <w:rFonts w:ascii="Shofar" w:hAnsi="Shofar"/>
          <w:rtl/>
        </w:rPr>
        <w:t>נקרא אותו ה</w:t>
      </w:r>
      <w:r>
        <w:rPr>
          <w:rFonts w:ascii="Shofar" w:hAnsi="Shofar" w:cs="Shofar"/>
          <w:rtl/>
        </w:rPr>
        <w:t>"</w:t>
      </w:r>
      <w:r>
        <w:rPr>
          <w:rFonts w:ascii="Shofar" w:hAnsi="Shofar"/>
          <w:rtl/>
        </w:rPr>
        <w:t>נתמעט</w:t>
      </w:r>
      <w:r>
        <w:rPr>
          <w:rFonts w:ascii="Shofar" w:hAnsi="Shofar" w:cs="Shofar"/>
          <w:rtl/>
        </w:rPr>
        <w:t xml:space="preserve">"), </w:t>
      </w:r>
      <w:r>
        <w:rPr>
          <w:rFonts w:ascii="Shofar" w:hAnsi="Shofar"/>
          <w:rtl/>
        </w:rPr>
        <w:t>שהרי עדיין נשואים של ראשון אוסר</w:t>
      </w:r>
      <w:r>
        <w:rPr>
          <w:rFonts w:ascii="Shofar" w:hAnsi="Shofar" w:cs="Shofar"/>
          <w:rtl/>
        </w:rPr>
        <w:t xml:space="preserve">. </w:t>
      </w:r>
      <w:r>
        <w:rPr>
          <w:rFonts w:ascii="Shofar" w:hAnsi="Shofar"/>
          <w:rtl/>
        </w:rPr>
        <w:t>יש לומר שני צדדים</w:t>
      </w:r>
      <w:r>
        <w:rPr>
          <w:rFonts w:ascii="Shofar" w:hAnsi="Shofar" w:cs="Shofar"/>
          <w:rtl/>
        </w:rPr>
        <w:t>:</w:t>
      </w:r>
    </w:p>
    <w:p w:rsidR="002053B9" w:rsidRDefault="005A1E4A">
      <w:pPr>
        <w:numPr>
          <w:ilvl w:val="0"/>
          <w:numId w:val="11"/>
        </w:numPr>
        <w:rPr>
          <w:rFonts w:ascii="Shofar" w:hAnsi="Shofar" w:cs="Shofar"/>
        </w:rPr>
      </w:pPr>
      <w:r>
        <w:rPr>
          <w:rFonts w:ascii="Shofar" w:hAnsi="Shofar"/>
          <w:rtl/>
        </w:rPr>
        <w:t>נשא א</w:t>
      </w:r>
      <w:r>
        <w:rPr>
          <w:rFonts w:ascii="Shofar" w:hAnsi="Shofar"/>
          <w:rtl/>
        </w:rPr>
        <w:t>חר אותה</w:t>
      </w:r>
      <w:r>
        <w:rPr>
          <w:rFonts w:ascii="Shofar" w:hAnsi="Shofar" w:cs="Shofar"/>
          <w:rtl/>
        </w:rPr>
        <w:t>.</w:t>
      </w:r>
    </w:p>
    <w:p w:rsidR="002053B9" w:rsidRDefault="005A1E4A">
      <w:pPr>
        <w:numPr>
          <w:ilvl w:val="1"/>
          <w:numId w:val="11"/>
        </w:numPr>
        <w:rPr>
          <w:rFonts w:ascii="Shofar" w:hAnsi="Shofar" w:cs="Shofar"/>
        </w:rPr>
      </w:pPr>
      <w:r>
        <w:rPr>
          <w:rFonts w:ascii="Shofar" w:hAnsi="Shofar"/>
          <w:rtl/>
        </w:rPr>
        <w:t xml:space="preserve">אולי יחסה לבעל שני עושה שאינה מיוחסת עוד לבעל ראשון </w:t>
      </w:r>
      <w:r>
        <w:rPr>
          <w:rFonts w:ascii="Shofar" w:hAnsi="Shofar" w:cs="Shofar"/>
          <w:rtl/>
        </w:rPr>
        <w:t>(</w:t>
      </w:r>
      <w:r>
        <w:rPr>
          <w:rFonts w:ascii="Shofar" w:hAnsi="Shofar"/>
          <w:rtl/>
        </w:rPr>
        <w:t>שהרי</w:t>
      </w:r>
      <w:r>
        <w:rPr>
          <w:rFonts w:ascii="Shofar" w:hAnsi="Shofar" w:cs="Shofar"/>
          <w:rtl/>
        </w:rPr>
        <w:t xml:space="preserve">, </w:t>
      </w:r>
      <w:r>
        <w:rPr>
          <w:rFonts w:ascii="Shofar" w:hAnsi="Shofar"/>
          <w:rtl/>
        </w:rPr>
        <w:t>אי אפשר להיות נשוי לאשת איש</w:t>
      </w:r>
      <w:r>
        <w:rPr>
          <w:rFonts w:ascii="Shofar" w:hAnsi="Shofar" w:cs="Shofar"/>
          <w:rtl/>
        </w:rPr>
        <w:t xml:space="preserve">). </w:t>
      </w:r>
      <w:r>
        <w:rPr>
          <w:rFonts w:ascii="Shofar" w:hAnsi="Shofar"/>
          <w:rtl/>
        </w:rPr>
        <w:t>אז</w:t>
      </w:r>
      <w:r>
        <w:rPr>
          <w:rFonts w:ascii="Shofar" w:hAnsi="Shofar" w:cs="Shofar"/>
          <w:rtl/>
        </w:rPr>
        <w:t xml:space="preserve">, </w:t>
      </w:r>
      <w:r>
        <w:rPr>
          <w:rFonts w:ascii="Shofar" w:hAnsi="Shofar"/>
          <w:rtl/>
        </w:rPr>
        <w:t>ממילא נדחה בעלות של בעל ראשון</w:t>
      </w:r>
      <w:r>
        <w:rPr>
          <w:rFonts w:ascii="Shofar" w:hAnsi="Shofar" w:cs="Shofar"/>
          <w:rtl/>
        </w:rPr>
        <w:t>.</w:t>
      </w:r>
      <w:r>
        <w:rPr>
          <w:rStyle w:val="FootnoteReference1"/>
          <w:rFonts w:ascii="Shofar" w:hAnsi="Shofar" w:cs="Shofar"/>
          <w:rtl/>
        </w:rPr>
        <w:footnoteReference w:id="4"/>
      </w:r>
    </w:p>
    <w:p w:rsidR="002053B9" w:rsidRDefault="005A1E4A">
      <w:pPr>
        <w:numPr>
          <w:ilvl w:val="1"/>
          <w:numId w:val="11"/>
        </w:numPr>
        <w:rPr>
          <w:rFonts w:ascii="Shofar" w:hAnsi="Shofar" w:cs="Shofar"/>
        </w:rPr>
      </w:pPr>
      <w:r>
        <w:rPr>
          <w:rFonts w:ascii="Shofar" w:hAnsi="Shofar"/>
          <w:rtl/>
        </w:rPr>
        <w:lastRenderedPageBreak/>
        <w:t>אולי מניחים ש</w:t>
      </w:r>
      <w:r>
        <w:rPr>
          <w:rFonts w:ascii="Shofar" w:hAnsi="Shofar" w:cs="Shofar"/>
          <w:rtl/>
        </w:rPr>
        <w:t>"</w:t>
      </w:r>
      <w:r>
        <w:rPr>
          <w:rFonts w:ascii="Shofar" w:hAnsi="Shofar"/>
          <w:rtl/>
        </w:rPr>
        <w:t>חוץ</w:t>
      </w:r>
      <w:r>
        <w:rPr>
          <w:rFonts w:ascii="Shofar" w:hAnsi="Shofar" w:cs="Shofar"/>
          <w:rtl/>
        </w:rPr>
        <w:t xml:space="preserve">" </w:t>
      </w:r>
      <w:r>
        <w:rPr>
          <w:rFonts w:ascii="Shofar" w:hAnsi="Shofar"/>
          <w:rtl/>
        </w:rPr>
        <w:t>שאמר הוא רק כדי שלא תשא אותו אחר שתשא אותה</w:t>
      </w:r>
      <w:r>
        <w:rPr>
          <w:rFonts w:ascii="Shofar" w:hAnsi="Shofar" w:cs="Shofar"/>
          <w:rtl/>
        </w:rPr>
        <w:t>. (</w:t>
      </w:r>
      <w:r>
        <w:rPr>
          <w:rFonts w:ascii="Shofar" w:hAnsi="Shofar"/>
          <w:rtl/>
        </w:rPr>
        <w:t>הוא מין בזיון לו שאחר ישא אשתו</w:t>
      </w:r>
      <w:r>
        <w:rPr>
          <w:rFonts w:ascii="Shofar" w:hAnsi="Shofar" w:cs="Shofar"/>
          <w:rtl/>
        </w:rPr>
        <w:t xml:space="preserve">, </w:t>
      </w:r>
      <w:r>
        <w:rPr>
          <w:rFonts w:ascii="Shofar" w:hAnsi="Shofar"/>
          <w:rtl/>
        </w:rPr>
        <w:t>כמו שמצאנו גבי מלך</w:t>
      </w:r>
      <w:r>
        <w:rPr>
          <w:rFonts w:ascii="Shofar" w:hAnsi="Shofar" w:cs="Shofar"/>
          <w:rtl/>
        </w:rPr>
        <w:t xml:space="preserve">. </w:t>
      </w:r>
      <w:r>
        <w:rPr>
          <w:rFonts w:ascii="Shofar" w:hAnsi="Shofar"/>
          <w:rtl/>
        </w:rPr>
        <w:t xml:space="preserve">אולי </w:t>
      </w:r>
      <w:r>
        <w:rPr>
          <w:rFonts w:ascii="Shofar" w:hAnsi="Shofar"/>
          <w:rtl/>
        </w:rPr>
        <w:t>יש יותר בזיון אם הוא מיד אחריו</w:t>
      </w:r>
      <w:r>
        <w:rPr>
          <w:rFonts w:ascii="Shofar" w:hAnsi="Shofar" w:cs="Shofar"/>
          <w:rtl/>
        </w:rPr>
        <w:t>.)</w:t>
      </w:r>
    </w:p>
    <w:p w:rsidR="002053B9" w:rsidRDefault="005A1E4A">
      <w:pPr>
        <w:numPr>
          <w:ilvl w:val="0"/>
          <w:numId w:val="11"/>
        </w:numPr>
        <w:rPr>
          <w:rFonts w:ascii="Shofar" w:hAnsi="Shofar" w:cs="Shofar"/>
        </w:rPr>
      </w:pPr>
      <w:r>
        <w:rPr>
          <w:rFonts w:ascii="Shofar" w:hAnsi="Shofar"/>
          <w:rtl/>
        </w:rPr>
        <w:t xml:space="preserve">גירש </w:t>
      </w:r>
      <w:r>
        <w:rPr>
          <w:rFonts w:ascii="Shofar" w:hAnsi="Shofar" w:cs="Shofar"/>
          <w:rtl/>
        </w:rPr>
        <w:t>(</w:t>
      </w:r>
      <w:r>
        <w:rPr>
          <w:rFonts w:ascii="Shofar" w:hAnsi="Shofar"/>
          <w:rtl/>
        </w:rPr>
        <w:t>או התיר אותה על ידי מיתה</w:t>
      </w:r>
      <w:r>
        <w:rPr>
          <w:rFonts w:ascii="Shofar" w:hAnsi="Shofar" w:cs="Shofar"/>
          <w:rtl/>
        </w:rPr>
        <w:t xml:space="preserve">) </w:t>
      </w:r>
      <w:r>
        <w:rPr>
          <w:rFonts w:ascii="Shofar" w:hAnsi="Shofar"/>
          <w:rtl/>
        </w:rPr>
        <w:t>אחר אותה</w:t>
      </w:r>
      <w:r>
        <w:rPr>
          <w:rFonts w:ascii="Shofar" w:hAnsi="Shofar" w:cs="Shofar"/>
          <w:rtl/>
        </w:rPr>
        <w:t>.</w:t>
      </w:r>
    </w:p>
    <w:p w:rsidR="002053B9" w:rsidRDefault="005A1E4A">
      <w:pPr>
        <w:numPr>
          <w:ilvl w:val="1"/>
          <w:numId w:val="11"/>
        </w:numPr>
        <w:rPr>
          <w:rFonts w:ascii="Shofar" w:hAnsi="Shofar" w:cs="Shofar"/>
        </w:rPr>
      </w:pPr>
      <w:r>
        <w:rPr>
          <w:rFonts w:ascii="Shofar" w:hAnsi="Shofar"/>
          <w:rtl/>
        </w:rPr>
        <w:t>אולי גט הוא סיבה להיתר איסור אשת איש</w:t>
      </w:r>
      <w:r>
        <w:rPr>
          <w:rFonts w:ascii="Shofar" w:hAnsi="Shofar" w:cs="Shofar"/>
          <w:rtl/>
        </w:rPr>
        <w:t xml:space="preserve">. </w:t>
      </w:r>
      <w:r>
        <w:rPr>
          <w:rFonts w:ascii="Shofar" w:hAnsi="Shofar"/>
          <w:rtl/>
        </w:rPr>
        <w:t>לא עושה דבר להכחיש איסור אשת איש</w:t>
      </w:r>
      <w:r>
        <w:rPr>
          <w:rFonts w:ascii="Shofar" w:hAnsi="Shofar" w:cs="Shofar"/>
          <w:rtl/>
        </w:rPr>
        <w:t xml:space="preserve">, </w:t>
      </w:r>
      <w:r>
        <w:rPr>
          <w:rFonts w:ascii="Shofar" w:hAnsi="Shofar"/>
          <w:rtl/>
        </w:rPr>
        <w:t xml:space="preserve">אלא עושה סיבה שאשה זה תהיה מותרת </w:t>
      </w:r>
      <w:r>
        <w:rPr>
          <w:rFonts w:ascii="Shofar" w:hAnsi="Shofar" w:cs="Shofar"/>
          <w:rtl/>
        </w:rPr>
        <w:t>(</w:t>
      </w:r>
      <w:r>
        <w:rPr>
          <w:rFonts w:ascii="Shofar" w:hAnsi="Shofar"/>
          <w:rtl/>
        </w:rPr>
        <w:t>שטוב הוא אם דינה הוא שמותרת</w:t>
      </w:r>
      <w:r>
        <w:rPr>
          <w:rFonts w:ascii="Shofar" w:hAnsi="Shofar" w:cs="Shofar"/>
          <w:rtl/>
        </w:rPr>
        <w:t xml:space="preserve">). </w:t>
      </w:r>
      <w:r>
        <w:rPr>
          <w:rFonts w:ascii="Shofar" w:hAnsi="Shofar"/>
          <w:rtl/>
        </w:rPr>
        <w:t>אז</w:t>
      </w:r>
      <w:r>
        <w:rPr>
          <w:rFonts w:ascii="Shofar" w:hAnsi="Shofar" w:cs="Shofar"/>
          <w:rtl/>
        </w:rPr>
        <w:t xml:space="preserve">, </w:t>
      </w:r>
      <w:r>
        <w:rPr>
          <w:rFonts w:ascii="Shofar" w:hAnsi="Shofar"/>
          <w:rtl/>
        </w:rPr>
        <w:t>ממילא יכול להתיר כל אשת איש</w:t>
      </w:r>
      <w:r>
        <w:rPr>
          <w:rFonts w:ascii="Shofar" w:hAnsi="Shofar" w:cs="Shofar"/>
          <w:rtl/>
        </w:rPr>
        <w:t>.</w:t>
      </w:r>
      <w:r>
        <w:rPr>
          <w:rStyle w:val="FootnoteReference1"/>
          <w:rFonts w:ascii="Shofar" w:hAnsi="Shofar" w:cs="Shofar"/>
          <w:rtl/>
        </w:rPr>
        <w:footnoteReference w:id="5"/>
      </w:r>
    </w:p>
    <w:p w:rsidR="002053B9" w:rsidRDefault="005A1E4A">
      <w:pPr>
        <w:numPr>
          <w:ilvl w:val="1"/>
          <w:numId w:val="11"/>
        </w:numPr>
        <w:rPr>
          <w:rFonts w:ascii="Shofar" w:hAnsi="Shofar" w:cs="Shofar"/>
        </w:rPr>
      </w:pPr>
      <w:r>
        <w:rPr>
          <w:rFonts w:ascii="Shofar" w:hAnsi="Shofar"/>
          <w:rtl/>
        </w:rPr>
        <w:t>אולי גירושי</w:t>
      </w:r>
      <w:r>
        <w:rPr>
          <w:rFonts w:ascii="Shofar" w:hAnsi="Shofar"/>
          <w:rtl/>
        </w:rPr>
        <w:t>ן של זה פועל על כל אישות שלה</w:t>
      </w:r>
      <w:r>
        <w:rPr>
          <w:rFonts w:ascii="Shofar" w:hAnsi="Shofar" w:cs="Shofar"/>
          <w:rtl/>
        </w:rPr>
        <w:t xml:space="preserve">. </w:t>
      </w:r>
      <w:r>
        <w:rPr>
          <w:rFonts w:ascii="Shofar" w:hAnsi="Shofar"/>
          <w:rtl/>
        </w:rPr>
        <w:t>זה מחודש</w:t>
      </w:r>
      <w:r>
        <w:rPr>
          <w:rFonts w:ascii="Shofar" w:hAnsi="Shofar" w:cs="Shofar"/>
          <w:rtl/>
        </w:rPr>
        <w:t xml:space="preserve">, </w:t>
      </w:r>
      <w:r>
        <w:rPr>
          <w:rFonts w:ascii="Shofar" w:hAnsi="Shofar"/>
          <w:rtl/>
        </w:rPr>
        <w:t>שלכאורה</w:t>
      </w:r>
      <w:r>
        <w:rPr>
          <w:rFonts w:ascii="Shofar" w:hAnsi="Shofar" w:cs="Shofar"/>
          <w:rtl/>
        </w:rPr>
        <w:t xml:space="preserve">, </w:t>
      </w:r>
      <w:r>
        <w:rPr>
          <w:rFonts w:ascii="Shofar" w:hAnsi="Shofar"/>
          <w:rtl/>
        </w:rPr>
        <w:t>לא יכול גט של זה לפעול על אישות של זה</w:t>
      </w:r>
      <w:r>
        <w:rPr>
          <w:rFonts w:ascii="Shofar" w:hAnsi="Shofar" w:cs="Shofar"/>
          <w:rtl/>
        </w:rPr>
        <w:t xml:space="preserve">. </w:t>
      </w:r>
      <w:r>
        <w:rPr>
          <w:rFonts w:ascii="Shofar" w:hAnsi="Shofar"/>
          <w:rtl/>
        </w:rPr>
        <w:t>צריך לומר שמה שצריך אינו בעל האישות</w:t>
      </w:r>
      <w:r>
        <w:rPr>
          <w:rFonts w:ascii="Shofar" w:hAnsi="Shofar" w:cs="Shofar"/>
          <w:rtl/>
        </w:rPr>
        <w:t xml:space="preserve">, </w:t>
      </w:r>
      <w:r>
        <w:rPr>
          <w:rFonts w:ascii="Shofar" w:hAnsi="Shofar"/>
          <w:rtl/>
        </w:rPr>
        <w:t>אלא בעל האשה</w:t>
      </w:r>
      <w:r>
        <w:rPr>
          <w:rFonts w:ascii="Shofar" w:hAnsi="Shofar" w:cs="Shofar"/>
          <w:rtl/>
        </w:rPr>
        <w:t xml:space="preserve">, </w:t>
      </w:r>
      <w:r>
        <w:rPr>
          <w:rFonts w:ascii="Shofar" w:hAnsi="Shofar"/>
          <w:rtl/>
        </w:rPr>
        <w:t>שכיון שהוא בעל שלה</w:t>
      </w:r>
      <w:r>
        <w:rPr>
          <w:rFonts w:ascii="Shofar" w:hAnsi="Shofar" w:cs="Shofar"/>
          <w:rtl/>
        </w:rPr>
        <w:t xml:space="preserve">, </w:t>
      </w:r>
      <w:r>
        <w:rPr>
          <w:rFonts w:ascii="Shofar" w:hAnsi="Shofar"/>
          <w:rtl/>
        </w:rPr>
        <w:t>יכול להתיר את כל אישות שלה</w:t>
      </w:r>
      <w:r>
        <w:rPr>
          <w:rFonts w:ascii="Shofar" w:hAnsi="Shofar" w:cs="Shofar"/>
          <w:rtl/>
        </w:rPr>
        <w:t>.</w:t>
      </w:r>
    </w:p>
    <w:p w:rsidR="002053B9" w:rsidRDefault="005A1E4A">
      <w:pPr>
        <w:rPr>
          <w:rFonts w:ascii="Shofar" w:hAnsi="Shofar"/>
        </w:rPr>
      </w:pPr>
      <w:r>
        <w:rPr>
          <w:rFonts w:ascii="Shofar" w:hAnsi="Shofar"/>
          <w:rtl/>
        </w:rPr>
        <w:t>ואם תאמר למה אין אלו נכונים בעל מנת. ויש לומר ששם אם בועל ולא חל הגט,</w:t>
      </w:r>
      <w:r>
        <w:rPr>
          <w:rFonts w:ascii="Shofar" w:hAnsi="Shofar"/>
          <w:rtl/>
        </w:rPr>
        <w:t xml:space="preserve"> נמצא שאין נישואים אחרים באמצע. אבל, אז גלגל החוזר הוא, שאם חל הגט, נמצא שאין סיבה לביטול הגט, ואם לא חל הגט, נמצא שיש סיבה שלא יחול. ותחשב. (אם נאמר שתלוי בקפידא שלו, אז אולי מה שהיא מופרש ממנו בנישואין שרק תלוי בגלגל החוזר עושה שהוא מקפיד, ואינו כשאר ניש</w:t>
      </w:r>
      <w:r>
        <w:rPr>
          <w:rFonts w:ascii="Shofar" w:hAnsi="Shofar"/>
          <w:rtl/>
        </w:rPr>
        <w:t>ואים. אז, בוודאי לא מהני.)</w:t>
      </w:r>
    </w:p>
    <w:p w:rsidR="002053B9" w:rsidRDefault="002053B9">
      <w:pPr>
        <w:rPr>
          <w:rFonts w:ascii="Shofar" w:hAnsi="Shofar"/>
        </w:rPr>
      </w:pPr>
    </w:p>
    <w:p w:rsidR="002053B9" w:rsidRDefault="005A1E4A">
      <w:pPr>
        <w:rPr>
          <w:rFonts w:ascii="Shofar" w:hAnsi="Shofar"/>
        </w:rPr>
      </w:pPr>
      <w:r>
        <w:rPr>
          <w:rFonts w:ascii="Shofar" w:hAnsi="Shofar"/>
          <w:rtl/>
        </w:rPr>
        <w:t>עיין בתוס' לעיל (ד"ה כגון). מגמרא מבואר שאשה תהיה אשת שני מתים אילו נשאת לראובן חוץ משמעון ושוב נשאת לראובן חוץ מכל. אז, צריך לומר שאין קידושי שני מפקיע קידושי ראשון. מקשה למה חלוק הוא מדין זה, שנושאים מתיר לנתמעט. משיב שני תירו</w:t>
      </w:r>
      <w:r>
        <w:rPr>
          <w:rFonts w:ascii="Shofar" w:hAnsi="Shofar"/>
          <w:rtl/>
        </w:rPr>
        <w:t>צים:</w:t>
      </w:r>
    </w:p>
    <w:p w:rsidR="002053B9" w:rsidRDefault="005A1E4A">
      <w:pPr>
        <w:pStyle w:val="ListParagraph"/>
        <w:numPr>
          <w:ilvl w:val="0"/>
          <w:numId w:val="20"/>
        </w:numPr>
      </w:pPr>
      <w:r>
        <w:rPr>
          <w:rtl/>
        </w:rPr>
        <w:t>התם הוי שיור מועט ופקע, אבל כאן הוא שיור גדול. כתב שאינו מסתבר לחלק כך.</w:t>
      </w:r>
    </w:p>
    <w:p w:rsidR="002053B9" w:rsidRDefault="005A1E4A">
      <w:pPr>
        <w:pStyle w:val="ListParagraph"/>
        <w:numPr>
          <w:ilvl w:val="0"/>
          <w:numId w:val="20"/>
        </w:numPr>
      </w:pPr>
      <w:r>
        <w:rPr>
          <w:rtl/>
        </w:rPr>
        <w:t>התם כיון שהתחיל לנתקה ע"י שנישאת לאחר מנתקה לגמרי, אבל הכא שבא לקדשה ע"י שנתקדשה לאחר לא נתקה.</w:t>
      </w:r>
    </w:p>
    <w:p w:rsidR="002053B9" w:rsidRDefault="005A1E4A">
      <w:r>
        <w:rPr>
          <w:rtl/>
        </w:rPr>
        <w:t>צריך לבאר תירוצים אלו, אבל קודם כך, יש להעיר שזה מוכיח נגד צדדים שכתבנו.</w:t>
      </w:r>
    </w:p>
    <w:p w:rsidR="002053B9" w:rsidRDefault="005A1E4A">
      <w:r>
        <w:rPr>
          <w:rtl/>
        </w:rPr>
        <w:t>בצד ראשון ש</w:t>
      </w:r>
      <w:r>
        <w:rPr>
          <w:rtl/>
        </w:rPr>
        <w:t>כתבנו לתרץ, יש לדון. צד ראשון בצד ראשון היה שנשואי שני עושה שאין נשואי ראשון קיים. אז, לא יכול לאסור על נתמעט. אז, הוא קושיה טובה, שאז מקשה למה במקום אחד פקע קידושין שלו ובמקום אחר לא פקע. לצד שני שבצד ראשון, אולי אינו כל כך קשה, שעדיין יכול אישות להתקיים,</w:t>
      </w:r>
      <w:r>
        <w:rPr>
          <w:rtl/>
        </w:rPr>
        <w:t xml:space="preserve"> אלא שמניחים שלא רוצה עוד בשיור.</w:t>
      </w:r>
    </w:p>
    <w:p w:rsidR="002053B9" w:rsidRDefault="005A1E4A">
      <w:r>
        <w:rPr>
          <w:rtl/>
        </w:rPr>
        <w:t>בצד שני שכתבנו לתרץ, לשני הצדדים, לא יתכן קושיית תוס', שהחילוק יהיה שכאן לא נתן גט, ואז נשאר נשואים של ראשון עד מיתת שני. (באמת, על צד זה, צריך ביאור ל"ל יתיר מיתת ראשון את האשה מן השני</w:t>
      </w:r>
      <w:r>
        <w:rPr>
          <w:rStyle w:val="FootnoteReference1"/>
          <w:rtl/>
        </w:rPr>
        <w:footnoteReference w:id="6"/>
      </w:r>
      <w:r>
        <w:rPr>
          <w:rtl/>
        </w:rPr>
        <w:t>. צריך לומר שהוא מפני ששני יותר מיוחס</w:t>
      </w:r>
      <w:r>
        <w:rPr>
          <w:rtl/>
        </w:rPr>
        <w:t xml:space="preserve"> לה מן הראשון, שהרי הוא אוסר אותה על הכל. (ואף אם, אולי, אינו יכול לאסור על בעל או אינו יכול לעשות שאין נשואים חלים, עדיין עושה סיבה לכך, אלא שלא חזק לעשות שיפקעו.))</w:t>
      </w:r>
    </w:p>
    <w:p w:rsidR="002053B9" w:rsidRDefault="005A1E4A">
      <w:r>
        <w:rPr>
          <w:rtl/>
        </w:rPr>
        <w:t>נתחיל בביאור מה קורה כשאדם עושה קידושי חוץ ואותו אחר נושא אשה. לכאורה, המקרה הוא שנשאר נשו</w:t>
      </w:r>
      <w:r>
        <w:rPr>
          <w:rtl/>
        </w:rPr>
        <w:t>אי ראשון, שאי לאו הכי, לא תהיה נחשבת אשת שני מתים</w:t>
      </w:r>
      <w:r>
        <w:rPr>
          <w:rStyle w:val="FootnoteReference1"/>
          <w:rtl/>
        </w:rPr>
        <w:footnoteReference w:id="7"/>
      </w:r>
      <w:r>
        <w:rPr>
          <w:rtl/>
        </w:rPr>
        <w:t>, אבל אסורה בביאה לראשון</w:t>
      </w:r>
      <w:r>
        <w:rPr>
          <w:rStyle w:val="FootnoteReference1"/>
          <w:rtl/>
        </w:rPr>
        <w:footnoteReference w:id="8"/>
      </w:r>
      <w:r>
        <w:rPr>
          <w:rtl/>
        </w:rPr>
        <w:t xml:space="preserve">. </w:t>
      </w:r>
    </w:p>
    <w:p w:rsidR="002053B9" w:rsidRDefault="005A1E4A">
      <w:r>
        <w:rPr>
          <w:rtl/>
        </w:rPr>
        <w:t>עכשיו, צריכים לבאר תירוצים של תוס':</w:t>
      </w:r>
    </w:p>
    <w:p w:rsidR="002053B9" w:rsidRDefault="005A1E4A">
      <w:r>
        <w:rPr>
          <w:rtl/>
        </w:rPr>
        <w:t>תירוץ ראשון:</w:t>
      </w:r>
    </w:p>
    <w:p w:rsidR="002053B9" w:rsidRDefault="005A1E4A">
      <w:r>
        <w:rPr>
          <w:rtl/>
        </w:rPr>
        <w:t>יש לדון במה יותר חזק אותו שיור של קידושין משיור של גירושין:</w:t>
      </w:r>
    </w:p>
    <w:p w:rsidR="002053B9" w:rsidRDefault="005A1E4A">
      <w:pPr>
        <w:pStyle w:val="ListParagraph"/>
        <w:numPr>
          <w:ilvl w:val="0"/>
          <w:numId w:val="21"/>
        </w:numPr>
      </w:pPr>
      <w:r>
        <w:rPr>
          <w:rtl/>
        </w:rPr>
        <w:t>אולי הוא ששיור של קידושין אסר לרוב בני אדם, ורק התיר למקצת. אבל, שיור</w:t>
      </w:r>
      <w:r>
        <w:rPr>
          <w:rtl/>
        </w:rPr>
        <w:t xml:space="preserve"> של גט התיר לרוב בני אדם, ורק אסר למקצת. אז, החילוק הוא לכמה אוסר עוד.</w:t>
      </w:r>
    </w:p>
    <w:p w:rsidR="002053B9" w:rsidRDefault="005A1E4A">
      <w:pPr>
        <w:pStyle w:val="ListParagraph"/>
        <w:numPr>
          <w:ilvl w:val="0"/>
          <w:numId w:val="21"/>
        </w:numPr>
      </w:pPr>
      <w:r>
        <w:rPr>
          <w:rtl/>
        </w:rPr>
        <w:t>אולי הוא שהתיר לאחרים בקידושין ב"חוץ מ…," והתיר לאחרים בגירושין מ"כל… חוץ." אולי זה מגלה שההיתר הוא חלוק, ובאחד יש סיבה להתיר ונדחה, ובאחד אין סיבה להתיר. כיון שיש סיבה שתהיה מותרת לכל,</w:t>
      </w:r>
      <w:r>
        <w:rPr>
          <w:rtl/>
        </w:rPr>
        <w:t xml:space="preserve"> אינה כל כך מיוחסת לו, ומה שנשאר לעצמו אינו גדול.</w:t>
      </w:r>
      <w:r>
        <w:rPr>
          <w:rStyle w:val="FootnoteReference1"/>
          <w:rtl/>
        </w:rPr>
        <w:footnoteReference w:id="9"/>
      </w:r>
    </w:p>
    <w:p w:rsidR="002053B9" w:rsidRDefault="005A1E4A">
      <w:pPr>
        <w:pStyle w:val="ListParagraph"/>
        <w:numPr>
          <w:ilvl w:val="0"/>
          <w:numId w:val="21"/>
        </w:numPr>
      </w:pPr>
      <w:r>
        <w:rPr>
          <w:rtl/>
        </w:rPr>
        <w:lastRenderedPageBreak/>
        <w:t xml:space="preserve">אולי יש לומר כעין </w:t>
      </w:r>
      <w:r>
        <w:t>1</w:t>
      </w:r>
      <w:r>
        <w:rPr>
          <w:rtl/>
        </w:rPr>
        <w:t>, אלא שאין הענין מנין האנשים, אלא מי הם האנשים, והוא שבקידושין, נשאר נישואין לעצמו, אבל בגירושין, לא השאיר נישואין לעצמו.</w:t>
      </w:r>
    </w:p>
    <w:p w:rsidR="002053B9" w:rsidRDefault="005A1E4A">
      <w:r>
        <w:rPr>
          <w:rtl/>
        </w:rPr>
        <w:t>על זה, אומר תוס' שלא מסתבר שאחד יותר חזק מחברו די לעשות שבאחד אי</w:t>
      </w:r>
      <w:r>
        <w:rPr>
          <w:rtl/>
        </w:rPr>
        <w:t>שות ראשון נפקע ובאחר לא נפקע.</w:t>
      </w:r>
    </w:p>
    <w:p w:rsidR="002053B9" w:rsidRDefault="005A1E4A">
      <w:r>
        <w:rPr>
          <w:rtl/>
        </w:rPr>
        <w:t>תירוץ שני:</w:t>
      </w:r>
    </w:p>
    <w:p w:rsidR="002053B9" w:rsidRDefault="005A1E4A">
      <w:r>
        <w:rPr>
          <w:rtl/>
        </w:rPr>
        <w:t>יש לדון מהו התירוץ:</w:t>
      </w:r>
    </w:p>
    <w:p w:rsidR="002053B9" w:rsidRDefault="005A1E4A">
      <w:pPr>
        <w:pStyle w:val="ListParagraph"/>
        <w:numPr>
          <w:ilvl w:val="0"/>
          <w:numId w:val="22"/>
        </w:numPr>
      </w:pPr>
      <w:r>
        <w:rPr>
          <w:rtl/>
        </w:rPr>
        <w:t>נראה שאפשר שאומר כ</w:t>
      </w:r>
      <w:r>
        <w:t>2</w:t>
      </w:r>
      <w:r>
        <w:rPr>
          <w:rtl/>
        </w:rPr>
        <w:t>, והוא שיש סיבה להיתירה. אז, מה שאומר הוא שהתחיל לנתק אותה, וכבר יש סיבה להתיר. אז, יותר קל לאחר להתיר.</w:t>
      </w:r>
    </w:p>
    <w:p w:rsidR="002053B9" w:rsidRDefault="005A1E4A">
      <w:pPr>
        <w:pStyle w:val="ListParagraph"/>
        <w:numPr>
          <w:ilvl w:val="0"/>
          <w:numId w:val="22"/>
        </w:numPr>
      </w:pPr>
      <w:r>
        <w:rPr>
          <w:rtl/>
        </w:rPr>
        <w:t>נראה שאפשר שאומר כ</w:t>
      </w:r>
      <w:r>
        <w:t>3</w:t>
      </w:r>
      <w:r>
        <w:rPr>
          <w:rtl/>
        </w:rPr>
        <w:t>, והוא שהוא כבר ניתק אותה ממנו, ואז יותר קל לאחר לנתק</w:t>
      </w:r>
      <w:r>
        <w:rPr>
          <w:rtl/>
        </w:rPr>
        <w:t xml:space="preserve"> אותה ממנו. דחוק.</w:t>
      </w:r>
    </w:p>
    <w:p w:rsidR="002053B9" w:rsidRDefault="005A1E4A">
      <w:pPr>
        <w:pStyle w:val="ListParagraph"/>
        <w:numPr>
          <w:ilvl w:val="0"/>
          <w:numId w:val="22"/>
        </w:numPr>
      </w:pPr>
      <w:r>
        <w:rPr>
          <w:rtl/>
        </w:rPr>
        <w:t>אולי כיון שהוא כבר התחיל לרחק אותה, מניחים שקצת רוצה בריחוק שלה. אז, לא כל כך קשה לרחק אותה יותר</w:t>
      </w:r>
      <w:r>
        <w:rPr>
          <w:rStyle w:val="FootnoteReference1"/>
          <w:rtl/>
        </w:rPr>
        <w:footnoteReference w:id="10"/>
      </w:r>
      <w:r>
        <w:rPr>
          <w:rtl/>
        </w:rPr>
        <w:t>. אבל, בקידושין, לא גילה רצון לרחק אותה. ותחשב.</w:t>
      </w:r>
    </w:p>
    <w:p w:rsidR="002053B9" w:rsidRDefault="005A1E4A">
      <w:r>
        <w:rPr>
          <w:rtl/>
        </w:rPr>
        <w:t>ותחשב על כל זה.</w:t>
      </w:r>
    </w:p>
    <w:p w:rsidR="002053B9" w:rsidRDefault="002053B9"/>
    <w:p w:rsidR="002053B9" w:rsidRDefault="005A1E4A">
      <w:pPr>
        <w:rPr>
          <w:rFonts w:ascii="Shofar" w:hAnsi="Shofar" w:cs="Shofar"/>
        </w:rPr>
      </w:pPr>
      <w:r>
        <w:br w:type="page"/>
      </w:r>
    </w:p>
    <w:p w:rsidR="002053B9" w:rsidRDefault="005A1E4A">
      <w:pPr>
        <w:pStyle w:val="Heading1"/>
        <w:rPr>
          <w:rFonts w:ascii="Shofar" w:hAnsi="Shofar" w:cs="Shofar"/>
        </w:rPr>
      </w:pPr>
      <w:bookmarkStart w:id="4" w:name="_Toc135840619"/>
      <w:r>
        <w:rPr>
          <w:rtl/>
        </w:rPr>
        <w:lastRenderedPageBreak/>
        <w:t>רבי יוסי הגלילי</w:t>
      </w:r>
      <w:bookmarkEnd w:id="4"/>
    </w:p>
    <w:p w:rsidR="002053B9" w:rsidRDefault="005A1E4A">
      <w:pPr>
        <w:pStyle w:val="Heading2"/>
        <w:rPr>
          <w:rFonts w:ascii="Shofar" w:hAnsi="Shofar" w:cs="Shofar"/>
          <w:b w:val="0"/>
        </w:rPr>
      </w:pPr>
      <w:bookmarkStart w:id="5" w:name="_Toc135840620"/>
      <w:r>
        <w:rPr>
          <w:rFonts w:ascii="Shofar" w:hAnsi="Shofar"/>
          <w:b w:val="0"/>
          <w:rtl/>
        </w:rPr>
        <w:t>קושיה</w:t>
      </w:r>
      <w:r>
        <w:rPr>
          <w:rFonts w:ascii="Shofar" w:hAnsi="Shofar" w:cs="Shofar"/>
          <w:b w:val="0"/>
          <w:rtl/>
        </w:rPr>
        <w:t>:</w:t>
      </w:r>
      <w:bookmarkEnd w:id="5"/>
      <w:r>
        <w:rPr>
          <w:rFonts w:ascii="Shofar" w:hAnsi="Shofar" w:cs="Shofar"/>
          <w:b w:val="0"/>
          <w:rtl/>
        </w:rPr>
        <w:t xml:space="preserve"> </w:t>
      </w:r>
    </w:p>
    <w:p w:rsidR="002053B9" w:rsidRDefault="005A1E4A">
      <w:pPr>
        <w:rPr>
          <w:rFonts w:ascii="Shofar" w:hAnsi="Shofar" w:cs="Shofar"/>
        </w:rPr>
      </w:pPr>
      <w:r>
        <w:rPr>
          <w:rFonts w:ascii="Shofar" w:hAnsi="Shofar"/>
          <w:rtl/>
        </w:rPr>
        <w:t>היכן מצינו אסור לזה ומותר לזה</w:t>
      </w:r>
      <w:r>
        <w:rPr>
          <w:rFonts w:ascii="Shofar" w:hAnsi="Shofar" w:cs="Shofar"/>
          <w:rtl/>
        </w:rPr>
        <w:t xml:space="preserve">. </w:t>
      </w:r>
      <w:r>
        <w:rPr>
          <w:rFonts w:ascii="Shofar" w:hAnsi="Shofar"/>
          <w:rtl/>
        </w:rPr>
        <w:t>האסור אסור לכל והמו</w:t>
      </w:r>
      <w:r>
        <w:rPr>
          <w:rFonts w:ascii="Shofar" w:hAnsi="Shofar"/>
          <w:rtl/>
        </w:rPr>
        <w:t>תר מותר לכל</w:t>
      </w:r>
      <w:r>
        <w:rPr>
          <w:rFonts w:ascii="Shofar" w:hAnsi="Shofar" w:cs="Shofar"/>
          <w:rtl/>
        </w:rPr>
        <w:t>.</w:t>
      </w:r>
    </w:p>
    <w:p w:rsidR="002053B9" w:rsidRDefault="002053B9">
      <w:pPr>
        <w:rPr>
          <w:rFonts w:ascii="Shofar" w:hAnsi="Shofar" w:cs="Shofar"/>
        </w:rPr>
      </w:pPr>
    </w:p>
    <w:p w:rsidR="002053B9" w:rsidRDefault="005A1E4A">
      <w:pPr>
        <w:rPr>
          <w:rFonts w:ascii="Shofar" w:hAnsi="Shofar" w:cs="Shofar"/>
        </w:rPr>
      </w:pPr>
      <w:r>
        <w:rPr>
          <w:rFonts w:ascii="Shofar" w:hAnsi="Shofar"/>
          <w:rtl/>
        </w:rPr>
        <w:t>נבאר את הקושיה</w:t>
      </w:r>
      <w:r>
        <w:rPr>
          <w:rFonts w:ascii="Shofar" w:hAnsi="Shofar" w:cs="Shofar"/>
          <w:rtl/>
        </w:rPr>
        <w:t>:</w:t>
      </w:r>
    </w:p>
    <w:p w:rsidR="002053B9" w:rsidRDefault="005A1E4A">
      <w:pPr>
        <w:numPr>
          <w:ilvl w:val="0"/>
          <w:numId w:val="13"/>
        </w:numPr>
        <w:rPr>
          <w:rFonts w:ascii="Shofar" w:hAnsi="Shofar" w:cs="Shofar"/>
        </w:rPr>
      </w:pPr>
      <w:r>
        <w:rPr>
          <w:rFonts w:ascii="Shofar" w:hAnsi="Shofar"/>
          <w:rtl/>
        </w:rPr>
        <w:t>סימן הוא</w:t>
      </w:r>
      <w:r>
        <w:rPr>
          <w:rFonts w:ascii="Shofar" w:hAnsi="Shofar" w:cs="Shofar"/>
          <w:rtl/>
        </w:rPr>
        <w:t>:</w:t>
      </w:r>
    </w:p>
    <w:p w:rsidR="002053B9" w:rsidRDefault="005A1E4A">
      <w:pPr>
        <w:numPr>
          <w:ilvl w:val="1"/>
          <w:numId w:val="13"/>
        </w:numPr>
        <w:rPr>
          <w:rFonts w:ascii="Shofar" w:hAnsi="Shofar" w:cs="Shofar"/>
        </w:rPr>
      </w:pPr>
      <w:r>
        <w:rPr>
          <w:rFonts w:ascii="Shofar" w:hAnsi="Shofar"/>
          <w:rtl/>
        </w:rPr>
        <w:t>לכאורה</w:t>
      </w:r>
      <w:r>
        <w:rPr>
          <w:rFonts w:ascii="Shofar" w:hAnsi="Shofar" w:cs="Shofar"/>
          <w:rtl/>
        </w:rPr>
        <w:t xml:space="preserve">, </w:t>
      </w:r>
      <w:r>
        <w:rPr>
          <w:rFonts w:ascii="Shofar" w:hAnsi="Shofar"/>
          <w:rtl/>
        </w:rPr>
        <w:t>הענין הוא שאם ביאתה רע</w:t>
      </w:r>
      <w:r>
        <w:rPr>
          <w:rFonts w:ascii="Shofar" w:hAnsi="Shofar" w:cs="Shofar"/>
          <w:rtl/>
        </w:rPr>
        <w:t xml:space="preserve">, </w:t>
      </w:r>
      <w:r>
        <w:rPr>
          <w:rFonts w:ascii="Shofar" w:hAnsi="Shofar"/>
          <w:rtl/>
        </w:rPr>
        <w:t>אז כל ביאות שלה תהיו רעות</w:t>
      </w:r>
      <w:r>
        <w:rPr>
          <w:rFonts w:ascii="Shofar" w:hAnsi="Shofar" w:cs="Shofar"/>
          <w:rtl/>
        </w:rPr>
        <w:t xml:space="preserve">. </w:t>
      </w:r>
      <w:r>
        <w:rPr>
          <w:rFonts w:ascii="Shofar" w:hAnsi="Shofar"/>
          <w:rtl/>
        </w:rPr>
        <w:t>אם ביאתה טובה</w:t>
      </w:r>
      <w:r>
        <w:rPr>
          <w:rFonts w:ascii="Shofar" w:hAnsi="Shofar" w:cs="Shofar"/>
          <w:rtl/>
        </w:rPr>
        <w:t xml:space="preserve">, </w:t>
      </w:r>
      <w:r>
        <w:rPr>
          <w:rFonts w:ascii="Shofar" w:hAnsi="Shofar"/>
          <w:rtl/>
        </w:rPr>
        <w:t>אז כל ביאות שלא תהיו טובות</w:t>
      </w:r>
      <w:r>
        <w:rPr>
          <w:rFonts w:ascii="Shofar" w:hAnsi="Shofar" w:cs="Shofar"/>
          <w:rtl/>
        </w:rPr>
        <w:t xml:space="preserve">. </w:t>
      </w:r>
    </w:p>
    <w:p w:rsidR="002053B9" w:rsidRDefault="005A1E4A">
      <w:pPr>
        <w:numPr>
          <w:ilvl w:val="0"/>
          <w:numId w:val="13"/>
        </w:numPr>
        <w:rPr>
          <w:rFonts w:ascii="Shofar" w:hAnsi="Shofar" w:cs="Shofar"/>
        </w:rPr>
      </w:pPr>
      <w:r>
        <w:rPr>
          <w:rFonts w:ascii="Shofar" w:hAnsi="Shofar"/>
          <w:rtl/>
        </w:rPr>
        <w:t>סיבה הוא</w:t>
      </w:r>
      <w:r>
        <w:rPr>
          <w:rFonts w:ascii="Shofar" w:hAnsi="Shofar" w:cs="Shofar"/>
          <w:rtl/>
        </w:rPr>
        <w:t>:</w:t>
      </w:r>
    </w:p>
    <w:p w:rsidR="002053B9" w:rsidRDefault="005A1E4A">
      <w:pPr>
        <w:numPr>
          <w:ilvl w:val="1"/>
          <w:numId w:val="13"/>
        </w:numPr>
        <w:rPr>
          <w:rFonts w:ascii="Shofar" w:hAnsi="Shofar" w:cs="Shofar"/>
        </w:rPr>
      </w:pPr>
      <w:r>
        <w:rPr>
          <w:rFonts w:ascii="Shofar" w:hAnsi="Shofar"/>
          <w:rtl/>
        </w:rPr>
        <w:t>אילו היו מקצת ביאות שלה אסורים</w:t>
      </w:r>
      <w:r>
        <w:rPr>
          <w:rFonts w:ascii="Shofar" w:hAnsi="Shofar" w:cs="Shofar"/>
          <w:rtl/>
        </w:rPr>
        <w:t xml:space="preserve">, </w:t>
      </w:r>
      <w:r>
        <w:rPr>
          <w:rFonts w:ascii="Shofar" w:hAnsi="Shofar"/>
          <w:rtl/>
        </w:rPr>
        <w:t>היו הכל אסורים</w:t>
      </w:r>
      <w:r>
        <w:rPr>
          <w:rFonts w:ascii="Shofar" w:hAnsi="Shofar" w:cs="Shofar"/>
          <w:rtl/>
        </w:rPr>
        <w:t>.</w:t>
      </w:r>
    </w:p>
    <w:p w:rsidR="002053B9" w:rsidRDefault="005A1E4A">
      <w:pPr>
        <w:numPr>
          <w:ilvl w:val="2"/>
          <w:numId w:val="13"/>
        </w:numPr>
        <w:rPr>
          <w:rFonts w:ascii="Shofar" w:hAnsi="Shofar" w:cs="Shofar"/>
        </w:rPr>
      </w:pPr>
      <w:r>
        <w:rPr>
          <w:rFonts w:ascii="Shofar" w:hAnsi="Shofar"/>
          <w:rtl/>
        </w:rPr>
        <w:t xml:space="preserve">יחסה לרע </w:t>
      </w:r>
      <w:r>
        <w:rPr>
          <w:rFonts w:ascii="Shofar" w:hAnsi="Shofar" w:cs="Shofar"/>
          <w:rtl/>
        </w:rPr>
        <w:t>(</w:t>
      </w:r>
      <w:r>
        <w:rPr>
          <w:rFonts w:ascii="Shofar" w:hAnsi="Shofar"/>
          <w:rtl/>
        </w:rPr>
        <w:t>מקצת ביאות שלה רעות</w:t>
      </w:r>
      <w:r>
        <w:rPr>
          <w:rFonts w:ascii="Shofar" w:hAnsi="Shofar" w:cs="Shofar"/>
          <w:rtl/>
        </w:rPr>
        <w:t xml:space="preserve">) </w:t>
      </w:r>
      <w:r>
        <w:rPr>
          <w:rFonts w:ascii="Shofar" w:hAnsi="Shofar"/>
          <w:rtl/>
        </w:rPr>
        <w:t>יעשה שכל ביאות שלה רעים</w:t>
      </w:r>
      <w:r>
        <w:rPr>
          <w:rFonts w:ascii="Shofar" w:hAnsi="Shofar" w:cs="Shofar"/>
          <w:rtl/>
        </w:rPr>
        <w:t>.</w:t>
      </w:r>
      <w:r>
        <w:rPr>
          <w:rStyle w:val="FootnoteReference1"/>
          <w:rFonts w:ascii="Shofar" w:hAnsi="Shofar" w:cs="Shofar"/>
          <w:rtl/>
        </w:rPr>
        <w:footnoteReference w:id="11"/>
      </w:r>
    </w:p>
    <w:p w:rsidR="002053B9" w:rsidRDefault="005A1E4A">
      <w:pPr>
        <w:numPr>
          <w:ilvl w:val="2"/>
          <w:numId w:val="13"/>
        </w:numPr>
        <w:rPr>
          <w:rFonts w:ascii="Shofar" w:hAnsi="Shofar" w:cs="Shofar"/>
        </w:rPr>
      </w:pPr>
      <w:r>
        <w:rPr>
          <w:rFonts w:ascii="Shofar" w:hAnsi="Shofar"/>
          <w:rtl/>
        </w:rPr>
        <w:t>אם מקצת ביאות שלה היו רעות ומקצת ביאות שלה היו טובות</w:t>
      </w:r>
      <w:r>
        <w:rPr>
          <w:rFonts w:ascii="Shofar" w:hAnsi="Shofar" w:cs="Shofar"/>
          <w:rtl/>
        </w:rPr>
        <w:t xml:space="preserve">, </w:t>
      </w:r>
      <w:r>
        <w:rPr>
          <w:rFonts w:ascii="Shofar" w:hAnsi="Shofar"/>
          <w:rtl/>
        </w:rPr>
        <w:t>יהיה נראה מוזר</w:t>
      </w:r>
      <w:r>
        <w:rPr>
          <w:rFonts w:ascii="Shofar" w:hAnsi="Shofar" w:cs="Shofar"/>
          <w:rtl/>
        </w:rPr>
        <w:t xml:space="preserve">. </w:t>
      </w:r>
      <w:r>
        <w:rPr>
          <w:rFonts w:ascii="Shofar" w:hAnsi="Shofar"/>
          <w:rtl/>
        </w:rPr>
        <w:t>אז</w:t>
      </w:r>
      <w:r>
        <w:rPr>
          <w:rFonts w:ascii="Shofar" w:hAnsi="Shofar" w:cs="Shofar"/>
          <w:rtl/>
        </w:rPr>
        <w:t xml:space="preserve">, </w:t>
      </w:r>
      <w:r>
        <w:rPr>
          <w:rFonts w:ascii="Shofar" w:hAnsi="Shofar"/>
          <w:rtl/>
        </w:rPr>
        <w:t>היה לנו לאסור כל הביאות</w:t>
      </w:r>
      <w:r>
        <w:rPr>
          <w:rFonts w:ascii="Shofar" w:hAnsi="Shofar" w:cs="Shofar"/>
          <w:rtl/>
        </w:rPr>
        <w:t>.</w:t>
      </w:r>
      <w:r>
        <w:rPr>
          <w:rStyle w:val="FootnoteReference1"/>
          <w:rFonts w:ascii="Shofar" w:hAnsi="Shofar" w:cs="Shofar"/>
          <w:rtl/>
        </w:rPr>
        <w:footnoteReference w:id="12"/>
      </w:r>
    </w:p>
    <w:p w:rsidR="002053B9" w:rsidRDefault="005A1E4A">
      <w:pPr>
        <w:numPr>
          <w:ilvl w:val="2"/>
          <w:numId w:val="13"/>
        </w:numPr>
        <w:rPr>
          <w:rFonts w:ascii="Shofar" w:hAnsi="Shofar" w:cs="Shofar"/>
        </w:rPr>
      </w:pPr>
      <w:r>
        <w:rPr>
          <w:rFonts w:ascii="Shofar" w:hAnsi="Shofar"/>
          <w:rtl/>
        </w:rPr>
        <w:t>היה לנו לגזור שאר הביאות שהם מותרים מחמת ביאה האסורה</w:t>
      </w:r>
      <w:r>
        <w:rPr>
          <w:rFonts w:ascii="Shofar" w:hAnsi="Shofar" w:cs="Shofar"/>
          <w:rtl/>
        </w:rPr>
        <w:t>.</w:t>
      </w:r>
      <w:r>
        <w:rPr>
          <w:rStyle w:val="FootnoteReference1"/>
          <w:rFonts w:ascii="Shofar" w:hAnsi="Shofar" w:cs="Shofar"/>
          <w:rtl/>
        </w:rPr>
        <w:footnoteReference w:id="13"/>
      </w:r>
    </w:p>
    <w:p w:rsidR="002053B9" w:rsidRDefault="005A1E4A">
      <w:pPr>
        <w:numPr>
          <w:ilvl w:val="1"/>
          <w:numId w:val="13"/>
        </w:numPr>
        <w:rPr>
          <w:rFonts w:ascii="Shofar" w:hAnsi="Shofar" w:cs="Shofar"/>
        </w:rPr>
      </w:pPr>
      <w:r>
        <w:rPr>
          <w:rFonts w:ascii="Shofar" w:hAnsi="Shofar"/>
          <w:rtl/>
        </w:rPr>
        <w:t>אילו היו מקצת ביאות שלה מותרים</w:t>
      </w:r>
      <w:r>
        <w:rPr>
          <w:rFonts w:ascii="Shofar" w:hAnsi="Shofar" w:cs="Shofar"/>
          <w:rtl/>
        </w:rPr>
        <w:t xml:space="preserve">, </w:t>
      </w:r>
      <w:r>
        <w:rPr>
          <w:rFonts w:ascii="Shofar" w:hAnsi="Shofar"/>
          <w:rtl/>
        </w:rPr>
        <w:t>היו הכל מותרים</w:t>
      </w:r>
      <w:r>
        <w:rPr>
          <w:rFonts w:ascii="Shofar" w:hAnsi="Shofar" w:cs="Shofar"/>
          <w:rtl/>
        </w:rPr>
        <w:t xml:space="preserve">. </w:t>
      </w:r>
      <w:r>
        <w:rPr>
          <w:rFonts w:ascii="Shofar" w:hAnsi="Shofar"/>
          <w:rtl/>
        </w:rPr>
        <w:t>צ</w:t>
      </w:r>
      <w:r>
        <w:rPr>
          <w:rFonts w:ascii="Shofar" w:hAnsi="Shofar" w:cs="Shofar"/>
          <w:rtl/>
        </w:rPr>
        <w:t>"</w:t>
      </w:r>
      <w:r>
        <w:rPr>
          <w:rFonts w:ascii="Shofar" w:hAnsi="Shofar"/>
          <w:rtl/>
        </w:rPr>
        <w:t>ב למה נאמר כן</w:t>
      </w:r>
      <w:r>
        <w:rPr>
          <w:rFonts w:ascii="Shofar" w:hAnsi="Shofar" w:cs="Shofar"/>
          <w:rtl/>
        </w:rPr>
        <w:t>.</w:t>
      </w:r>
    </w:p>
    <w:p w:rsidR="002053B9" w:rsidRDefault="002053B9">
      <w:pPr>
        <w:rPr>
          <w:rFonts w:ascii="Shofar" w:hAnsi="Shofar" w:cs="Shofar"/>
        </w:rPr>
      </w:pPr>
    </w:p>
    <w:p w:rsidR="002053B9" w:rsidRDefault="005A1E4A">
      <w:pPr>
        <w:pStyle w:val="Heading2"/>
        <w:rPr>
          <w:rFonts w:ascii="Shofar" w:hAnsi="Shofar" w:cs="Shofar"/>
          <w:b w:val="0"/>
        </w:rPr>
      </w:pPr>
      <w:bookmarkStart w:id="6" w:name="_Toc135840621"/>
      <w:r>
        <w:rPr>
          <w:rFonts w:ascii="Shofar" w:hAnsi="Shofar"/>
          <w:b w:val="0"/>
          <w:rtl/>
        </w:rPr>
        <w:t>דחייה</w:t>
      </w:r>
      <w:r>
        <w:rPr>
          <w:rFonts w:ascii="Shofar" w:hAnsi="Shofar" w:cs="Shofar"/>
          <w:b w:val="0"/>
          <w:rtl/>
        </w:rPr>
        <w:t>:</w:t>
      </w:r>
      <w:bookmarkEnd w:id="6"/>
    </w:p>
    <w:p w:rsidR="002053B9" w:rsidRDefault="005A1E4A">
      <w:pPr>
        <w:rPr>
          <w:rFonts w:ascii="Shofar" w:hAnsi="Shofar" w:cs="Shofar"/>
        </w:rPr>
      </w:pPr>
      <w:r>
        <w:rPr>
          <w:rFonts w:ascii="Shofar" w:hAnsi="Shofar" w:cs="Shofar"/>
          <w:rtl/>
        </w:rPr>
        <w:t xml:space="preserve"> </w:t>
      </w:r>
      <w:r>
        <w:rPr>
          <w:rFonts w:ascii="Shofar" w:hAnsi="Shofar"/>
          <w:rtl/>
        </w:rPr>
        <w:t>גמרא מזכיר שלש דיחויים</w:t>
      </w:r>
      <w:r>
        <w:rPr>
          <w:rFonts w:ascii="Shofar" w:hAnsi="Shofar" w:cs="Shofar"/>
          <w:rtl/>
        </w:rPr>
        <w:t>:</w:t>
      </w:r>
    </w:p>
    <w:p w:rsidR="002053B9" w:rsidRDefault="005A1E4A">
      <w:pPr>
        <w:numPr>
          <w:ilvl w:val="0"/>
          <w:numId w:val="12"/>
        </w:numPr>
        <w:rPr>
          <w:rFonts w:ascii="Shofar" w:hAnsi="Shofar" w:cs="Shofar"/>
        </w:rPr>
      </w:pPr>
      <w:r>
        <w:rPr>
          <w:rFonts w:ascii="Shofar" w:hAnsi="Shofar"/>
          <w:rtl/>
        </w:rPr>
        <w:t>ת</w:t>
      </w:r>
      <w:r>
        <w:rPr>
          <w:rFonts w:ascii="Shofar" w:hAnsi="Shofar"/>
          <w:rtl/>
        </w:rPr>
        <w:t>רומה וקדשים אסורים רק לזרים</w:t>
      </w:r>
      <w:r>
        <w:rPr>
          <w:rFonts w:ascii="Shofar" w:hAnsi="Shofar" w:cs="Shofar"/>
          <w:rtl/>
        </w:rPr>
        <w:t xml:space="preserve">. </w:t>
      </w:r>
      <w:r>
        <w:rPr>
          <w:rFonts w:ascii="Shofar" w:hAnsi="Shofar"/>
          <w:rtl/>
        </w:rPr>
        <w:t>דוחה גמרא שלא מצאנו כן באיסור אשה</w:t>
      </w:r>
      <w:r>
        <w:rPr>
          <w:rFonts w:ascii="Shofar" w:hAnsi="Shofar" w:cs="Shofar"/>
          <w:rtl/>
        </w:rPr>
        <w:t>.</w:t>
      </w:r>
    </w:p>
    <w:p w:rsidR="002053B9" w:rsidRDefault="005A1E4A">
      <w:pPr>
        <w:ind w:left="720"/>
        <w:rPr>
          <w:rFonts w:ascii="Shofar" w:hAnsi="Shofar" w:cs="Shofar"/>
        </w:rPr>
      </w:pPr>
      <w:r>
        <w:rPr>
          <w:rFonts w:ascii="Shofar" w:hAnsi="Shofar"/>
          <w:rtl/>
        </w:rPr>
        <w:t>יש לדון מה רוצה להוכיח מזה</w:t>
      </w:r>
      <w:r>
        <w:rPr>
          <w:rFonts w:ascii="Shofar" w:hAnsi="Shofar" w:cs="Shofar"/>
          <w:rtl/>
        </w:rPr>
        <w:t>:</w:t>
      </w:r>
    </w:p>
    <w:p w:rsidR="002053B9" w:rsidRDefault="005A1E4A">
      <w:pPr>
        <w:numPr>
          <w:ilvl w:val="1"/>
          <w:numId w:val="12"/>
        </w:numPr>
        <w:rPr>
          <w:rFonts w:ascii="Shofar" w:hAnsi="Shofar" w:cs="Shofar"/>
        </w:rPr>
      </w:pPr>
      <w:r>
        <w:rPr>
          <w:rFonts w:ascii="Shofar" w:hAnsi="Shofar"/>
          <w:rtl/>
        </w:rPr>
        <w:t>לצד ראשון</w:t>
      </w:r>
      <w:r>
        <w:rPr>
          <w:rFonts w:ascii="Shofar" w:hAnsi="Shofar" w:cs="Shofar"/>
          <w:rtl/>
        </w:rPr>
        <w:t xml:space="preserve">, </w:t>
      </w:r>
      <w:r>
        <w:rPr>
          <w:rFonts w:ascii="Shofar" w:hAnsi="Shofar"/>
          <w:rtl/>
        </w:rPr>
        <w:t>מוכיח שיכול להיות שיש חילוקים בתוך חפץ אחר</w:t>
      </w:r>
      <w:r>
        <w:rPr>
          <w:rFonts w:ascii="Shofar" w:hAnsi="Shofar" w:cs="Shofar"/>
          <w:rtl/>
        </w:rPr>
        <w:t xml:space="preserve">. </w:t>
      </w:r>
      <w:r>
        <w:rPr>
          <w:rFonts w:ascii="Shofar" w:hAnsi="Shofar"/>
          <w:rtl/>
        </w:rPr>
        <w:t>יש לדון למה</w:t>
      </w:r>
      <w:r>
        <w:rPr>
          <w:rFonts w:ascii="Shofar" w:hAnsi="Shofar" w:cs="Shofar"/>
          <w:rtl/>
        </w:rPr>
        <w:t>:</w:t>
      </w:r>
    </w:p>
    <w:p w:rsidR="002053B9" w:rsidRDefault="005A1E4A">
      <w:pPr>
        <w:numPr>
          <w:ilvl w:val="2"/>
          <w:numId w:val="12"/>
        </w:numPr>
        <w:rPr>
          <w:rFonts w:ascii="Shofar" w:hAnsi="Shofar" w:cs="Shofar"/>
        </w:rPr>
      </w:pPr>
      <w:r>
        <w:rPr>
          <w:rFonts w:ascii="Shofar" w:hAnsi="Shofar"/>
          <w:rtl/>
        </w:rPr>
        <w:t>לכל איש</w:t>
      </w:r>
      <w:r>
        <w:rPr>
          <w:rFonts w:ascii="Shofar" w:hAnsi="Shofar" w:cs="Shofar"/>
          <w:rtl/>
        </w:rPr>
        <w:t xml:space="preserve">, </w:t>
      </w:r>
      <w:r>
        <w:rPr>
          <w:rFonts w:ascii="Shofar" w:hAnsi="Shofar"/>
          <w:rtl/>
        </w:rPr>
        <w:t>אותו חפץ הוא דבר חלוק</w:t>
      </w:r>
      <w:r>
        <w:rPr>
          <w:rFonts w:ascii="Shofar" w:hAnsi="Shofar" w:cs="Shofar"/>
          <w:rtl/>
        </w:rPr>
        <w:t xml:space="preserve">. </w:t>
      </w:r>
      <w:r>
        <w:rPr>
          <w:rFonts w:ascii="Shofar" w:hAnsi="Shofar"/>
          <w:rtl/>
        </w:rPr>
        <w:t>זה אומר שאולי יש קרק’ שהם יותר חשובים לכל איש ואיש</w:t>
      </w:r>
      <w:r>
        <w:rPr>
          <w:rFonts w:ascii="Shofar" w:hAnsi="Shofar" w:cs="Shofar"/>
          <w:rtl/>
        </w:rPr>
        <w:t xml:space="preserve">, </w:t>
      </w:r>
      <w:r>
        <w:rPr>
          <w:rFonts w:ascii="Shofar" w:hAnsi="Shofar"/>
          <w:rtl/>
        </w:rPr>
        <w:t>ולכן יש לאות</w:t>
      </w:r>
      <w:r>
        <w:rPr>
          <w:rFonts w:ascii="Shofar" w:hAnsi="Shofar"/>
          <w:rtl/>
        </w:rPr>
        <w:t>ו חפץ שם חלוק לכל איש ואיש</w:t>
      </w:r>
      <w:r>
        <w:rPr>
          <w:rFonts w:ascii="Shofar" w:hAnsi="Shofar" w:cs="Shofar"/>
          <w:rtl/>
        </w:rPr>
        <w:t xml:space="preserve">. </w:t>
      </w:r>
      <w:r>
        <w:rPr>
          <w:rFonts w:ascii="Shofar" w:hAnsi="Shofar"/>
          <w:rtl/>
        </w:rPr>
        <w:t>לכן</w:t>
      </w:r>
      <w:r>
        <w:rPr>
          <w:rFonts w:ascii="Shofar" w:hAnsi="Shofar" w:cs="Shofar"/>
          <w:rtl/>
        </w:rPr>
        <w:t xml:space="preserve">, </w:t>
      </w:r>
      <w:r>
        <w:rPr>
          <w:rFonts w:ascii="Shofar" w:hAnsi="Shofar"/>
          <w:rtl/>
        </w:rPr>
        <w:t>לא קשה איך יהיה דבר נאסר יותר לאיש אחד מלאיש אחר</w:t>
      </w:r>
      <w:r>
        <w:rPr>
          <w:rFonts w:ascii="Shofar" w:hAnsi="Shofar" w:cs="Shofar"/>
          <w:rtl/>
        </w:rPr>
        <w:t>.</w:t>
      </w:r>
    </w:p>
    <w:p w:rsidR="002053B9" w:rsidRDefault="005A1E4A">
      <w:pPr>
        <w:numPr>
          <w:ilvl w:val="2"/>
          <w:numId w:val="12"/>
        </w:numPr>
        <w:rPr>
          <w:rFonts w:ascii="Shofar" w:hAnsi="Shofar" w:cs="Shofar"/>
        </w:rPr>
      </w:pPr>
      <w:r>
        <w:rPr>
          <w:rFonts w:ascii="Shofar" w:hAnsi="Shofar"/>
          <w:rtl/>
        </w:rPr>
        <w:t>כמו שלא קשה שמותר לדבר עמה ואסור לבעול אותה</w:t>
      </w:r>
      <w:r>
        <w:rPr>
          <w:rFonts w:ascii="Shofar" w:hAnsi="Shofar" w:cs="Shofar"/>
          <w:rtl/>
        </w:rPr>
        <w:t xml:space="preserve">, </w:t>
      </w:r>
      <w:r>
        <w:rPr>
          <w:rFonts w:ascii="Shofar" w:hAnsi="Shofar"/>
          <w:rtl/>
        </w:rPr>
        <w:t>כך לא קשה שמותר לה לבעול לזה ומותר לה לבעול לזה</w:t>
      </w:r>
      <w:r>
        <w:rPr>
          <w:rFonts w:ascii="Shofar" w:hAnsi="Shofar" w:cs="Shofar"/>
          <w:rtl/>
        </w:rPr>
        <w:t xml:space="preserve">. </w:t>
      </w:r>
      <w:r>
        <w:rPr>
          <w:rFonts w:ascii="Shofar" w:hAnsi="Shofar"/>
          <w:rtl/>
        </w:rPr>
        <w:t>ר</w:t>
      </w:r>
      <w:r>
        <w:rPr>
          <w:rFonts w:ascii="Shofar" w:hAnsi="Shofar" w:cs="Shofar"/>
          <w:rtl/>
        </w:rPr>
        <w:t>"</w:t>
      </w:r>
      <w:r>
        <w:rPr>
          <w:rFonts w:ascii="Shofar" w:hAnsi="Shofar"/>
          <w:rtl/>
        </w:rPr>
        <w:t>ל</w:t>
      </w:r>
      <w:r>
        <w:rPr>
          <w:rFonts w:ascii="Shofar" w:hAnsi="Shofar" w:cs="Shofar"/>
          <w:rtl/>
        </w:rPr>
        <w:t xml:space="preserve">, </w:t>
      </w:r>
      <w:r>
        <w:rPr>
          <w:rFonts w:ascii="Shofar" w:hAnsi="Shofar"/>
          <w:rtl/>
        </w:rPr>
        <w:t>מה שזה עושה הוא דבר חלוק ממה שזה עושה</w:t>
      </w:r>
      <w:r>
        <w:rPr>
          <w:rFonts w:ascii="Shofar" w:hAnsi="Shofar" w:cs="Shofar"/>
          <w:rtl/>
        </w:rPr>
        <w:t>. (</w:t>
      </w:r>
      <w:r>
        <w:rPr>
          <w:rFonts w:ascii="Shofar" w:hAnsi="Shofar"/>
          <w:rtl/>
        </w:rPr>
        <w:t>עיין כאן</w:t>
      </w:r>
      <w:r>
        <w:rPr>
          <w:rFonts w:ascii="Shofar" w:hAnsi="Shofar" w:cs="Shofar"/>
          <w:rtl/>
        </w:rPr>
        <w:t>.</w:t>
      </w:r>
      <w:r>
        <w:rPr>
          <w:rStyle w:val="FootnoteReference1"/>
          <w:rFonts w:ascii="Shofar" w:hAnsi="Shofar" w:cs="Shofar"/>
          <w:rtl/>
        </w:rPr>
        <w:footnoteReference w:id="14"/>
      </w:r>
      <w:r>
        <w:rPr>
          <w:rFonts w:ascii="Shofar" w:hAnsi="Shofar" w:cs="Shofar"/>
          <w:rtl/>
        </w:rPr>
        <w:t>)</w:t>
      </w:r>
    </w:p>
    <w:p w:rsidR="002053B9" w:rsidRDefault="005A1E4A">
      <w:pPr>
        <w:numPr>
          <w:ilvl w:val="1"/>
          <w:numId w:val="12"/>
        </w:numPr>
        <w:rPr>
          <w:rFonts w:ascii="Shofar" w:hAnsi="Shofar" w:cs="Shofar"/>
        </w:rPr>
      </w:pPr>
      <w:r>
        <w:rPr>
          <w:rFonts w:ascii="Shofar" w:hAnsi="Shofar"/>
          <w:rtl/>
        </w:rPr>
        <w:t>לצד שני</w:t>
      </w:r>
      <w:r>
        <w:rPr>
          <w:rFonts w:ascii="Shofar" w:hAnsi="Shofar" w:cs="Shofar"/>
          <w:rtl/>
        </w:rPr>
        <w:t xml:space="preserve">, </w:t>
      </w:r>
      <w:r>
        <w:rPr>
          <w:rFonts w:ascii="Shofar" w:hAnsi="Shofar"/>
          <w:rtl/>
        </w:rPr>
        <w:t xml:space="preserve">מוכיח שאינו </w:t>
      </w:r>
      <w:r>
        <w:rPr>
          <w:rFonts w:ascii="Shofar" w:hAnsi="Shofar"/>
          <w:rtl/>
        </w:rPr>
        <w:t>כן</w:t>
      </w:r>
      <w:r>
        <w:rPr>
          <w:rFonts w:ascii="Shofar" w:hAnsi="Shofar" w:cs="Shofar"/>
          <w:rtl/>
        </w:rPr>
        <w:t xml:space="preserve">. </w:t>
      </w:r>
      <w:r>
        <w:rPr>
          <w:rFonts w:ascii="Shofar" w:hAnsi="Shofar"/>
          <w:rtl/>
        </w:rPr>
        <w:t>אז</w:t>
      </w:r>
      <w:r>
        <w:rPr>
          <w:rFonts w:ascii="Shofar" w:hAnsi="Shofar" w:cs="Shofar"/>
          <w:rtl/>
        </w:rPr>
        <w:t xml:space="preserve">, </w:t>
      </w:r>
      <w:r>
        <w:rPr>
          <w:rFonts w:ascii="Shofar" w:hAnsi="Shofar"/>
          <w:rtl/>
        </w:rPr>
        <w:t>אומר שאין אלו סיבות חזקות</w:t>
      </w:r>
      <w:r>
        <w:rPr>
          <w:rFonts w:ascii="Shofar" w:hAnsi="Shofar" w:cs="Shofar"/>
          <w:rtl/>
        </w:rPr>
        <w:t>.</w:t>
      </w:r>
      <w:r>
        <w:rPr>
          <w:rStyle w:val="FootnoteReference1"/>
          <w:rFonts w:ascii="Shofar" w:hAnsi="Shofar" w:cs="Shofar"/>
          <w:rtl/>
        </w:rPr>
        <w:footnoteReference w:id="15"/>
      </w:r>
    </w:p>
    <w:p w:rsidR="002053B9" w:rsidRDefault="002053B9">
      <w:pPr>
        <w:ind w:left="720"/>
      </w:pPr>
    </w:p>
    <w:p w:rsidR="002053B9" w:rsidRDefault="005A1E4A">
      <w:pPr>
        <w:ind w:left="720"/>
        <w:rPr>
          <w:rFonts w:ascii="Shofar" w:hAnsi="Shofar" w:cs="Shofar"/>
        </w:rPr>
      </w:pPr>
      <w:r>
        <w:rPr>
          <w:rFonts w:ascii="Shofar" w:hAnsi="Shofar"/>
          <w:rtl/>
        </w:rPr>
        <w:t>דיחוי גמרא כאן הוא שדנים רק באיסורי נשים</w:t>
      </w:r>
      <w:r>
        <w:rPr>
          <w:rFonts w:ascii="Shofar" w:hAnsi="Shofar" w:cs="Shofar"/>
          <w:rtl/>
        </w:rPr>
        <w:t xml:space="preserve">. </w:t>
      </w:r>
    </w:p>
    <w:p w:rsidR="002053B9" w:rsidRDefault="005A1E4A">
      <w:pPr>
        <w:numPr>
          <w:ilvl w:val="1"/>
          <w:numId w:val="31"/>
        </w:numPr>
        <w:rPr>
          <w:rFonts w:ascii="Shofar" w:hAnsi="Shofar" w:cs="Shofar"/>
        </w:rPr>
      </w:pPr>
      <w:r>
        <w:rPr>
          <w:rFonts w:ascii="Shofar" w:hAnsi="Shofar"/>
          <w:rtl/>
        </w:rPr>
        <w:t>לצד ראשון</w:t>
      </w:r>
      <w:r>
        <w:rPr>
          <w:rFonts w:ascii="Shofar" w:hAnsi="Shofar" w:cs="Shofar"/>
          <w:rtl/>
        </w:rPr>
        <w:t>:</w:t>
      </w:r>
    </w:p>
    <w:p w:rsidR="002053B9" w:rsidRDefault="005A1E4A">
      <w:pPr>
        <w:numPr>
          <w:ilvl w:val="2"/>
          <w:numId w:val="32"/>
        </w:numPr>
        <w:rPr>
          <w:rFonts w:ascii="Shofar" w:hAnsi="Shofar" w:cs="Shofar"/>
        </w:rPr>
      </w:pPr>
      <w:r>
        <w:rPr>
          <w:rFonts w:ascii="Shofar" w:hAnsi="Shofar"/>
          <w:rtl/>
        </w:rPr>
        <w:t>אולי יותר קל להיות נקרא חפץ חלוק לגבי שאר בני אדם כשדנים באיסור אכילת חפץ מכשדנים באיסור אישה לבעילה</w:t>
      </w:r>
      <w:r>
        <w:rPr>
          <w:rFonts w:ascii="Shofar" w:hAnsi="Shofar" w:cs="Shofar"/>
          <w:rtl/>
        </w:rPr>
        <w:t>.</w:t>
      </w:r>
      <w:r>
        <w:rPr>
          <w:rStyle w:val="FootnoteReference1"/>
          <w:rFonts w:ascii="Shofar" w:hAnsi="Shofar" w:cs="Shofar"/>
          <w:rtl/>
        </w:rPr>
        <w:footnoteReference w:id="16"/>
      </w:r>
      <w:r>
        <w:rPr>
          <w:rFonts w:ascii="Shofar" w:hAnsi="Shofar" w:cs="Shofar"/>
          <w:rtl/>
        </w:rPr>
        <w:t xml:space="preserve"> </w:t>
      </w:r>
    </w:p>
    <w:p w:rsidR="002053B9" w:rsidRDefault="005A1E4A">
      <w:pPr>
        <w:numPr>
          <w:ilvl w:val="2"/>
          <w:numId w:val="12"/>
        </w:numPr>
        <w:rPr>
          <w:rFonts w:ascii="Shofar" w:hAnsi="Shofar" w:cs="Shofar"/>
        </w:rPr>
      </w:pPr>
      <w:r>
        <w:rPr>
          <w:rFonts w:ascii="Shofar" w:hAnsi="Shofar"/>
          <w:rtl/>
        </w:rPr>
        <w:t>אולי יותר קל לומר שחילוקים בין בני אדם עושים מעשים שלהם חלוקי</w:t>
      </w:r>
      <w:r>
        <w:rPr>
          <w:rFonts w:ascii="Shofar" w:hAnsi="Shofar"/>
          <w:rtl/>
        </w:rPr>
        <w:t>ם לענין האיסור גבי איסורי אכילה מגבי איסורי ביאה</w:t>
      </w:r>
      <w:r>
        <w:rPr>
          <w:rFonts w:ascii="Shofar" w:hAnsi="Shofar" w:cs="Shofar"/>
          <w:rtl/>
        </w:rPr>
        <w:t xml:space="preserve">. </w:t>
      </w:r>
      <w:r>
        <w:rPr>
          <w:rFonts w:ascii="Shofar" w:hAnsi="Shofar"/>
          <w:rtl/>
        </w:rPr>
        <w:t xml:space="preserve">אפשר שיש יותר חילוק באכילות בני אדם </w:t>
      </w:r>
      <w:r>
        <w:rPr>
          <w:rFonts w:ascii="Shofar" w:hAnsi="Shofar" w:cs="Shofar"/>
          <w:rtl/>
        </w:rPr>
        <w:t>(</w:t>
      </w:r>
      <w:r>
        <w:rPr>
          <w:rFonts w:ascii="Shofar" w:hAnsi="Shofar"/>
          <w:rtl/>
        </w:rPr>
        <w:t>אוכלים באופן חלוק</w:t>
      </w:r>
      <w:r>
        <w:rPr>
          <w:rFonts w:ascii="Shofar" w:hAnsi="Shofar" w:cs="Shofar"/>
          <w:rtl/>
        </w:rPr>
        <w:t xml:space="preserve">) </w:t>
      </w:r>
      <w:r>
        <w:rPr>
          <w:rFonts w:ascii="Shofar" w:hAnsi="Shofar"/>
          <w:rtl/>
        </w:rPr>
        <w:t>או אותו חילוק שיש הוא יותר נתחשב לאכילה</w:t>
      </w:r>
      <w:r>
        <w:rPr>
          <w:rStyle w:val="FootnoteReference1"/>
          <w:rFonts w:ascii="Shofar" w:hAnsi="Shofar"/>
          <w:rtl/>
        </w:rPr>
        <w:footnoteReference w:id="17"/>
      </w:r>
      <w:r>
        <w:rPr>
          <w:rFonts w:ascii="Shofar" w:hAnsi="Shofar" w:cs="Shofar"/>
          <w:rtl/>
        </w:rPr>
        <w:t xml:space="preserve">. </w:t>
      </w:r>
      <w:r>
        <w:rPr>
          <w:rFonts w:ascii="Shofar" w:hAnsi="Shofar"/>
          <w:rtl/>
        </w:rPr>
        <w:t>שנים אלו עדיין צריכים ביאור</w:t>
      </w:r>
      <w:r>
        <w:rPr>
          <w:rFonts w:ascii="Shofar" w:hAnsi="Shofar" w:cs="Shofar"/>
          <w:rtl/>
        </w:rPr>
        <w:t>.</w:t>
      </w:r>
      <w:r>
        <w:rPr>
          <w:rStyle w:val="FootnoteReference1"/>
          <w:rFonts w:ascii="Shofar" w:hAnsi="Shofar" w:cs="Shofar"/>
          <w:rtl/>
        </w:rPr>
        <w:footnoteReference w:id="18"/>
      </w:r>
    </w:p>
    <w:p w:rsidR="002053B9" w:rsidRDefault="005A1E4A">
      <w:pPr>
        <w:numPr>
          <w:ilvl w:val="1"/>
          <w:numId w:val="12"/>
        </w:numPr>
        <w:rPr>
          <w:rFonts w:ascii="Shofar" w:hAnsi="Shofar" w:cs="Shofar"/>
        </w:rPr>
      </w:pPr>
      <w:r>
        <w:rPr>
          <w:rFonts w:ascii="Shofar" w:hAnsi="Shofar"/>
          <w:rtl/>
        </w:rPr>
        <w:t>לצד שני</w:t>
      </w:r>
      <w:r>
        <w:rPr>
          <w:rFonts w:ascii="Shofar" w:hAnsi="Shofar" w:cs="Shofar"/>
          <w:rtl/>
        </w:rPr>
        <w:t>:</w:t>
      </w:r>
    </w:p>
    <w:p w:rsidR="002053B9" w:rsidRDefault="005A1E4A">
      <w:pPr>
        <w:ind w:left="1080"/>
        <w:rPr>
          <w:rFonts w:ascii="Shofar" w:hAnsi="Shofar" w:cs="Shofar"/>
        </w:rPr>
      </w:pPr>
      <w:r>
        <w:rPr>
          <w:rFonts w:ascii="Shofar" w:hAnsi="Shofar"/>
          <w:rtl/>
        </w:rPr>
        <w:t>לכל אלו</w:t>
      </w:r>
      <w:r>
        <w:rPr>
          <w:rFonts w:ascii="Shofar" w:hAnsi="Shofar" w:cs="Shofar"/>
          <w:rtl/>
        </w:rPr>
        <w:t xml:space="preserve">, </w:t>
      </w:r>
      <w:r>
        <w:rPr>
          <w:rFonts w:ascii="Shofar" w:hAnsi="Shofar"/>
          <w:rtl/>
        </w:rPr>
        <w:t>אומר אחד משני דברים</w:t>
      </w:r>
      <w:r>
        <w:rPr>
          <w:rFonts w:ascii="Shofar" w:hAnsi="Shofar" w:cs="Shofar"/>
          <w:rtl/>
        </w:rPr>
        <w:t>:</w:t>
      </w:r>
    </w:p>
    <w:p w:rsidR="002053B9" w:rsidRDefault="005A1E4A">
      <w:pPr>
        <w:numPr>
          <w:ilvl w:val="2"/>
          <w:numId w:val="12"/>
        </w:numPr>
        <w:rPr>
          <w:rFonts w:ascii="Shofar" w:hAnsi="Shofar" w:cs="Shofar"/>
        </w:rPr>
      </w:pPr>
      <w:r>
        <w:rPr>
          <w:rFonts w:ascii="Shofar" w:hAnsi="Shofar"/>
          <w:rtl/>
        </w:rPr>
        <w:t>אולי באיסור אשה יש יותר סיבה להחמיר</w:t>
      </w:r>
      <w:r>
        <w:rPr>
          <w:rFonts w:ascii="Shofar" w:hAnsi="Shofar" w:cs="Shofar"/>
          <w:rtl/>
        </w:rPr>
        <w:t>.</w:t>
      </w:r>
      <w:r>
        <w:rPr>
          <w:rStyle w:val="FootnoteReference1"/>
          <w:rFonts w:ascii="Shofar" w:hAnsi="Shofar" w:cs="Shofar"/>
          <w:rtl/>
        </w:rPr>
        <w:footnoteReference w:id="19"/>
      </w:r>
    </w:p>
    <w:p w:rsidR="002053B9" w:rsidRDefault="005A1E4A">
      <w:pPr>
        <w:numPr>
          <w:ilvl w:val="2"/>
          <w:numId w:val="12"/>
        </w:numPr>
        <w:rPr>
          <w:rFonts w:ascii="Shofar" w:hAnsi="Shofar" w:cs="Shofar"/>
        </w:rPr>
      </w:pPr>
      <w:r>
        <w:rPr>
          <w:rFonts w:ascii="Shofar" w:hAnsi="Shofar"/>
          <w:rtl/>
        </w:rPr>
        <w:t xml:space="preserve">אולי באיסור אשה יותר קל להחמיר </w:t>
      </w:r>
      <w:r>
        <w:rPr>
          <w:rFonts w:ascii="Shofar" w:hAnsi="Shofar" w:cs="Shofar"/>
          <w:rtl/>
        </w:rPr>
        <w:t>(</w:t>
      </w:r>
      <w:r>
        <w:rPr>
          <w:rFonts w:ascii="Shofar" w:hAnsi="Shofar"/>
          <w:rtl/>
        </w:rPr>
        <w:t>יש פחות סיבה להקל</w:t>
      </w:r>
      <w:r>
        <w:rPr>
          <w:rFonts w:ascii="Shofar" w:hAnsi="Shofar" w:cs="Shofar"/>
          <w:rtl/>
        </w:rPr>
        <w:t>).</w:t>
      </w:r>
      <w:r>
        <w:rPr>
          <w:rStyle w:val="FootnoteReference1"/>
          <w:rFonts w:ascii="Shofar" w:hAnsi="Shofar" w:cs="Shofar"/>
          <w:rtl/>
        </w:rPr>
        <w:footnoteReference w:id="20"/>
      </w:r>
    </w:p>
    <w:p w:rsidR="002053B9" w:rsidRDefault="005A1E4A">
      <w:pPr>
        <w:numPr>
          <w:ilvl w:val="0"/>
          <w:numId w:val="12"/>
        </w:numPr>
        <w:rPr>
          <w:rFonts w:ascii="Shofar" w:hAnsi="Shofar" w:cs="Shofar"/>
        </w:rPr>
      </w:pPr>
      <w:r>
        <w:rPr>
          <w:rFonts w:ascii="Shofar" w:hAnsi="Shofar"/>
          <w:rtl/>
        </w:rPr>
        <w:t>עריות אסורים רק למקצת</w:t>
      </w:r>
      <w:r>
        <w:rPr>
          <w:rFonts w:ascii="Shofar" w:hAnsi="Shofar" w:cs="Shofar"/>
          <w:rtl/>
        </w:rPr>
        <w:t xml:space="preserve">. </w:t>
      </w:r>
      <w:r>
        <w:rPr>
          <w:rFonts w:ascii="Shofar" w:hAnsi="Shofar"/>
          <w:rtl/>
        </w:rPr>
        <w:t>דוחה גמרא שלא מצאנו כן באיסור אישות</w:t>
      </w:r>
      <w:r>
        <w:rPr>
          <w:rFonts w:ascii="Shofar" w:hAnsi="Shofar" w:cs="Shofar"/>
          <w:rtl/>
        </w:rPr>
        <w:t xml:space="preserve">. </w:t>
      </w:r>
      <w:r>
        <w:rPr>
          <w:rFonts w:ascii="Shofar" w:hAnsi="Shofar"/>
          <w:rtl/>
        </w:rPr>
        <w:t>נראה שהשקלא וטריא כאן הוא כעין מה שכתבנו לעיל</w:t>
      </w:r>
      <w:r>
        <w:rPr>
          <w:rFonts w:ascii="Shofar" w:hAnsi="Shofar" w:cs="Shofar"/>
          <w:rtl/>
        </w:rPr>
        <w:t>.</w:t>
      </w:r>
    </w:p>
    <w:p w:rsidR="002053B9" w:rsidRDefault="005A1E4A">
      <w:pPr>
        <w:numPr>
          <w:ilvl w:val="0"/>
          <w:numId w:val="12"/>
        </w:numPr>
        <w:rPr>
          <w:rFonts w:ascii="Shofar" w:hAnsi="Shofar" w:cs="Shofar"/>
        </w:rPr>
      </w:pPr>
      <w:r>
        <w:rPr>
          <w:rFonts w:ascii="Shofar" w:hAnsi="Shofar"/>
          <w:rtl/>
        </w:rPr>
        <w:t>אשת איש אסורה רק למקצת</w:t>
      </w:r>
      <w:r>
        <w:rPr>
          <w:rFonts w:ascii="Shofar" w:hAnsi="Shofar" w:cs="Shofar"/>
          <w:rtl/>
        </w:rPr>
        <w:t xml:space="preserve">, </w:t>
      </w:r>
      <w:r>
        <w:rPr>
          <w:rFonts w:ascii="Shofar" w:hAnsi="Shofar"/>
          <w:rtl/>
        </w:rPr>
        <w:t>שמותרת לבעלה</w:t>
      </w:r>
      <w:r>
        <w:rPr>
          <w:rFonts w:ascii="Shofar" w:hAnsi="Shofar" w:cs="Shofar"/>
          <w:rtl/>
        </w:rPr>
        <w:t>.</w:t>
      </w:r>
    </w:p>
    <w:p w:rsidR="002053B9" w:rsidRDefault="002053B9">
      <w:pPr>
        <w:rPr>
          <w:rFonts w:ascii="Shofar" w:hAnsi="Shofar" w:cs="Shofar"/>
        </w:rPr>
      </w:pPr>
    </w:p>
    <w:p w:rsidR="002053B9" w:rsidRDefault="005A1E4A">
      <w:pPr>
        <w:rPr>
          <w:rFonts w:ascii="Shofar" w:hAnsi="Shofar" w:cs="Shofar"/>
        </w:rPr>
      </w:pPr>
      <w:r>
        <w:rPr>
          <w:rFonts w:ascii="Shofar" w:hAnsi="Shofar"/>
          <w:rtl/>
        </w:rPr>
        <w:t>הדיחוי צריך ביאור</w:t>
      </w:r>
      <w:r>
        <w:rPr>
          <w:rFonts w:ascii="Shofar" w:hAnsi="Shofar" w:cs="Shofar"/>
          <w:rtl/>
        </w:rPr>
        <w:t xml:space="preserve">, </w:t>
      </w:r>
      <w:r>
        <w:rPr>
          <w:rFonts w:ascii="Shofar" w:hAnsi="Shofar"/>
          <w:rtl/>
        </w:rPr>
        <w:t>שלכאורה</w:t>
      </w:r>
      <w:r>
        <w:rPr>
          <w:rFonts w:ascii="Shofar" w:hAnsi="Shofar" w:cs="Shofar"/>
          <w:rtl/>
        </w:rPr>
        <w:t xml:space="preserve">, </w:t>
      </w:r>
      <w:r>
        <w:rPr>
          <w:rFonts w:ascii="Shofar" w:hAnsi="Shofar"/>
          <w:rtl/>
        </w:rPr>
        <w:t xml:space="preserve">פשוט לומר שיש יותר חילוק בין </w:t>
      </w:r>
      <w:r>
        <w:rPr>
          <w:rFonts w:ascii="Shofar" w:hAnsi="Shofar"/>
          <w:rtl/>
        </w:rPr>
        <w:t xml:space="preserve">בעל </w:t>
      </w:r>
      <w:r>
        <w:rPr>
          <w:rFonts w:ascii="Shofar" w:hAnsi="Shofar" w:cs="Shofar"/>
          <w:rtl/>
        </w:rPr>
        <w:t>(</w:t>
      </w:r>
      <w:r>
        <w:rPr>
          <w:rFonts w:ascii="Shofar" w:hAnsi="Shofar"/>
          <w:rtl/>
        </w:rPr>
        <w:t>שהוא בעל שלה</w:t>
      </w:r>
      <w:r>
        <w:rPr>
          <w:rFonts w:ascii="Shofar" w:hAnsi="Shofar" w:cs="Shofar"/>
          <w:rtl/>
        </w:rPr>
        <w:t xml:space="preserve">) </w:t>
      </w:r>
      <w:r>
        <w:rPr>
          <w:rFonts w:ascii="Shofar" w:hAnsi="Shofar"/>
          <w:rtl/>
        </w:rPr>
        <w:t>לאחר ממה שיש בין איש זה לאחר</w:t>
      </w:r>
      <w:r>
        <w:rPr>
          <w:rFonts w:ascii="Shofar" w:hAnsi="Shofar" w:cs="Shofar"/>
          <w:rtl/>
        </w:rPr>
        <w:t xml:space="preserve">. </w:t>
      </w:r>
      <w:r>
        <w:rPr>
          <w:rFonts w:ascii="Shofar" w:hAnsi="Shofar"/>
          <w:rtl/>
        </w:rPr>
        <w:t>יש לומר</w:t>
      </w:r>
      <w:r>
        <w:rPr>
          <w:rFonts w:ascii="Shofar" w:hAnsi="Shofar" w:cs="Shofar"/>
          <w:rtl/>
        </w:rPr>
        <w:t>:</w:t>
      </w:r>
    </w:p>
    <w:p w:rsidR="002053B9" w:rsidRDefault="005A1E4A">
      <w:pPr>
        <w:numPr>
          <w:ilvl w:val="0"/>
          <w:numId w:val="15"/>
        </w:numPr>
      </w:pPr>
      <w:r>
        <w:rPr>
          <w:rtl/>
        </w:rPr>
        <w:t>אולי רבי יוסי היה סובר שאין בני אדם חלוקים בחילוק חשוב שיחלק לענין דינים. גמרא רק מנסה להוכיח שכיון ששני בני האדם חלוקים (או כעין זה, כמו שכתבנו), יכול להיות חילוק בין האיסורים. צריך ביאור, שלכאורה,</w:t>
      </w:r>
      <w:r>
        <w:rPr>
          <w:rtl/>
        </w:rPr>
        <w:t xml:space="preserve"> זה פשוט.</w:t>
      </w:r>
    </w:p>
    <w:p w:rsidR="002053B9" w:rsidRDefault="005A1E4A">
      <w:pPr>
        <w:numPr>
          <w:ilvl w:val="0"/>
          <w:numId w:val="15"/>
        </w:numPr>
      </w:pPr>
      <w:r>
        <w:rPr>
          <w:rtl/>
        </w:rPr>
        <w:t xml:space="preserve">אולי רבי יוסי היה סובר שאיסורי אישות לא באים מחמת יחס של בעל לה, אלא שיחס של בעל לה גורם שינוי בה, ואותו שינוי נעשה לכל, ואז היא אסורה. אז, ממילא, גירושין רק אפשר לשנות מה שנעשה לה, ואז תהיה מותרת לכל, אבל לא יוכל לאסור רק למקצת בני אדם, שהרי, </w:t>
      </w:r>
      <w:r>
        <w:rPr>
          <w:rtl/>
        </w:rPr>
        <w:t>אין האיסור תלוי ביחס שנוכל לומר שהוא שם למקצת בני אדם. ותחשב. אז, גמרא רק מוכיח שאישות הוא דבר שיכול להיחלק בין בני אדם. וצריך ביאור.</w:t>
      </w:r>
    </w:p>
    <w:p w:rsidR="002053B9" w:rsidRDefault="002053B9"/>
    <w:p w:rsidR="002053B9" w:rsidRDefault="005A1E4A">
      <w:r>
        <w:rPr>
          <w:rtl/>
        </w:rPr>
        <w:t>יש להעיר שיש ציורים אחרים שמוכיחים כן. איש אינו יכול לבעול אשת איש, אבל איש יכול לבעול אשה אחרת. אז, צריך לומר שחילוק בני</w:t>
      </w:r>
      <w:r>
        <w:rPr>
          <w:rtl/>
        </w:rPr>
        <w:t xml:space="preserve"> אדם גורם דינים חלוקים. יש להשיב על זה בכמה אופנים:</w:t>
      </w:r>
    </w:p>
    <w:p w:rsidR="002053B9" w:rsidRDefault="005A1E4A">
      <w:pPr>
        <w:numPr>
          <w:ilvl w:val="0"/>
          <w:numId w:val="17"/>
        </w:numPr>
      </w:pPr>
      <w:r>
        <w:rPr>
          <w:rtl/>
        </w:rPr>
        <w:t>אולי יש יותר חילוק בין אשה נשואה לאשה שלא נשואה לאחר ממה שיש בין איש נשוי לה לאיש שאינו נשוי לה. ויש לדון.</w:t>
      </w:r>
    </w:p>
    <w:p w:rsidR="002053B9" w:rsidRDefault="005A1E4A">
      <w:pPr>
        <w:numPr>
          <w:ilvl w:val="0"/>
          <w:numId w:val="17"/>
        </w:numPr>
      </w:pPr>
      <w:r>
        <w:rPr>
          <w:rtl/>
        </w:rPr>
        <w:t>אולי חילוק באשה יותר ישנה הדין מחילוק באיש.</w:t>
      </w:r>
    </w:p>
    <w:p w:rsidR="002053B9" w:rsidRDefault="005A1E4A">
      <w:pPr>
        <w:numPr>
          <w:ilvl w:val="0"/>
          <w:numId w:val="17"/>
        </w:numPr>
      </w:pPr>
      <w:r>
        <w:rPr>
          <w:rtl/>
        </w:rPr>
        <w:t>אולי היה אפשר לגמרא להוכיח מזה, אבל היה לו ציור אחר.</w:t>
      </w:r>
    </w:p>
    <w:p w:rsidR="002053B9" w:rsidRDefault="005A1E4A">
      <w:pPr>
        <w:numPr>
          <w:ilvl w:val="0"/>
          <w:numId w:val="17"/>
        </w:numPr>
      </w:pPr>
      <w:r>
        <w:rPr>
          <w:rtl/>
        </w:rPr>
        <w:t>אולי גמרא רוצה להוכיח מהו יסוד של איסור אשת איש- והוא, שהיא רעה, ולכן אין לחלק. לא רואים נגד זה מכאן, שלא רואים חילוק באיסור אשת איש. במאת, זה אומר דבר שווה ל</w:t>
      </w:r>
      <w:r>
        <w:t>2</w:t>
      </w:r>
      <w:r>
        <w:rPr>
          <w:rtl/>
        </w:rPr>
        <w:t xml:space="preserve"> (חילוק באשה חלוק מחילוק באיש), אבל עושה דבר חלוק עמו (עושה שלא יכולים להוכיח דבר לענין קידושין).</w:t>
      </w:r>
      <w:r>
        <w:rPr>
          <w:rtl/>
        </w:rPr>
        <w:t xml:space="preserve"> ותחשב.</w:t>
      </w:r>
    </w:p>
    <w:p w:rsidR="002053B9" w:rsidRDefault="002053B9"/>
    <w:p w:rsidR="002053B9" w:rsidRDefault="005A1E4A">
      <w:pPr>
        <w:pStyle w:val="Heading2"/>
        <w:rPr>
          <w:rFonts w:cs="Shofar"/>
        </w:rPr>
      </w:pPr>
      <w:bookmarkStart w:id="8" w:name="_Toc135840622"/>
      <w:r>
        <w:rPr>
          <w:rtl/>
        </w:rPr>
        <w:t>מה הניח</w:t>
      </w:r>
      <w:r>
        <w:rPr>
          <w:rFonts w:cs="Shofar"/>
          <w:rtl/>
        </w:rPr>
        <w:t>:</w:t>
      </w:r>
      <w:bookmarkEnd w:id="8"/>
      <w:r>
        <w:rPr>
          <w:rFonts w:cs="Shofar"/>
          <w:rtl/>
        </w:rPr>
        <w:t xml:space="preserve"> </w:t>
      </w:r>
    </w:p>
    <w:p w:rsidR="002053B9" w:rsidRDefault="005A1E4A">
      <w:pPr>
        <w:rPr>
          <w:rFonts w:ascii="Shofar" w:hAnsi="Shofar" w:cs="Shofar"/>
        </w:rPr>
      </w:pPr>
      <w:r>
        <w:rPr>
          <w:rFonts w:ascii="Shofar" w:hAnsi="Shofar"/>
          <w:rtl/>
        </w:rPr>
        <w:t>לא אפשר שקאי בעל מנת</w:t>
      </w:r>
      <w:r>
        <w:rPr>
          <w:rFonts w:ascii="Shofar" w:hAnsi="Shofar" w:cs="Shofar"/>
          <w:rtl/>
        </w:rPr>
        <w:t xml:space="preserve">, </w:t>
      </w:r>
      <w:r>
        <w:rPr>
          <w:rFonts w:ascii="Shofar" w:hAnsi="Shofar"/>
          <w:rtl/>
        </w:rPr>
        <w:t>שלא נקרא אסורה לזה ומותרת לזה</w:t>
      </w:r>
      <w:r>
        <w:rPr>
          <w:rFonts w:ascii="Shofar" w:hAnsi="Shofar" w:cs="Shofar"/>
          <w:rtl/>
        </w:rPr>
        <w:t xml:space="preserve">, </w:t>
      </w:r>
      <w:r>
        <w:rPr>
          <w:rFonts w:ascii="Shofar" w:hAnsi="Shofar"/>
          <w:rtl/>
        </w:rPr>
        <w:t>שמותרת לשניהם בביאה</w:t>
      </w:r>
      <w:r>
        <w:rPr>
          <w:rFonts w:ascii="Shofar" w:hAnsi="Shofar" w:cs="Shofar"/>
          <w:rtl/>
        </w:rPr>
        <w:t xml:space="preserve">. </w:t>
      </w:r>
      <w:r>
        <w:rPr>
          <w:rFonts w:ascii="Shofar" w:hAnsi="Shofar"/>
          <w:rtl/>
        </w:rPr>
        <w:t>אז</w:t>
      </w:r>
      <w:r>
        <w:rPr>
          <w:rFonts w:ascii="Shofar" w:hAnsi="Shofar" w:cs="Shofar"/>
          <w:rtl/>
        </w:rPr>
        <w:t xml:space="preserve">, </w:t>
      </w:r>
      <w:r>
        <w:rPr>
          <w:rFonts w:ascii="Shofar" w:hAnsi="Shofar"/>
          <w:rtl/>
        </w:rPr>
        <w:t>צריך לומר שהניח שחולקים בחוץ</w:t>
      </w:r>
      <w:r>
        <w:rPr>
          <w:rFonts w:ascii="Shofar" w:hAnsi="Shofar" w:cs="Shofar"/>
          <w:rtl/>
        </w:rPr>
        <w:t>.</w:t>
      </w:r>
    </w:p>
    <w:p w:rsidR="002053B9" w:rsidRDefault="002053B9">
      <w:pPr>
        <w:rPr>
          <w:rFonts w:ascii="Shofar" w:hAnsi="Shofar" w:cs="Shofar"/>
        </w:rPr>
      </w:pPr>
    </w:p>
    <w:p w:rsidR="002053B9" w:rsidRDefault="005A1E4A">
      <w:pPr>
        <w:rPr>
          <w:rFonts w:ascii="Shofar" w:hAnsi="Shofar" w:cs="Shofar"/>
        </w:rPr>
      </w:pPr>
      <w:r>
        <w:rPr>
          <w:rFonts w:ascii="Shofar" w:hAnsi="Shofar"/>
          <w:rtl/>
        </w:rPr>
        <w:t>לכאורה</w:t>
      </w:r>
      <w:r>
        <w:rPr>
          <w:rFonts w:ascii="Shofar" w:hAnsi="Shofar" w:cs="Shofar"/>
          <w:rtl/>
        </w:rPr>
        <w:t xml:space="preserve">, </w:t>
      </w:r>
      <w:r>
        <w:rPr>
          <w:rFonts w:ascii="Shofar" w:hAnsi="Shofar"/>
          <w:rtl/>
        </w:rPr>
        <w:t>צריך ביאור למה לא יכול להיות לנו הוכחה כעין מה שאומר גמרא</w:t>
      </w:r>
      <w:r>
        <w:rPr>
          <w:rFonts w:ascii="Shofar" w:hAnsi="Shofar" w:cs="Shofar"/>
          <w:rtl/>
        </w:rPr>
        <w:t xml:space="preserve">, </w:t>
      </w:r>
      <w:r>
        <w:rPr>
          <w:rFonts w:ascii="Shofar" w:hAnsi="Shofar"/>
          <w:rtl/>
        </w:rPr>
        <w:t>והוא שלא יהיה אפשר שלא יחול נישואים לזה אבל יחולו לזה</w:t>
      </w:r>
      <w:r>
        <w:rPr>
          <w:rFonts w:ascii="Shofar" w:hAnsi="Shofar" w:cs="Shofar"/>
          <w:rtl/>
        </w:rPr>
        <w:t xml:space="preserve">. </w:t>
      </w:r>
      <w:r>
        <w:rPr>
          <w:rFonts w:ascii="Shofar" w:hAnsi="Shofar"/>
          <w:rtl/>
        </w:rPr>
        <w:t xml:space="preserve">נראה </w:t>
      </w:r>
      <w:r>
        <w:rPr>
          <w:rFonts w:ascii="Shofar" w:hAnsi="Shofar"/>
          <w:rtl/>
        </w:rPr>
        <w:t>שני צדדים ליישב את זה</w:t>
      </w:r>
      <w:r>
        <w:rPr>
          <w:rFonts w:ascii="Shofar" w:hAnsi="Shofar" w:cs="Shofar"/>
          <w:rtl/>
        </w:rPr>
        <w:t>:</w:t>
      </w:r>
    </w:p>
    <w:p w:rsidR="002053B9" w:rsidRDefault="005A1E4A">
      <w:pPr>
        <w:numPr>
          <w:ilvl w:val="0"/>
          <w:numId w:val="16"/>
        </w:numPr>
      </w:pPr>
      <w:r>
        <w:rPr>
          <w:rtl/>
        </w:rPr>
        <w:t xml:space="preserve">אין ההוכחה גבי נשואים, כמו שהוא גבי ביאה. לצד שני (שהוא סיבה), קל לבאר שיהיה סיבה לאסור אבל לא יהיה סיבה שלא יחול הנשואים. אבל, לצד ראשון, יותר קשה לבאר. איני מבין, כל כך, למה לא יסבור גמרא כביאורים שכתבנו לחלק בין איש לאיש, ואז קשה </w:t>
      </w:r>
      <w:r>
        <w:rPr>
          <w:rtl/>
        </w:rPr>
        <w:t>לבאר למה, אבל אולי גמרא חושב שאותם סברות הם יותר נכונים גבי נישואים מגבי איסור</w:t>
      </w:r>
      <w:r>
        <w:rPr>
          <w:rStyle w:val="FootnoteReference1"/>
          <w:rtl/>
        </w:rPr>
        <w:footnoteReference w:id="21"/>
      </w:r>
      <w:r>
        <w:rPr>
          <w:rtl/>
        </w:rPr>
        <w:t>. ותחשב.</w:t>
      </w:r>
    </w:p>
    <w:p w:rsidR="002053B9" w:rsidRDefault="005A1E4A">
      <w:pPr>
        <w:numPr>
          <w:ilvl w:val="0"/>
          <w:numId w:val="16"/>
        </w:numPr>
      </w:pPr>
      <w:r>
        <w:rPr>
          <w:rtl/>
        </w:rPr>
        <w:t>לא מקשה מן הדין (איך הוא תשובה), אלא מקשה מן הלשון.</w:t>
      </w:r>
    </w:p>
    <w:p w:rsidR="002053B9" w:rsidRDefault="002053B9"/>
    <w:p w:rsidR="002053B9" w:rsidRDefault="005A1E4A">
      <w:r>
        <w:rPr>
          <w:rtl/>
        </w:rPr>
        <w:t>יש להעיר שהיה אפשר להיות ראיה קצת חלוקה מתנאי, והוא שרואים שיש חילוק בין שנים אלו, במה שביאת זה עושה שהגט בטל, וביא</w:t>
      </w:r>
      <w:r>
        <w:rPr>
          <w:rtl/>
        </w:rPr>
        <w:t>ת זה לא עושה שהגט בטל. צריך לומר לזה כמו שכתבנו לדחות נשואים, או שלא היינו אומרים כן על תנאי, או שמקשה מן הלשון.</w:t>
      </w:r>
    </w:p>
    <w:p w:rsidR="002053B9" w:rsidRDefault="002053B9"/>
    <w:p w:rsidR="002053B9" w:rsidRDefault="005A1E4A">
      <w:r>
        <w:rPr>
          <w:rtl/>
        </w:rPr>
        <w:t>יש לציין לתוס’, וכן כמה ראשונים אחרים, שכ’ שהיה אפשר להוכיח ממה שאמר שיש איסור לאחד ולא לשאר; ואילו היה "על מנת,” אם יש איסור, יש איסור לכולם,</w:t>
      </w:r>
      <w:r>
        <w:rPr>
          <w:rtl/>
        </w:rPr>
        <w:t xml:space="preserve"> ואם אין איסור, אין איסור לכולם. </w:t>
      </w:r>
    </w:p>
    <w:p w:rsidR="002053B9" w:rsidRDefault="005A1E4A">
      <w:r>
        <w:rPr>
          <w:rtl/>
        </w:rPr>
        <w:t xml:space="preserve">יש להעיר שאין זה כל כך פשוט. אם היה ריה"ג מנסה לבאר יסוד של איסור אשת איש, אז מובן. אבל, אם הוא מנסה לומר שכל דבר שהוא אסור לא יכול להיחלק, אולי היה יכול להוכיח מכאן, אף שאינו איסור ממש. ר"ל, אולי כמו שאין חילוק בין שניהם </w:t>
      </w:r>
      <w:r>
        <w:rPr>
          <w:rtl/>
        </w:rPr>
        <w:t>שיעשה שמותר לזה ואסור לזה, כך אין חילוק שיעשה שנישואי זה מבטלים את הגט ונשואי זה לא מבטלים את הגט.</w:t>
      </w:r>
    </w:p>
    <w:p w:rsidR="002053B9" w:rsidRDefault="005A1E4A">
      <w:pPr>
        <w:pStyle w:val="Heading1"/>
      </w:pPr>
      <w:r>
        <w:br w:type="column"/>
      </w:r>
      <w:bookmarkStart w:id="9" w:name="_Toc135840623"/>
      <w:r>
        <w:rPr>
          <w:rtl/>
        </w:rPr>
        <w:lastRenderedPageBreak/>
        <w:t>רבי אלעזר בן עזריה</w:t>
      </w:r>
      <w:bookmarkEnd w:id="9"/>
    </w:p>
    <w:p w:rsidR="002053B9" w:rsidRDefault="005A1E4A">
      <w:pPr>
        <w:pStyle w:val="Heading2"/>
      </w:pPr>
      <w:bookmarkStart w:id="10" w:name="_Toc135840624"/>
      <w:r>
        <w:rPr>
          <w:rtl/>
        </w:rPr>
        <w:t>קושיה:</w:t>
      </w:r>
      <w:bookmarkEnd w:id="10"/>
    </w:p>
    <w:p w:rsidR="002053B9" w:rsidRDefault="005A1E4A">
      <w:r>
        <w:rPr>
          <w:rtl/>
        </w:rPr>
        <w:t>כריתות הוא דבר הכורת בינו לבינה. אין זה כריתות.</w:t>
      </w:r>
    </w:p>
    <w:p w:rsidR="002053B9" w:rsidRDefault="005A1E4A">
      <w:r>
        <w:rPr>
          <w:rtl/>
        </w:rPr>
        <w:t xml:space="preserve">ראשון, נראה שצריך לפרש לשון "כריתות." נראה שהפשטות הוא שהוא מלשון "כרת," שהוא דבר </w:t>
      </w:r>
      <w:r>
        <w:rPr>
          <w:rtl/>
        </w:rPr>
        <w:t>שמחתך יחס. אז, אומר שצריך להיות שחותך את כל היחס של אישות. ותחשב. קצת צריך להגדיר את זה, שפשוט שלא צריך להכרית כל יחס, שבהכרח יש יחס (ממה שהיו נשואים, וממה שיש להם בנים ביחד). אולי ר"ל שצריך לכרות כל יחס חשוב, או שצריך לכרות כל יחס שהוא סיבה לדיני אישות, א</w:t>
      </w:r>
      <w:r>
        <w:rPr>
          <w:rtl/>
        </w:rPr>
        <w:t>ו כל יחס שיכול, או שיש מין מיוחד של יחסים של אישות, וצריך לכרות את כולם, או שום צירוף מצדדים אלו. נראה שגם יכול להיות שאין זה פירוש כריתות, אלא הוא כמה שאומר גמרא ברכות (ד.) שנקראו "כרתי ופלתי" כיון שהיו כורתים דבריהם. שם רש"י מפרש שאמרו דבר קצוב. אז, יש ל</w:t>
      </w:r>
      <w:r>
        <w:rPr>
          <w:rtl/>
        </w:rPr>
        <w:t>ומר שכאן רק דורשים שצריך להיות הגט דבר קצוב, ולא ישייר. ותחשב. נראה שאם נאמר כצד שני, אין כל כך שיכולים להוכיח מזה; רק יש גזרות הקרא איך צריך הגט לומר גירושין שלו, ולא ילמד, לכאורה, יסוד הדין כלל</w:t>
      </w:r>
      <w:r>
        <w:rPr>
          <w:rStyle w:val="FootnoteReference1"/>
          <w:rtl/>
        </w:rPr>
        <w:footnoteReference w:id="22"/>
      </w:r>
      <w:r>
        <w:rPr>
          <w:rtl/>
        </w:rPr>
        <w:t>. נניח כצד ראשון, כיון שלשון גמרא יותר משמע כמותו, שלצד ראשו</w:t>
      </w:r>
      <w:r>
        <w:rPr>
          <w:rtl/>
        </w:rPr>
        <w:t>ן, אין הענין צרוך לדבר שיכרות בינו לבינה, אלא למילים שהם כרותים. (במילים יותר דומים לגמרא, היה לו לומר שצריך דבר "הכרות" בינו ובינה. ותו"ת. עדיין מוזר למה יזכיר "בינו לבינה" כלל.) גם לשון רש"י נראה כצד שני.</w:t>
      </w:r>
    </w:p>
    <w:p w:rsidR="003B22E0" w:rsidRDefault="003B22E0">
      <w:pPr>
        <w:rPr>
          <w:rtl/>
        </w:rPr>
      </w:pPr>
    </w:p>
    <w:p w:rsidR="002053B9" w:rsidRDefault="005A1E4A">
      <w:r>
        <w:rPr>
          <w:rtl/>
        </w:rPr>
        <w:t xml:space="preserve">נראה שיש </w:t>
      </w:r>
      <w:r w:rsidR="005666C6">
        <w:rPr>
          <w:rFonts w:hint="cs"/>
          <w:rtl/>
        </w:rPr>
        <w:t xml:space="preserve">שלש </w:t>
      </w:r>
      <w:r w:rsidR="000106BE">
        <w:rPr>
          <w:rtl/>
        </w:rPr>
        <w:t>צדדים עיקרים בביאור הבעיה</w:t>
      </w:r>
      <w:r w:rsidR="000106BE">
        <w:rPr>
          <w:rFonts w:hint="cs"/>
          <w:rtl/>
        </w:rPr>
        <w:t xml:space="preserve"> בשיור:</w:t>
      </w:r>
    </w:p>
    <w:p w:rsidR="002053B9" w:rsidRDefault="005A1E4A">
      <w:pPr>
        <w:pStyle w:val="ListParagraph"/>
        <w:numPr>
          <w:ilvl w:val="0"/>
          <w:numId w:val="23"/>
        </w:numPr>
      </w:pPr>
      <w:r>
        <w:rPr>
          <w:rtl/>
        </w:rPr>
        <w:t xml:space="preserve">אולי מה שאין </w:t>
      </w:r>
      <w:r>
        <w:rPr>
          <w:rtl/>
        </w:rPr>
        <w:t>כאן כריתות הוא סיבת הפסול בהגט. זה אומר שגט צריך להיות גורם כריתות מלאה, וזה לא גורם.</w:t>
      </w:r>
    </w:p>
    <w:p w:rsidR="002053B9" w:rsidRDefault="005A1E4A">
      <w:pPr>
        <w:pStyle w:val="ListParagraph"/>
      </w:pPr>
      <w:r>
        <w:rPr>
          <w:rtl/>
        </w:rPr>
        <w:t>יש לדון מהו הבעיה:</w:t>
      </w:r>
    </w:p>
    <w:p w:rsidR="002053B9" w:rsidRDefault="005A1E4A">
      <w:pPr>
        <w:pStyle w:val="ListParagraph"/>
        <w:numPr>
          <w:ilvl w:val="1"/>
          <w:numId w:val="23"/>
        </w:numPr>
      </w:pPr>
      <w:r>
        <w:rPr>
          <w:rtl/>
        </w:rPr>
        <w:t>אין כריתות, שעדיין הם מיוחסים. אם כן, הענין הוא, כמו שבארנו, שנשאר יחס. אותו יחס, לכאורה, אוסר לכל, או מונע חלות הגט.</w:t>
      </w:r>
    </w:p>
    <w:p w:rsidR="002053B9" w:rsidRDefault="005A1E4A">
      <w:pPr>
        <w:pStyle w:val="ListParagraph"/>
        <w:numPr>
          <w:ilvl w:val="1"/>
          <w:numId w:val="23"/>
        </w:numPr>
      </w:pPr>
      <w:r>
        <w:rPr>
          <w:rtl/>
        </w:rPr>
        <w:t>אין גט העושה כריתות, שחלק ממנו הו</w:t>
      </w:r>
      <w:r>
        <w:rPr>
          <w:rtl/>
        </w:rPr>
        <w:t>א התנאי. כמובן, זה רק אפשר אם נניח שרבי אב"ע סובר שחולקים בעל מנת.</w:t>
      </w:r>
      <w:r>
        <w:rPr>
          <w:rStyle w:val="FootnoteReference1"/>
          <w:rtl/>
        </w:rPr>
        <w:footnoteReference w:id="23"/>
      </w:r>
    </w:p>
    <w:p w:rsidR="003B22E0" w:rsidRDefault="003B22E0" w:rsidP="003B22E0">
      <w:pPr>
        <w:pStyle w:val="ListParagraph"/>
        <w:numPr>
          <w:ilvl w:val="0"/>
          <w:numId w:val="23"/>
        </w:numPr>
      </w:pPr>
      <w:r>
        <w:rPr>
          <w:rFonts w:hint="cs"/>
          <w:rtl/>
        </w:rPr>
        <w:t>אולי מה שאין הגט משמע דבר שהוא כל כך נכרת, שמראה עשיית מצב שנשאר בו יחס, עושה שאין הגט מהני. זה אומר שמה שכתוב בגט הוא חשוב, שצריך להיות חלות הגט כתוב בגט. יותר מזה, אולי צריך להיות כריתות כתוב בגט, כיון שתוצאה כללי של גט הוא כריתות. אף שאולי גט יכול לעשות דבר שאינו כל כך כריתות, ואולי היה מותר אם נשאר תנאי כזה, כיון שנתינת גט</w:t>
      </w:r>
      <w:r>
        <w:rPr>
          <w:rStyle w:val="FootnoteReference"/>
          <w:rtl/>
        </w:rPr>
        <w:footnoteReference w:id="24"/>
      </w:r>
      <w:r w:rsidR="005666C6">
        <w:rPr>
          <w:rFonts w:hint="cs"/>
          <w:rtl/>
        </w:rPr>
        <w:t xml:space="preserve"> לא מראה כריתות מלאה, לא יכול לעשות חלות של כריתות מעט.</w:t>
      </w:r>
    </w:p>
    <w:p w:rsidR="00CE1AE0" w:rsidRDefault="00CE1AE0" w:rsidP="00CE1AE0">
      <w:pPr>
        <w:pStyle w:val="ListParagraph"/>
      </w:pPr>
      <w:r>
        <w:rPr>
          <w:rFonts w:hint="cs"/>
          <w:rtl/>
        </w:rPr>
        <w:t>החידוש כאן הוא שגט צריך להראות יותר כריתות ממה שצריך לעשות, שיכול חצי כריתות לחול.</w:t>
      </w:r>
    </w:p>
    <w:p w:rsidR="002053B9" w:rsidRDefault="005A1E4A">
      <w:pPr>
        <w:pStyle w:val="ListParagraph"/>
        <w:numPr>
          <w:ilvl w:val="0"/>
          <w:numId w:val="23"/>
        </w:numPr>
        <w:rPr>
          <w:rFonts w:hint="cs"/>
        </w:rPr>
      </w:pPr>
      <w:r>
        <w:rPr>
          <w:rtl/>
        </w:rPr>
        <w:t>אולי מה שאין כאן כריתות הוא רק סימן לפסול בגט. זה אומר שתורה אומר שכל גט שאינו מלא (אינו גורם כריתות מלאה) אינה גט טובה, אבל אינו מפני בעיה בכריתות, אלא אולי מפני דבר אחר. אם כן, יכול להיו</w:t>
      </w:r>
      <w:r>
        <w:rPr>
          <w:rtl/>
        </w:rPr>
        <w:t>ת כל פשט שנרצה.</w:t>
      </w:r>
    </w:p>
    <w:p w:rsidR="000106BE" w:rsidRDefault="000106BE" w:rsidP="000106BE">
      <w:pPr>
        <w:rPr>
          <w:rtl/>
        </w:rPr>
      </w:pPr>
    </w:p>
    <w:p w:rsidR="000106BE" w:rsidRDefault="000106BE" w:rsidP="000106BE">
      <w:pPr>
        <w:rPr>
          <w:rtl/>
        </w:rPr>
      </w:pPr>
      <w:r>
        <w:rPr>
          <w:rFonts w:hint="cs"/>
          <w:rtl/>
        </w:rPr>
        <w:t>השיור כאן הוא:</w:t>
      </w:r>
    </w:p>
    <w:p w:rsidR="000106BE" w:rsidRDefault="000106BE" w:rsidP="000106BE">
      <w:pPr>
        <w:pStyle w:val="ListParagraph"/>
        <w:numPr>
          <w:ilvl w:val="0"/>
          <w:numId w:val="35"/>
        </w:numPr>
      </w:pPr>
      <w:r>
        <w:rPr>
          <w:rFonts w:hint="cs"/>
          <w:rtl/>
        </w:rPr>
        <w:t>אם סובר שחולקים ב"חוץ":</w:t>
      </w:r>
    </w:p>
    <w:p w:rsidR="000106BE" w:rsidRDefault="00342904" w:rsidP="000106BE">
      <w:pPr>
        <w:pStyle w:val="ListParagraph"/>
        <w:numPr>
          <w:ilvl w:val="1"/>
          <w:numId w:val="35"/>
        </w:numPr>
        <w:rPr>
          <w:rFonts w:hint="cs"/>
        </w:rPr>
      </w:pPr>
      <w:r>
        <w:rPr>
          <w:rFonts w:hint="cs"/>
          <w:rtl/>
        </w:rPr>
        <w:t>מה שאסור לישא אותו אחד מחמת הבעל.</w:t>
      </w:r>
    </w:p>
    <w:p w:rsidR="00342904" w:rsidRDefault="00342904" w:rsidP="000106BE">
      <w:pPr>
        <w:pStyle w:val="ListParagraph"/>
        <w:numPr>
          <w:ilvl w:val="1"/>
          <w:numId w:val="35"/>
        </w:numPr>
      </w:pPr>
      <w:r>
        <w:rPr>
          <w:rFonts w:hint="cs"/>
          <w:rtl/>
        </w:rPr>
        <w:t>מה שעושה איסור לישא אותו אחד מחמת הבעל.</w:t>
      </w:r>
    </w:p>
    <w:p w:rsidR="00DD4399" w:rsidRDefault="00DD4399" w:rsidP="00DD4399">
      <w:pPr>
        <w:pStyle w:val="ListParagraph"/>
        <w:numPr>
          <w:ilvl w:val="0"/>
          <w:numId w:val="35"/>
        </w:numPr>
      </w:pPr>
      <w:r>
        <w:rPr>
          <w:rFonts w:hint="cs"/>
          <w:rtl/>
        </w:rPr>
        <w:t>אם סובר שחולקים ב"על מנת":</w:t>
      </w:r>
    </w:p>
    <w:p w:rsidR="00DF5F48" w:rsidRDefault="00DD4399" w:rsidP="00DF5F48">
      <w:pPr>
        <w:pStyle w:val="ListParagraph"/>
        <w:numPr>
          <w:ilvl w:val="1"/>
          <w:numId w:val="35"/>
        </w:numPr>
      </w:pPr>
      <w:r>
        <w:rPr>
          <w:rFonts w:hint="cs"/>
          <w:rtl/>
        </w:rPr>
        <w:t>מה שלא יכולה לישא את זה.</w:t>
      </w:r>
    </w:p>
    <w:p w:rsidR="002D481E" w:rsidRDefault="002D481E" w:rsidP="00DF5F48">
      <w:pPr>
        <w:pStyle w:val="ListParagraph"/>
        <w:numPr>
          <w:ilvl w:val="1"/>
          <w:numId w:val="35"/>
        </w:numPr>
      </w:pPr>
      <w:r>
        <w:rPr>
          <w:rFonts w:hint="cs"/>
          <w:rtl/>
        </w:rPr>
        <w:t>מה שהגירושין יכול להיות, על ידי נישואים, בטל.</w:t>
      </w:r>
    </w:p>
    <w:p w:rsidR="00AB1CB3" w:rsidRDefault="00AB1CB3" w:rsidP="00DD4399">
      <w:pPr>
        <w:pStyle w:val="ListParagraph"/>
        <w:numPr>
          <w:ilvl w:val="1"/>
          <w:numId w:val="35"/>
        </w:numPr>
      </w:pPr>
      <w:r>
        <w:rPr>
          <w:rFonts w:hint="cs"/>
          <w:rtl/>
        </w:rPr>
        <w:t>מה שלא יכולה לישא כלל, מחשש שמא תישא את זה, ונמצא בניה ממזרים. זה מניח שכן הוא הדין; תוס' (וכ"כ שאר ראשונים) למדו מלשון גמ' שאינו כן.</w:t>
      </w:r>
    </w:p>
    <w:p w:rsidR="00E267CF" w:rsidRDefault="00E267CF" w:rsidP="00E267CF">
      <w:pPr>
        <w:rPr>
          <w:rFonts w:hint="cs"/>
          <w:rtl/>
        </w:rPr>
      </w:pPr>
      <w:r>
        <w:rPr>
          <w:rFonts w:hint="cs"/>
          <w:rtl/>
        </w:rPr>
        <w:t>נצטרף לפרש למה זה נחשב שיור יותר משאר תנאים. לצד ראשון, הוא מפני שעושה איסור, אף על הצד שיש גירושין. (צריך לחשוב על נקודה זו, שעדיין לא ברור לי.) כמו"כ, יש לומר שהוא מה שעושה שאישות עדיין קיים. לצד שני, יותר צריך ביאור; לכאו', צריך לתלות אותו במה שזה נישואים, וגט גופא בא להתיר נישואים. צריך ביאור.</w:t>
      </w:r>
    </w:p>
    <w:p w:rsidR="00E267CF" w:rsidRDefault="00E267CF" w:rsidP="00E267CF">
      <w:r>
        <w:rPr>
          <w:rFonts w:hint="cs"/>
          <w:rtl/>
        </w:rPr>
        <w:t>ודע שאף צריכים שלא לת' קושיית גמ' לקמן מכל תנאי.</w:t>
      </w:r>
    </w:p>
    <w:p w:rsidR="00C51315" w:rsidRDefault="00C51315" w:rsidP="00C51315"/>
    <w:p w:rsidR="002053B9" w:rsidRDefault="005A1E4A">
      <w:pPr>
        <w:pStyle w:val="Heading2"/>
        <w:rPr>
          <w:b w:val="0"/>
        </w:rPr>
      </w:pPr>
      <w:bookmarkStart w:id="11" w:name="_Toc135840625"/>
      <w:r>
        <w:rPr>
          <w:rtl/>
        </w:rPr>
        <w:t>ד</w:t>
      </w:r>
      <w:r>
        <w:rPr>
          <w:rtl/>
        </w:rPr>
        <w:t>חייה:</w:t>
      </w:r>
      <w:bookmarkEnd w:id="11"/>
    </w:p>
    <w:p w:rsidR="002053B9" w:rsidRDefault="005A1E4A">
      <w:pPr>
        <w:rPr>
          <w:rtl/>
        </w:rPr>
      </w:pPr>
      <w:r>
        <w:rPr>
          <w:rtl/>
        </w:rPr>
        <w:t>אינו נדחה.</w:t>
      </w:r>
    </w:p>
    <w:p w:rsidR="002612AD" w:rsidRDefault="002612AD">
      <w:pPr>
        <w:rPr>
          <w:rtl/>
        </w:rPr>
      </w:pPr>
    </w:p>
    <w:p w:rsidR="00C51315" w:rsidRDefault="004133B6">
      <w:pPr>
        <w:rPr>
          <w:rtl/>
        </w:rPr>
      </w:pPr>
      <w:r>
        <w:rPr>
          <w:rFonts w:hint="cs"/>
          <w:rtl/>
        </w:rPr>
        <w:t>אבל, גמרא מ</w:t>
      </w:r>
      <w:r w:rsidR="00C51315">
        <w:rPr>
          <w:rFonts w:hint="cs"/>
          <w:rtl/>
        </w:rPr>
        <w:t>פרש למה חולקים תנאים אחרים, ולא אומרים דיחוי קושיה זה. יש לדון למה צריך גמרא לפרש כן:</w:t>
      </w:r>
    </w:p>
    <w:p w:rsidR="00C51315" w:rsidRDefault="00C51315" w:rsidP="00C51315">
      <w:pPr>
        <w:pStyle w:val="ListParagraph"/>
        <w:numPr>
          <w:ilvl w:val="0"/>
          <w:numId w:val="33"/>
        </w:numPr>
      </w:pPr>
      <w:r>
        <w:rPr>
          <w:rFonts w:hint="cs"/>
          <w:rtl/>
        </w:rPr>
        <w:t>צריך לבאר ל"ל אומרים חולקים כמקור זה. יש לדון למה לא מפרש כן לשאר מקורות:</w:t>
      </w:r>
    </w:p>
    <w:p w:rsidR="00C51315" w:rsidRDefault="00C51315" w:rsidP="00C51315">
      <w:pPr>
        <w:pStyle w:val="ListParagraph"/>
        <w:numPr>
          <w:ilvl w:val="1"/>
          <w:numId w:val="33"/>
        </w:numPr>
      </w:pPr>
      <w:r>
        <w:rPr>
          <w:rFonts w:hint="cs"/>
          <w:rtl/>
        </w:rPr>
        <w:t>אולי שם יכול לבאר שכל תנא אחר הכיר בפירכא על דברי חברו. (אבל, אז קצ"ב ל"ל פרך להם. אולי אין הכי נמי פרך להם. אם כן, כשאמר ר"י שלא ישיבו על דברי ר"א אחר מיתתו, כבר ידעו שכל דבריהם, חוץ משל ראב"ע, לפי שיטת ראב"ע, אינם נכונים. ויש לדון, שאולי לא אמרו רבנן זה עד שבא ר"י ואמר להם שלא לענות. דחוק, שאף ר"י צ"ל שידע בפירכא, שאמר פירכא אחרת.)</w:t>
      </w:r>
    </w:p>
    <w:p w:rsidR="00C51315" w:rsidRDefault="00C51315" w:rsidP="00C51315">
      <w:pPr>
        <w:pStyle w:val="ListParagraph"/>
        <w:numPr>
          <w:ilvl w:val="1"/>
          <w:numId w:val="33"/>
        </w:numPr>
      </w:pPr>
      <w:r>
        <w:rPr>
          <w:rFonts w:hint="cs"/>
          <w:rtl/>
        </w:rPr>
        <w:t>רק מקשה את זה גבי מקדר של רבי אלעזר בן עזריה כיון שהוא כל כך פשוט. ר"ל, הוא דורש אותו מקרא- וזהו. אז, מקשה ל"ל דורשים אחרים מן הקרא. ותחשב.</w:t>
      </w:r>
    </w:p>
    <w:p w:rsidR="004133B6" w:rsidRDefault="00C51315" w:rsidP="004133B6">
      <w:pPr>
        <w:pStyle w:val="ListParagraph"/>
        <w:numPr>
          <w:ilvl w:val="0"/>
          <w:numId w:val="33"/>
        </w:numPr>
      </w:pPr>
      <w:r>
        <w:rPr>
          <w:rFonts w:hint="cs"/>
          <w:rtl/>
        </w:rPr>
        <w:t>מקשה שיודעים תנאים אלו דין זה כבר ממקורות אחרות. אז, מקשה מה דרושים מקרא זה.</w:t>
      </w:r>
    </w:p>
    <w:p w:rsidR="00C51315" w:rsidRDefault="004133B6" w:rsidP="004133B6">
      <w:pPr>
        <w:rPr>
          <w:rFonts w:hint="cs"/>
          <w:rtl/>
        </w:rPr>
      </w:pPr>
      <w:r>
        <w:rPr>
          <w:rFonts w:hint="cs"/>
          <w:rtl/>
        </w:rPr>
        <w:t xml:space="preserve">עיין ברשי </w:t>
      </w:r>
      <w:r>
        <w:t xml:space="preserve"> </w:t>
      </w:r>
      <w:r w:rsidR="0022235E">
        <w:rPr>
          <w:rFonts w:hint="cs"/>
          <w:rtl/>
        </w:rPr>
        <w:t>ד"ה ורבנן, שכ',</w:t>
      </w:r>
      <w:r w:rsidR="0022235E">
        <w:rPr>
          <w:rFonts w:hint="cs"/>
        </w:rPr>
        <w:t xml:space="preserve"> </w:t>
      </w:r>
      <w:r w:rsidR="0022235E">
        <w:rPr>
          <w:rFonts w:hint="cs"/>
          <w:rtl/>
        </w:rPr>
        <w:t xml:space="preserve"> "כל הני… דלא ילפי מהכא פירכייהו." נראה שלשון זה קצת משמע שרש"י סובר כצד ראשון, שלצד שני, היה לו להדגיש מה שדורשים כבר ממק"א, ולא להדגיש מה שאין דורשים מכאן. ותחשב.</w:t>
      </w:r>
      <w:r w:rsidR="000123DB">
        <w:rPr>
          <w:rFonts w:hint="cs"/>
          <w:rtl/>
        </w:rPr>
        <w:t xml:space="preserve"> ויש לדון, שאולי יכול להדגיש מה שאין דורשים את זה כאן, ויודעים את זה ממה שדורשים דבר אחר, וממילא אי אשפר לדרוש את זה.</w:t>
      </w:r>
      <w:r w:rsidR="00396979">
        <w:rPr>
          <w:rFonts w:hint="cs"/>
          <w:rtl/>
        </w:rPr>
        <w:t xml:space="preserve"> אז, מקשה מה דורשים מכאן. אז, יכול להיות כצד שני.</w:t>
      </w:r>
    </w:p>
    <w:p w:rsidR="00396979" w:rsidRDefault="00396979" w:rsidP="004133B6">
      <w:pPr>
        <w:rPr>
          <w:rtl/>
        </w:rPr>
      </w:pPr>
    </w:p>
    <w:p w:rsidR="003B22E0" w:rsidRDefault="003B22E0" w:rsidP="003B22E0">
      <w:pPr>
        <w:rPr>
          <w:rtl/>
        </w:rPr>
      </w:pPr>
      <w:r>
        <w:rPr>
          <w:rFonts w:hint="cs"/>
          <w:rtl/>
        </w:rPr>
        <w:t>גמרא מבאר שרבנן דורשים ממנו שאם נתן לה גט והתנה עמה שלא תעשה דבר לשאר ימי חייה, אין הגט חל. צריך לבאר למה. נראה שיש שני חלקים שצריכים ביאור כאן:</w:t>
      </w:r>
    </w:p>
    <w:p w:rsidR="003B22E0" w:rsidRDefault="003B22E0" w:rsidP="003B22E0">
      <w:pPr>
        <w:pStyle w:val="ListParagraph"/>
        <w:numPr>
          <w:ilvl w:val="0"/>
          <w:numId w:val="34"/>
        </w:numPr>
        <w:rPr>
          <w:rFonts w:hint="cs"/>
        </w:rPr>
      </w:pPr>
      <w:r>
        <w:rPr>
          <w:rFonts w:hint="cs"/>
          <w:rtl/>
        </w:rPr>
        <w:t xml:space="preserve">צריך לבאר </w:t>
      </w:r>
      <w:r w:rsidR="00003CB3">
        <w:rPr>
          <w:rFonts w:hint="cs"/>
          <w:rtl/>
        </w:rPr>
        <w:t>מהו הבעיה כשמשייר. עיין לעיל שדיננו בזה.</w:t>
      </w:r>
    </w:p>
    <w:p w:rsidR="00003CB3" w:rsidRDefault="00003CB3" w:rsidP="003B22E0">
      <w:pPr>
        <w:pStyle w:val="ListParagraph"/>
        <w:numPr>
          <w:ilvl w:val="0"/>
          <w:numId w:val="34"/>
        </w:numPr>
      </w:pPr>
      <w:r>
        <w:rPr>
          <w:rFonts w:hint="cs"/>
          <w:rtl/>
        </w:rPr>
        <w:t>צריך לבאר מהו השיור.</w:t>
      </w:r>
      <w:r w:rsidR="00E55321">
        <w:rPr>
          <w:rFonts w:hint="cs"/>
          <w:rtl/>
        </w:rPr>
        <w:t xml:space="preserve"> נראה שיש שלש צדדים:</w:t>
      </w:r>
    </w:p>
    <w:p w:rsidR="00E55321" w:rsidRDefault="00E55321" w:rsidP="00E55321">
      <w:pPr>
        <w:pStyle w:val="ListParagraph"/>
        <w:numPr>
          <w:ilvl w:val="1"/>
          <w:numId w:val="34"/>
        </w:numPr>
      </w:pPr>
      <w:r>
        <w:rPr>
          <w:rFonts w:hint="cs"/>
          <w:rtl/>
        </w:rPr>
        <w:t>לא יכולה</w:t>
      </w:r>
      <w:r w:rsidR="0082588C">
        <w:rPr>
          <w:rStyle w:val="FootnoteReference"/>
          <w:rtl/>
        </w:rPr>
        <w:footnoteReference w:id="25"/>
      </w:r>
      <w:r>
        <w:rPr>
          <w:rFonts w:hint="cs"/>
          <w:rtl/>
        </w:rPr>
        <w:t xml:space="preserve"> לעשות דבר זה לעולם.</w:t>
      </w:r>
      <w:r w:rsidR="00DD0D19">
        <w:rPr>
          <w:rFonts w:hint="cs"/>
          <w:rtl/>
        </w:rPr>
        <w:t xml:space="preserve"> יש לדון אם מה שהוא לעולם עושה שהוא שיור יותר חשוב, או שמה שלא עומד ועתיד להיות מותר מחליש אותו. ותחשב.</w:t>
      </w:r>
      <w:r w:rsidR="006B5FA1">
        <w:rPr>
          <w:rStyle w:val="FootnoteReference"/>
          <w:rtl/>
        </w:rPr>
        <w:footnoteReference w:id="26"/>
      </w:r>
    </w:p>
    <w:p w:rsidR="00D2655B" w:rsidRDefault="00D2655B" w:rsidP="00E55321">
      <w:pPr>
        <w:pStyle w:val="ListParagraph"/>
        <w:numPr>
          <w:ilvl w:val="1"/>
          <w:numId w:val="34"/>
        </w:numPr>
      </w:pPr>
      <w:r>
        <w:rPr>
          <w:rFonts w:hint="cs"/>
          <w:rtl/>
        </w:rPr>
        <w:t>הגירושין יכול להיות, לעולם, בטל.</w:t>
      </w:r>
    </w:p>
    <w:p w:rsidR="00DD0D19" w:rsidRDefault="004C67DD" w:rsidP="00E55321">
      <w:pPr>
        <w:pStyle w:val="ListParagraph"/>
        <w:numPr>
          <w:ilvl w:val="1"/>
          <w:numId w:val="34"/>
        </w:numPr>
      </w:pPr>
      <w:r>
        <w:rPr>
          <w:rFonts w:hint="cs"/>
          <w:rtl/>
        </w:rPr>
        <w:t>לא יכולה לישא לעולם (אם מניחים שעל ידי תנאי כזה לא תוכל לישא).</w:t>
      </w:r>
    </w:p>
    <w:p w:rsidR="002612AD" w:rsidRDefault="002612AD" w:rsidP="002612AD">
      <w:pPr>
        <w:rPr>
          <w:rtl/>
        </w:rPr>
      </w:pPr>
    </w:p>
    <w:p w:rsidR="003C4893" w:rsidRDefault="002612AD" w:rsidP="006B783B">
      <w:pPr>
        <w:rPr>
          <w:rtl/>
        </w:rPr>
      </w:pPr>
      <w:r>
        <w:rPr>
          <w:rFonts w:hint="cs"/>
          <w:rtl/>
        </w:rPr>
        <w:t>מבאר גמ' שראב"ע כבר דרש, שיש לו שני דרשות: "כרת" ו"כריתות."</w:t>
      </w:r>
      <w:r w:rsidR="003C4893">
        <w:rPr>
          <w:rFonts w:hint="cs"/>
          <w:rtl/>
        </w:rPr>
        <w:t xml:space="preserve"> יש לדון ל"ל תירץ שחולק, ולא דורש </w:t>
      </w:r>
      <w:r w:rsidR="006B783B">
        <w:rPr>
          <w:rFonts w:hint="cs"/>
          <w:rtl/>
        </w:rPr>
        <w:t>דין של רבנן</w:t>
      </w:r>
      <w:r w:rsidR="003C4893">
        <w:rPr>
          <w:rFonts w:hint="cs"/>
          <w:rtl/>
        </w:rPr>
        <w:t xml:space="preserve"> כלל</w:t>
      </w:r>
      <w:r w:rsidR="006B783B">
        <w:rPr>
          <w:rFonts w:hint="cs"/>
          <w:rtl/>
        </w:rPr>
        <w:t>. נראה לי שלש צדדים</w:t>
      </w:r>
      <w:r w:rsidR="003C4893">
        <w:rPr>
          <w:rFonts w:hint="cs"/>
          <w:rtl/>
        </w:rPr>
        <w:t>:</w:t>
      </w:r>
    </w:p>
    <w:p w:rsidR="003C4893" w:rsidRDefault="003C4893" w:rsidP="003C4893">
      <w:pPr>
        <w:pStyle w:val="ListParagraph"/>
        <w:numPr>
          <w:ilvl w:val="0"/>
          <w:numId w:val="36"/>
        </w:numPr>
      </w:pPr>
      <w:r>
        <w:rPr>
          <w:rFonts w:hint="cs"/>
          <w:rtl/>
        </w:rPr>
        <w:t>אולי רוצה למעט במחלקת. היה נמצא, אז, שיותר טוב למעט במחלקת בדין מלמעט במחלקת בדרשות, שאף שנמצא שאין מחלקת בדין, אם נאמר כמה שאומר גמ' כאן, נמצא עוד מחלקת בקרא (אם דורשים "כ</w:t>
      </w:r>
      <w:r w:rsidR="00C70510">
        <w:rPr>
          <w:rFonts w:hint="cs"/>
          <w:rtl/>
        </w:rPr>
        <w:t>רת" ו"כריתות," או רק "כריתות"). ויש לדון, שאולי בין כך ובין כך חולקים איך לדרוש קראי, ואז רק מוסיפים דרשה. ויל"ד, שאף שיחלקו בביאור הדרשה, לא יהיה אותו מחלקת. אם לא היינו אומרים כגמרא, כו"ע היו מודים שרק יכולים לדרוש דבר אחד, והיו חולקים מהו אותו דבר אחד. בביאור גמ', חולקים אם דורשים דבר אחד או שני דברים.</w:t>
      </w:r>
      <w:r w:rsidR="00C168D9">
        <w:rPr>
          <w:rStyle w:val="FootnoteReference"/>
          <w:rtl/>
        </w:rPr>
        <w:footnoteReference w:id="27"/>
      </w:r>
      <w:r w:rsidR="00C70510">
        <w:rPr>
          <w:rFonts w:hint="cs"/>
          <w:rtl/>
        </w:rPr>
        <w:t xml:space="preserve"> (גם חולקים, אולי, מה דרוש ממ"כריתות"; זה תלוי בביאור גמ', אם אומר ש"כריתות" הוא לדרשת רבנן או לדרשת ראב"ע. ותו"ת.</w:t>
      </w:r>
      <w:r w:rsidR="00C70510">
        <w:rPr>
          <w:rStyle w:val="FootnoteReference"/>
          <w:rtl/>
        </w:rPr>
        <w:footnoteReference w:id="28"/>
      </w:r>
      <w:r w:rsidR="00C70510">
        <w:rPr>
          <w:rFonts w:hint="cs"/>
          <w:rtl/>
        </w:rPr>
        <w:t>)</w:t>
      </w:r>
    </w:p>
    <w:p w:rsidR="00645C8D" w:rsidRDefault="00645C8D" w:rsidP="003C4893">
      <w:pPr>
        <w:pStyle w:val="ListParagraph"/>
        <w:numPr>
          <w:ilvl w:val="0"/>
          <w:numId w:val="36"/>
        </w:numPr>
        <w:rPr>
          <w:rFonts w:hint="cs"/>
        </w:rPr>
      </w:pPr>
      <w:r>
        <w:rPr>
          <w:rFonts w:hint="cs"/>
          <w:rtl/>
        </w:rPr>
        <w:t>אולי כיון שלא מצאנו שחולק על הדין, מסתבר שמודה לאותו דין. מצאנו כעין זה ביבמות (</w:t>
      </w:r>
      <w:r w:rsidR="007D7ED4">
        <w:rPr>
          <w:rFonts w:hint="cs"/>
          <w:rtl/>
        </w:rPr>
        <w:t>עב:</w:t>
      </w:r>
      <w:r>
        <w:rPr>
          <w:rFonts w:hint="cs"/>
          <w:rtl/>
        </w:rPr>
        <w:t>).</w:t>
      </w:r>
    </w:p>
    <w:p w:rsidR="00645C8D" w:rsidRDefault="00645C8D" w:rsidP="003C4893">
      <w:pPr>
        <w:pStyle w:val="ListParagraph"/>
        <w:numPr>
          <w:ilvl w:val="0"/>
          <w:numId w:val="36"/>
        </w:numPr>
      </w:pPr>
      <w:r>
        <w:rPr>
          <w:rFonts w:hint="cs"/>
          <w:rtl/>
        </w:rPr>
        <w:t xml:space="preserve">אולי </w:t>
      </w:r>
      <w:r w:rsidR="00032D31">
        <w:rPr>
          <w:rFonts w:hint="cs"/>
          <w:rtl/>
        </w:rPr>
        <w:t>יותר מסתבר לדרוש דין של רבנן מלדרוש דין של רבי אלעזר. אז, היה לו לדרוש כרבנן, אם לא שכבר היה לו מקור לשל רבנן.</w:t>
      </w:r>
    </w:p>
    <w:p w:rsidR="00533D44" w:rsidRDefault="00533D44" w:rsidP="00533D44"/>
    <w:p w:rsidR="002053B9" w:rsidRDefault="005A1E4A">
      <w:pPr>
        <w:pStyle w:val="Heading2"/>
        <w:rPr>
          <w:b w:val="0"/>
        </w:rPr>
      </w:pPr>
      <w:bookmarkStart w:id="12" w:name="_Toc135840626"/>
      <w:r>
        <w:rPr>
          <w:rtl/>
        </w:rPr>
        <w:lastRenderedPageBreak/>
        <w:t>מ</w:t>
      </w:r>
      <w:r>
        <w:rPr>
          <w:rtl/>
        </w:rPr>
        <w:t>ה הניח:</w:t>
      </w:r>
      <w:bookmarkEnd w:id="12"/>
    </w:p>
    <w:p w:rsidR="002053B9" w:rsidRDefault="005A1E4A">
      <w:r>
        <w:rPr>
          <w:rtl/>
        </w:rPr>
        <w:t xml:space="preserve"> גמרא לא מבאר מה מניח במחלקת רבי אליעזר ורבנן. על פי מה שכתבנו לעיל, נראה שאפשר להיות שחולקים בחוץ, יכול להיות שחולקים בעל מנת, ויכול להיות שחולקים בשניהם (אולי משיב רק על אחד, או אולי משיב על שניהם, שיכול להיות </w:t>
      </w:r>
      <w:r>
        <w:rPr>
          <w:rtl/>
        </w:rPr>
        <w:t>שבעיה זה הוא בעיה בשניהם).</w:t>
      </w:r>
    </w:p>
    <w:p w:rsidR="002053B9" w:rsidRDefault="005A1E4A">
      <w:pPr>
        <w:pStyle w:val="BodyText"/>
        <w:bidi w:val="0"/>
      </w:pPr>
      <w:r>
        <w:br w:type="page"/>
      </w:r>
    </w:p>
    <w:p w:rsidR="002053B9" w:rsidRDefault="005A1E4A">
      <w:pPr>
        <w:pStyle w:val="Heading1"/>
      </w:pPr>
      <w:bookmarkStart w:id="13" w:name="_Toc135840627"/>
      <w:r>
        <w:rPr>
          <w:rtl/>
        </w:rPr>
        <w:lastRenderedPageBreak/>
        <w:t>רבי עקיבא</w:t>
      </w:r>
      <w:bookmarkEnd w:id="13"/>
    </w:p>
    <w:p w:rsidR="002053B9" w:rsidRDefault="005A1E4A">
      <w:pPr>
        <w:pStyle w:val="Heading2"/>
      </w:pPr>
      <w:bookmarkStart w:id="14" w:name="_Toc135840628"/>
      <w:r>
        <w:rPr>
          <w:rtl/>
        </w:rPr>
        <w:t>קושיה ראשונה:</w:t>
      </w:r>
      <w:bookmarkEnd w:id="14"/>
    </w:p>
    <w:p w:rsidR="002053B9" w:rsidRDefault="005A1E4A">
      <w:pPr>
        <w:pStyle w:val="BodyText"/>
      </w:pPr>
      <w:r>
        <w:rPr>
          <w:rtl/>
        </w:rPr>
        <w:t>מקשה שאם הלכה זו ונשאת, ושוב נשאת לנתמעט, נמצא גיטה בטל ובניה ממזרים.</w:t>
      </w:r>
    </w:p>
    <w:p w:rsidR="002053B9" w:rsidRDefault="005A1E4A">
      <w:pPr>
        <w:pStyle w:val="BodyText"/>
      </w:pPr>
      <w:r>
        <w:rPr>
          <w:rtl/>
        </w:rPr>
        <w:t xml:space="preserve">בביאור קושיה זה, נראה שיכולים לומר ככל הצדדים שכתבנו ברבי טרפון. אז, צריך ביאור ל"ל יאמר ר"ט זה, ולמה לא יאמר ר"ע כרבי טרפון. אפשר </w:t>
      </w:r>
      <w:r>
        <w:rPr>
          <w:rtl/>
        </w:rPr>
        <w:t>שהוא לאו דווקא, שלא שמעו זה את זה, וכוונו להקשות קושיה אחת, ונקטו ציורים חלוקים. לא נראה כן מלשון גמרא, שאומר ש"נכנסו ארבע דברים," אם לא שנאמר שרק מכוון לומר שנכנסו למלחמתה של הסוגיא, או שום דבר דחוק כזה.</w:t>
      </w:r>
      <w:r>
        <w:rPr>
          <w:rStyle w:val="FootnoteReference1"/>
          <w:rtl/>
        </w:rPr>
        <w:footnoteReference w:id="29"/>
      </w:r>
    </w:p>
    <w:p w:rsidR="002053B9" w:rsidRDefault="005A1E4A">
      <w:pPr>
        <w:pStyle w:val="BodyText"/>
      </w:pPr>
      <w:r>
        <w:rPr>
          <w:rtl/>
        </w:rPr>
        <w:t>צריך לבאר ל"ל יאמר רבי טרפון כרבי עקיבא. אפשר שהיה</w:t>
      </w:r>
      <w:r>
        <w:rPr>
          <w:rtl/>
        </w:rPr>
        <w:t xml:space="preserve"> יכול, אבל אמר מה שהוא יותר מצוי.</w:t>
      </w:r>
    </w:p>
    <w:p w:rsidR="002053B9" w:rsidRDefault="005A1E4A">
      <w:pPr>
        <w:pStyle w:val="BodyText"/>
      </w:pPr>
      <w:r>
        <w:rPr>
          <w:rtl/>
        </w:rPr>
        <w:t>נדון עוד לכל הצדדים. ראשון, נראה שיש לדון אם הבעיה הוא שגורם לס"ר של אשת איש, או שגורם שעוברת על איסור לישא ראשון. אסור לישא ראשון מחשש שמא תשא נתמעט.</w:t>
      </w:r>
    </w:p>
    <w:p w:rsidR="002053B9" w:rsidRDefault="005A1E4A">
      <w:pPr>
        <w:pStyle w:val="BodyText"/>
      </w:pPr>
      <w:r>
        <w:rPr>
          <w:rtl/>
        </w:rPr>
        <w:t xml:space="preserve">נתחיל לדון בראשון. </w:t>
      </w:r>
    </w:p>
    <w:p w:rsidR="002053B9" w:rsidRDefault="005A1E4A">
      <w:pPr>
        <w:pStyle w:val="BodyText"/>
      </w:pPr>
      <w:r>
        <w:rPr>
          <w:rtl/>
        </w:rPr>
        <w:t>נראה שלצד ראשון שלעיל, יש לומר שני תירוצים. אולי לא</w:t>
      </w:r>
      <w:r>
        <w:rPr>
          <w:rtl/>
        </w:rPr>
        <w:t xml:space="preserve"> נחשב מתנה על מה שכתוב בתורה כיון שלא מצוי שיבוא לידי עקירת דבר מן התורה. גם יש לומר שאינו נחשב מתנה על מה שכתב בתורה, שלא גרם שאדם יעשה ס"ר מדעת. אז, אולי, מה שגרם אינו כל כך רע. ויש לדון, שצריך ביאור מה לנו בדעתה, שהיא אנוסה. ותחשב. גי"ל שלא נחשב מתנה על</w:t>
      </w:r>
      <w:r>
        <w:rPr>
          <w:rtl/>
        </w:rPr>
        <w:t xml:space="preserve"> מה שכתוב בתורה, שאף בלי מה שעשה, מעשה זה היה אסור. ויש לדון, שאולי לא היה עושה אותו בלי מה שעשה. ויש לדון, שהרי נשאה נתמעט. (ויש לציין לגמרא בנדרים שבו חולקים אם בני אדם יותר נזהרים על איסורים מעל תנאים.)</w:t>
      </w:r>
    </w:p>
    <w:p w:rsidR="002053B9" w:rsidRDefault="005A1E4A">
      <w:pPr>
        <w:pStyle w:val="BodyText"/>
      </w:pPr>
      <w:r>
        <w:rPr>
          <w:rtl/>
        </w:rPr>
        <w:t>לצד שני, אולי אין שיור, כיון שמותרת לה לישא. גם יש</w:t>
      </w:r>
      <w:r>
        <w:rPr>
          <w:rtl/>
        </w:rPr>
        <w:t xml:space="preserve"> לומר שאין שיור חשוב במה שאולי יגרום עבירה, כיון שמסתמא לא תגרום עבירה, שלא כל כך מצוי.</w:t>
      </w:r>
    </w:p>
    <w:p w:rsidR="002053B9" w:rsidRDefault="005A1E4A">
      <w:pPr>
        <w:pStyle w:val="BodyText"/>
      </w:pPr>
      <w:r>
        <w:rPr>
          <w:rtl/>
        </w:rPr>
        <w:t>לצד שלישי, אולי לא נגזור, כיון שלא נחוש שתעבור. גם יש לומר שלא נגזור כיון שכל מי שתעבור, תעבור אף על איסור דרבנן. אז, לא מועיל כלל לרבנן לגזור.</w:t>
      </w:r>
    </w:p>
    <w:p w:rsidR="002053B9" w:rsidRDefault="005A1E4A">
      <w:pPr>
        <w:pStyle w:val="BodyText"/>
      </w:pPr>
      <w:r>
        <w:rPr>
          <w:rtl/>
        </w:rPr>
        <w:t>לצד רביעי, יש לומר שזה ב</w:t>
      </w:r>
      <w:r>
        <w:rPr>
          <w:rtl/>
        </w:rPr>
        <w:t>כלל סתם גירושין, שלא כל כך גורם האיסור. אז, אינו כל כך חלוק באותו נקודה- יחסה לאיסור- שעושה החילוק בינו לבין גירושין סתם.</w:t>
      </w:r>
    </w:p>
    <w:p w:rsidR="002053B9" w:rsidRDefault="005A1E4A">
      <w:pPr>
        <w:pStyle w:val="BodyText"/>
      </w:pPr>
      <w:r>
        <w:rPr>
          <w:rtl/>
        </w:rPr>
        <w:t>נדון בשני.</w:t>
      </w:r>
    </w:p>
    <w:p w:rsidR="002053B9" w:rsidRDefault="005A1E4A">
      <w:pPr>
        <w:pStyle w:val="BodyText"/>
      </w:pPr>
      <w:r>
        <w:rPr>
          <w:rtl/>
        </w:rPr>
        <w:t>אפשר שגופא סובר ר"ט שאין איסור, ובזה חולקים ר"ע ור"ט. אם לא נאמר כן, אז כן הוא.</w:t>
      </w:r>
    </w:p>
    <w:p w:rsidR="002053B9" w:rsidRDefault="005A1E4A">
      <w:pPr>
        <w:pStyle w:val="BodyText"/>
      </w:pPr>
      <w:r>
        <w:rPr>
          <w:rtl/>
        </w:rPr>
        <w:t>לצד ראשון, יש לומר כצד שלישי שכתבנו לעיל.</w:t>
      </w:r>
    </w:p>
    <w:p w:rsidR="002053B9" w:rsidRDefault="005A1E4A">
      <w:pPr>
        <w:pStyle w:val="BodyText"/>
      </w:pPr>
      <w:r>
        <w:rPr>
          <w:rtl/>
        </w:rPr>
        <w:t>ל</w:t>
      </w:r>
      <w:r>
        <w:rPr>
          <w:rtl/>
        </w:rPr>
        <w:t>צד שני, יש לומר שחשוב מפני ס"ר, ולא מפני האיסור שנעשה למנוע מאותו סיבה רעה. אז, עדיין הוא כמו שהוא אילו לא היה אסור לישא.</w:t>
      </w:r>
    </w:p>
    <w:p w:rsidR="002053B9" w:rsidRDefault="005A1E4A">
      <w:pPr>
        <w:pStyle w:val="BodyText"/>
      </w:pPr>
      <w:r>
        <w:rPr>
          <w:rtl/>
        </w:rPr>
        <w:t>לצד שלישי, יש לומר שהוא כעין גזירה לגזירה. גם יש לומר כצד שני שכתבנו לעיל.</w:t>
      </w:r>
    </w:p>
    <w:p w:rsidR="002053B9" w:rsidRDefault="005A1E4A">
      <w:pPr>
        <w:pStyle w:val="BodyText"/>
      </w:pPr>
      <w:r>
        <w:rPr>
          <w:rtl/>
        </w:rPr>
        <w:t>לצד רביעי, לכאורה, צריך ביאור.</w:t>
      </w:r>
    </w:p>
    <w:p w:rsidR="002053B9" w:rsidRDefault="005A1E4A">
      <w:pPr>
        <w:pStyle w:val="BodyText"/>
      </w:pPr>
      <w:r>
        <w:rPr>
          <w:rtl/>
        </w:rPr>
        <w:t>עדיין, צריך ביאור ל"ל יאמר ר</w:t>
      </w:r>
      <w:r>
        <w:rPr>
          <w:rtl/>
        </w:rPr>
        <w:t>"ע כר"ט. אולי זה אוסר אותה ליותר בני אדם, או זהו איסור יותר חמור.</w:t>
      </w:r>
      <w:r>
        <w:rPr>
          <w:rStyle w:val="FootnoteReference1"/>
          <w:rtl/>
        </w:rPr>
        <w:footnoteReference w:id="30"/>
      </w:r>
      <w:r>
        <w:rPr>
          <w:rtl/>
        </w:rPr>
        <w:t xml:space="preserve"> (גם יש לומר שסובר שאין רע במה שאין ייבום, שבין כך ובין כך לא היה ייבום, שאם לא נושא את זה, לא מקיים ייבום.) גי"ל שנקט אותו כיון שהוא יותר מצוי</w:t>
      </w:r>
      <w:r>
        <w:rPr>
          <w:rStyle w:val="FootnoteReference1"/>
          <w:rtl/>
        </w:rPr>
        <w:footnoteReference w:id="31"/>
      </w:r>
      <w:r>
        <w:rPr>
          <w:rtl/>
        </w:rPr>
        <w:t>.</w:t>
      </w:r>
    </w:p>
    <w:p w:rsidR="002053B9" w:rsidRDefault="005A1E4A">
      <w:pPr>
        <w:pStyle w:val="BodyText"/>
      </w:pPr>
      <w:r>
        <w:rPr>
          <w:rtl/>
        </w:rPr>
        <w:t>יש להוסיף על זה שלשונו אינו כלשון של רבי טרפ</w:t>
      </w:r>
      <w:r>
        <w:rPr>
          <w:rtl/>
        </w:rPr>
        <w:t>ון. אז, משמע שאומר דבר חלוק. (עדיין, אפשר לומר שר"ע אומר כאחד מן הצדדים שלעיל, ור"ט אומר כאחר, אבל עדיין אז קשה קושיה ראשונה שלנו.)</w:t>
      </w:r>
    </w:p>
    <w:p w:rsidR="002053B9" w:rsidRDefault="005A1E4A">
      <w:pPr>
        <w:pStyle w:val="BodyText"/>
      </w:pPr>
      <w:r>
        <w:rPr>
          <w:rtl/>
        </w:rPr>
        <w:t>היה אפשר לומר שאין הענין שגורם איסור, אלא שגורם שהגט בטל. אז, רבי עקיבא אומר שכיון שאולי הגט בטל, אין הגט טוב. זה אומר, לכאו</w:t>
      </w:r>
      <w:r>
        <w:rPr>
          <w:rtl/>
        </w:rPr>
        <w:t>רה, שהגט אינו כל כך חשוב, כיון שלא ידוע שעשה מה שעשה. כמו כן, יש לומר שעדיין הם מיוחסים כיון שלא ידוע שלא מיוחסים. אם כן, זה דומה למה שאמר ראב"ע, אולי. אבל, לא נראה שר"ע אומר כן, שלשונו לא משמע כן כלל.</w:t>
      </w:r>
    </w:p>
    <w:p w:rsidR="002053B9" w:rsidRDefault="005A1E4A">
      <w:pPr>
        <w:pStyle w:val="BodyText"/>
      </w:pPr>
      <w:r>
        <w:rPr>
          <w:rtl/>
        </w:rPr>
        <w:t>דומה לזה, יש לומר שאין הענין שגורם לאיסור, אלא שגורם ל</w:t>
      </w:r>
      <w:r>
        <w:rPr>
          <w:rtl/>
        </w:rPr>
        <w:t>שינוי חשוב, והוא מה שיש פסולים.</w:t>
      </w:r>
    </w:p>
    <w:p w:rsidR="002053B9" w:rsidRDefault="005A1E4A">
      <w:pPr>
        <w:pStyle w:val="BodyText"/>
      </w:pPr>
      <w:r>
        <w:rPr>
          <w:rtl/>
        </w:rPr>
        <w:t>כמו כן, יש לומר שאומר שכיון שלא בהכרח מהני, אינו בכלל סתם גירושין שאומר תורה, שתורה אומר שאחר גירושין זה יכול לישא, אבל אחר גירושין זה לא יכולה לישא. (ויש לדון, שאם הוא גירשוין, אז, יכולה לישא. אולי מניחים שמחמירים עלה עד קי</w:t>
      </w:r>
      <w:r>
        <w:rPr>
          <w:rtl/>
        </w:rPr>
        <w:t>ום התנאי. ואם תאמר הרי תוס' דייק נגד זה. אולי צריך לומר שזה נגד רבי עקיבא, כיון שנדחה.) אולי, אז, יש לומר שסובר שמה שיש בו איסור אינו סיבה שאינו בסתימות הקרא, ובזה חלק על רבי טרפון. רבי טרפון לא סובר שזה סיבה לומר שאינו בסתימות הקרא (אולי מפני שסבר שמותר ל</w:t>
      </w:r>
      <w:r>
        <w:rPr>
          <w:rtl/>
        </w:rPr>
        <w:t>ישא אף שיש תנאי). ותחשב.</w:t>
      </w:r>
    </w:p>
    <w:p w:rsidR="002053B9" w:rsidRDefault="002053B9">
      <w:pPr>
        <w:pStyle w:val="BodyText"/>
      </w:pPr>
    </w:p>
    <w:p w:rsidR="002053B9" w:rsidRDefault="005A1E4A">
      <w:pPr>
        <w:pStyle w:val="BodyText"/>
      </w:pPr>
      <w:r>
        <w:rPr>
          <w:rtl/>
        </w:rPr>
        <w:lastRenderedPageBreak/>
        <w:t>אכתב את זה קצת יותר טוב:</w:t>
      </w:r>
    </w:p>
    <w:p w:rsidR="002053B9" w:rsidRDefault="005A1E4A">
      <w:pPr>
        <w:pStyle w:val="BodyText"/>
      </w:pPr>
      <w:r>
        <w:rPr>
          <w:rtl/>
        </w:rPr>
        <w:t>נראה שיש ארבע תוצאות כאן (שאולי יכולים לעשות שלא יחול):</w:t>
      </w:r>
    </w:p>
    <w:p w:rsidR="002053B9" w:rsidRDefault="005A1E4A">
      <w:pPr>
        <w:pStyle w:val="BodyText"/>
        <w:numPr>
          <w:ilvl w:val="0"/>
          <w:numId w:val="24"/>
        </w:numPr>
      </w:pPr>
      <w:r>
        <w:rPr>
          <w:rtl/>
        </w:rPr>
        <w:t>גט בטל.</w:t>
      </w:r>
    </w:p>
    <w:p w:rsidR="002053B9" w:rsidRDefault="005A1E4A">
      <w:pPr>
        <w:pStyle w:val="BodyText"/>
        <w:numPr>
          <w:ilvl w:val="0"/>
          <w:numId w:val="24"/>
        </w:numPr>
      </w:pPr>
      <w:r>
        <w:rPr>
          <w:rtl/>
        </w:rPr>
        <w:t>בנים ממזרים. (נכלל בזה מה שאשה עצמה גם כן פסולה).</w:t>
      </w:r>
    </w:p>
    <w:p w:rsidR="002053B9" w:rsidRDefault="005A1E4A">
      <w:pPr>
        <w:pStyle w:val="BodyText"/>
        <w:numPr>
          <w:ilvl w:val="0"/>
          <w:numId w:val="24"/>
        </w:numPr>
      </w:pPr>
      <w:r>
        <w:rPr>
          <w:rtl/>
        </w:rPr>
        <w:t>איסור אשת איש קרה. בזה יש לדון אם הענין הוא סיבת האיסור או איסור עצמה.</w:t>
      </w:r>
    </w:p>
    <w:p w:rsidR="002053B9" w:rsidRDefault="005A1E4A">
      <w:pPr>
        <w:pStyle w:val="BodyText"/>
        <w:numPr>
          <w:ilvl w:val="0"/>
          <w:numId w:val="24"/>
        </w:numPr>
      </w:pPr>
      <w:r>
        <w:rPr>
          <w:rtl/>
        </w:rPr>
        <w:t xml:space="preserve">אולי יש איסור לישא </w:t>
      </w:r>
      <w:r>
        <w:rPr>
          <w:rtl/>
        </w:rPr>
        <w:t>כל איש, מחמת חשש זה</w:t>
      </w:r>
      <w:r>
        <w:rPr>
          <w:rStyle w:val="FootnoteReference1"/>
          <w:rtl/>
        </w:rPr>
        <w:footnoteReference w:id="32"/>
      </w:r>
      <w:r>
        <w:rPr>
          <w:rtl/>
        </w:rPr>
        <w:t>. גם עברה על זה.</w:t>
      </w:r>
    </w:p>
    <w:p w:rsidR="002053B9" w:rsidRDefault="005A1E4A">
      <w:pPr>
        <w:pStyle w:val="BodyText"/>
      </w:pPr>
      <w:r>
        <w:rPr>
          <w:rtl/>
        </w:rPr>
        <w:t>יש לדון איזה בעיא גורמים אלו. לכאורה, ראשון ושלישי של שם מיוסדים על איסור, ואז יכולים לומר רק צד שלישי או רביעי של כאן. לשאר צדדים שם, יש לומר שאין הענין מה שגורם איסור, אלא שגורם דבר חשוב. (אז, יש לומר או שחולקים רבי ט</w:t>
      </w:r>
      <w:r>
        <w:rPr>
          <w:rtl/>
        </w:rPr>
        <w:t>רפון ורבי עקיבה איזה מן הצדדים שם נכונים או חולקים מה מחשיב אותו לצדדים אלו, אם הוא דבר חשוב (או עבירה זה) או עבירה שמזכיר ר"ט. ותחשב.)</w:t>
      </w:r>
    </w:p>
    <w:p w:rsidR="002053B9" w:rsidRDefault="005A1E4A">
      <w:pPr>
        <w:pStyle w:val="BodyText"/>
      </w:pPr>
      <w:r>
        <w:rPr>
          <w:rtl/>
        </w:rPr>
        <w:t>גם אפשר לפרש שהוא דבר אחר, והוא שכיון שאולי יבטל הגט, אף כשלא נתבטל לא נחשבה כרותה. אפשר לומר כן, באמת, גם בראב"ע.</w:t>
      </w:r>
    </w:p>
    <w:p w:rsidR="002053B9" w:rsidRDefault="005A1E4A">
      <w:pPr>
        <w:pStyle w:val="BodyText"/>
      </w:pPr>
      <w:r>
        <w:rPr>
          <w:rtl/>
        </w:rPr>
        <w:t xml:space="preserve">עיין </w:t>
      </w:r>
      <w:r>
        <w:rPr>
          <w:rtl/>
        </w:rPr>
        <w:t>ברשי שכ', "לא אמרה תורה כריתות שמביא את ישראל לידי פסול." מרשי משמע שהתוצאה החשובה כאן הוא שני. לכאורה, כן מסתבר אף מלשון גמרא, שצריך להיות אחד מן החשובים, שנזכר, ואפשר שאין ראשון חשוב, שאולי רק נזכר כדי לומר שני (אמר ראשון כדי לבאר סיבת שני).</w:t>
      </w:r>
    </w:p>
    <w:p w:rsidR="002053B9" w:rsidRDefault="005A1E4A">
      <w:pPr>
        <w:pStyle w:val="BodyText"/>
      </w:pPr>
      <w:r>
        <w:rPr>
          <w:rtl/>
        </w:rPr>
        <w:t>גם נראה שלשו</w:t>
      </w:r>
      <w:r>
        <w:rPr>
          <w:rtl/>
        </w:rPr>
        <w:t>נו משמע, כמו שהיה משמע לעיל, כצד רביעי במה עושה. אבל, היה לנו קושיות על אותו צד. ותחשב.</w:t>
      </w:r>
    </w:p>
    <w:p w:rsidR="002053B9" w:rsidRDefault="002053B9">
      <w:pPr>
        <w:pStyle w:val="BodyText"/>
      </w:pPr>
    </w:p>
    <w:p w:rsidR="002053B9" w:rsidRDefault="005A1E4A">
      <w:pPr>
        <w:pStyle w:val="Heading2"/>
      </w:pPr>
      <w:bookmarkStart w:id="15" w:name="_Toc135840629"/>
      <w:r>
        <w:rPr>
          <w:rtl/>
        </w:rPr>
        <w:t>דחייה:</w:t>
      </w:r>
      <w:bookmarkEnd w:id="15"/>
    </w:p>
    <w:p w:rsidR="002053B9" w:rsidRDefault="005A1E4A">
      <w:pPr>
        <w:pStyle w:val="BodyText"/>
      </w:pPr>
      <w:r>
        <w:rPr>
          <w:rtl/>
        </w:rPr>
        <w:t>אי הכי בכולה תאי דעלמא נמי לא תנסוב דלמא לא מקיימא ליה לתנאיה ונמצא גט בטל ובניה ממזרים.</w:t>
      </w:r>
    </w:p>
    <w:p w:rsidR="002053B9" w:rsidRDefault="002053B9">
      <w:pPr>
        <w:pStyle w:val="BodyText"/>
      </w:pPr>
    </w:p>
    <w:p w:rsidR="002053B9" w:rsidRDefault="005A1E4A">
      <w:pPr>
        <w:pStyle w:val="BodyText"/>
      </w:pPr>
      <w:r>
        <w:rPr>
          <w:rtl/>
        </w:rPr>
        <w:t>יש להעיר שיש שני דרכים לקרוא את זה:</w:t>
      </w:r>
    </w:p>
    <w:p w:rsidR="002053B9" w:rsidRDefault="005A1E4A">
      <w:pPr>
        <w:pStyle w:val="BodyText"/>
        <w:numPr>
          <w:ilvl w:val="0"/>
          <w:numId w:val="25"/>
        </w:numPr>
      </w:pPr>
      <w:r>
        <w:rPr>
          <w:rtl/>
        </w:rPr>
        <w:t>הדרך הפשוט לדחות את זה הוא שמקשה ש</w:t>
      </w:r>
      <w:r>
        <w:rPr>
          <w:rtl/>
        </w:rPr>
        <w:t>יהיה איסור לישא איש, אף שגט מהני, מחמת ספק שגט לא מהני.</w:t>
      </w:r>
    </w:p>
    <w:p w:rsidR="002053B9" w:rsidRDefault="005A1E4A">
      <w:pPr>
        <w:pStyle w:val="BodyText"/>
        <w:numPr>
          <w:ilvl w:val="0"/>
          <w:numId w:val="25"/>
        </w:numPr>
      </w:pPr>
      <w:r>
        <w:rPr>
          <w:rtl/>
        </w:rPr>
        <w:t>אפשר לקרוא בדוחק שמקשה שלא ישא לשום מגורשת, שכל גט לא יחול, כיון שדילמא לא מקיימא לתנאיה.</w:t>
      </w:r>
    </w:p>
    <w:p w:rsidR="002053B9" w:rsidRDefault="005A1E4A">
      <w:pPr>
        <w:pStyle w:val="BodyText"/>
      </w:pPr>
      <w:r>
        <w:rPr>
          <w:rtl/>
        </w:rPr>
        <w:t xml:space="preserve">לכאורה, הראשון מהני רק אם בא להוכיח שאין איסור מחמת זה לישא לכל. זה שייך רק לצד שלישי במהו עושה, או בצד רביעי </w:t>
      </w:r>
      <w:r>
        <w:rPr>
          <w:rtl/>
        </w:rPr>
        <w:t>בתוצאות</w:t>
      </w:r>
      <w:r>
        <w:rPr>
          <w:rStyle w:val="FootnoteReference1"/>
          <w:rtl/>
        </w:rPr>
        <w:footnoteReference w:id="33"/>
      </w:r>
      <w:r>
        <w:rPr>
          <w:rtl/>
        </w:rPr>
        <w:t>. ותחשב.</w:t>
      </w:r>
    </w:p>
    <w:p w:rsidR="002053B9" w:rsidRDefault="005A1E4A">
      <w:pPr>
        <w:pStyle w:val="BodyText"/>
      </w:pPr>
      <w:r>
        <w:rPr>
          <w:rtl/>
        </w:rPr>
        <w:t>אם לא נאמר כן, נצטרך לומר כצד שני.</w:t>
      </w:r>
    </w:p>
    <w:p w:rsidR="002053B9" w:rsidRDefault="002053B9">
      <w:pPr>
        <w:pStyle w:val="BodyText"/>
      </w:pPr>
    </w:p>
    <w:p w:rsidR="002053B9" w:rsidRDefault="005A1E4A">
      <w:pPr>
        <w:pStyle w:val="Heading2"/>
      </w:pPr>
      <w:bookmarkStart w:id="16" w:name="_Toc135840630"/>
      <w:r>
        <w:rPr>
          <w:rtl/>
        </w:rPr>
        <w:t>מה הניח:</w:t>
      </w:r>
      <w:bookmarkEnd w:id="16"/>
    </w:p>
    <w:p w:rsidR="002053B9" w:rsidRDefault="005A1E4A">
      <w:pPr>
        <w:pStyle w:val="BodyText"/>
      </w:pPr>
      <w:r>
        <w:rPr>
          <w:rtl/>
        </w:rPr>
        <w:t xml:space="preserve">גמרא מוכיח שמניח שחולקים ב"על מנת," שאילו היו חולקים בחוץ, אחר שנשאה את הראשון, לא היתה אסורה לה לישא את השני. לכאורה, היה אפשר לומר, אף בלי זה, שכיון שרק אמר חוץ, לא יהיה נמצא שגט בטל ולא יהיה </w:t>
      </w:r>
      <w:r>
        <w:rPr>
          <w:rtl/>
        </w:rPr>
        <w:t>נמצא שבניה ממזרים, שהרי עדיין יהיה הגט חל, שלא היה תלוי בשום דבר. לכאורה, צריך לומר שרק נקט קושיה אחת. אולי נקט זה כיון שכבר השיב מחמתו.</w:t>
      </w:r>
    </w:p>
    <w:p w:rsidR="002053B9" w:rsidRDefault="005A1E4A">
      <w:pPr>
        <w:pStyle w:val="BodyText"/>
      </w:pPr>
      <w:r>
        <w:rPr>
          <w:rtl/>
        </w:rPr>
        <w:t>היה אפשר להוכיח מכאן, אם לא נדחה כמה שכתבנו, שאף איסור שיכול לבוא על ידי חוץ יהיה די לעשות שאין כריתות לפי צד זה. אם כן</w:t>
      </w:r>
      <w:r>
        <w:rPr>
          <w:rtl/>
        </w:rPr>
        <w:t>, לכאורה, צריך לומר שאין הענין תוצאה רביעית. ותחשב.</w:t>
      </w:r>
    </w:p>
    <w:p w:rsidR="002053B9" w:rsidRDefault="005A1E4A">
      <w:pPr>
        <w:bidi w:val="0"/>
      </w:pPr>
      <w:r>
        <w:br w:type="page"/>
      </w:r>
    </w:p>
    <w:p w:rsidR="002053B9" w:rsidRDefault="005A1E4A">
      <w:pPr>
        <w:pStyle w:val="Heading2"/>
      </w:pPr>
      <w:bookmarkStart w:id="17" w:name="_Toc135840631"/>
      <w:r>
        <w:rPr>
          <w:rtl/>
        </w:rPr>
        <w:lastRenderedPageBreak/>
        <w:t>קושיה שניה:</w:t>
      </w:r>
      <w:bookmarkEnd w:id="17"/>
    </w:p>
    <w:p w:rsidR="002053B9" w:rsidRDefault="005A1E4A">
      <w:pPr>
        <w:pStyle w:val="BodyText"/>
      </w:pPr>
      <w:r>
        <w:rPr>
          <w:rtl/>
        </w:rPr>
        <w:t>אם אדם גירש חוץ מאחד, ושוב מת, נמצא שאינה גרושה לאותו אחד, ואם כהן הוא, מותרת לו. עדיין יהיה אסור מחמת צד גירושין שבה, שכתיב, "גרושה מאישה.". אם כן, קל וחומר שיהיה אשת איש אסורה מחמת צד איסו</w:t>
      </w:r>
      <w:r>
        <w:rPr>
          <w:rtl/>
        </w:rPr>
        <w:t>ר אשת איש.</w:t>
      </w:r>
    </w:p>
    <w:p w:rsidR="002053B9" w:rsidRDefault="002053B9">
      <w:pPr>
        <w:pStyle w:val="BodyText"/>
      </w:pPr>
    </w:p>
    <w:p w:rsidR="002053B9" w:rsidRDefault="005A1E4A">
      <w:pPr>
        <w:pStyle w:val="BodyText"/>
      </w:pPr>
      <w:r>
        <w:rPr>
          <w:rtl/>
        </w:rPr>
        <w:t>נראה שלש פשטים:</w:t>
      </w:r>
    </w:p>
    <w:p w:rsidR="002053B9" w:rsidRDefault="005A1E4A">
      <w:pPr>
        <w:pStyle w:val="BodyText"/>
        <w:numPr>
          <w:ilvl w:val="0"/>
          <w:numId w:val="26"/>
        </w:numPr>
      </w:pPr>
      <w:r>
        <w:rPr>
          <w:rtl/>
        </w:rPr>
        <w:t xml:space="preserve">מניח שאיסור לכהן בא ממה שיש לה שם גרושה לשאר בני אדם. נשואים בין כהן למי שיש לה שם גרושה הם רעים. אף שאין לה שם זה נגדו (ר"ל בקרק' חשובים שלו, אין אותו גירושין חשוב, כמו שבארנו), אבל יש לנגד שאר בני אדם; וזה, גופא, נותן השם לה </w:t>
      </w:r>
      <w:r>
        <w:rPr>
          <w:rtl/>
        </w:rPr>
        <w:t>אף לנגדו, וממילא רע לו לישא אותה.</w:t>
      </w:r>
    </w:p>
    <w:p w:rsidR="002053B9" w:rsidRDefault="005A1E4A">
      <w:pPr>
        <w:pStyle w:val="BodyText"/>
        <w:ind w:left="720"/>
      </w:pPr>
      <w:r>
        <w:rPr>
          <w:rtl/>
        </w:rPr>
        <w:t>אז, כמו כן באשת איש, תהיה לה שם אשת איש- ורע לישא מי שיש לה שם אשת איש- כיון שלשאר בני אדם יש לה אותו שם.</w:t>
      </w:r>
    </w:p>
    <w:p w:rsidR="002053B9" w:rsidRDefault="005A1E4A">
      <w:pPr>
        <w:pStyle w:val="BodyText"/>
        <w:numPr>
          <w:ilvl w:val="0"/>
          <w:numId w:val="26"/>
        </w:numPr>
      </w:pPr>
      <w:r>
        <w:rPr>
          <w:rtl/>
        </w:rPr>
        <w:t>מניח שאיסור לכהן הוא ממה שגירושין בטל את יחסה לבעלה. אף שלא בטל כל היחסים, אלא רק מקצת מהם, עדיין אסור הוא. נמצא שמק</w:t>
      </w:r>
      <w:r>
        <w:rPr>
          <w:rtl/>
        </w:rPr>
        <w:t>צת סיבתו עדיין אוסר אותו.</w:t>
      </w:r>
    </w:p>
    <w:p w:rsidR="002053B9" w:rsidRDefault="005A1E4A">
      <w:pPr>
        <w:pStyle w:val="BodyText"/>
        <w:ind w:left="720"/>
      </w:pPr>
      <w:r>
        <w:rPr>
          <w:rtl/>
        </w:rPr>
        <w:t>כמו כן באשה איש, שיחס לה לבעל הוא שאוסר, נאמר שכשיש רק מקצת הסיבה לאסור, עדיין אסור. ותחשב.</w:t>
      </w:r>
      <w:r>
        <w:rPr>
          <w:rStyle w:val="FootnoteReference1"/>
          <w:rtl/>
        </w:rPr>
        <w:footnoteReference w:id="34"/>
      </w:r>
    </w:p>
    <w:p w:rsidR="002053B9" w:rsidRDefault="005A1E4A">
      <w:pPr>
        <w:pStyle w:val="BodyText"/>
        <w:numPr>
          <w:ilvl w:val="0"/>
          <w:numId w:val="26"/>
        </w:numPr>
      </w:pPr>
      <w:r>
        <w:rPr>
          <w:rtl/>
        </w:rPr>
        <w:t>מניח שאיסור לכהן הוא רק גזירה. אז, כמו שגוזרים על איסור לכהן, שהוא קל, יגזרו אף על אשת איש, שהוא חמור.</w:t>
      </w:r>
      <w:r>
        <w:rPr>
          <w:rStyle w:val="FootnoteReference1"/>
          <w:rtl/>
        </w:rPr>
        <w:footnoteReference w:id="35"/>
      </w:r>
    </w:p>
    <w:p w:rsidR="002053B9" w:rsidRDefault="005A1E4A">
      <w:pPr>
        <w:pStyle w:val="BodyText"/>
      </w:pPr>
      <w:r>
        <w:rPr>
          <w:rtl/>
        </w:rPr>
        <w:t>לשון גמרא (נמצא אלמנה אצלו…)</w:t>
      </w:r>
    </w:p>
    <w:p w:rsidR="002053B9" w:rsidRDefault="002053B9">
      <w:pPr>
        <w:pStyle w:val="BodyText"/>
      </w:pPr>
    </w:p>
    <w:p w:rsidR="002053B9" w:rsidRDefault="005A1E4A">
      <w:pPr>
        <w:pStyle w:val="BodyText"/>
      </w:pPr>
      <w:r>
        <w:rPr>
          <w:rtl/>
        </w:rPr>
        <w:t>צרי</w:t>
      </w:r>
      <w:r>
        <w:rPr>
          <w:rtl/>
        </w:rPr>
        <w:t>ך ביאור למה נקט ציור זה, ולא נקט ציור של קרא (כשרק מגרש מאישה). אפשר לומר ששם הוא מחמת גזירה, ולא מנסה להוכיח גזירה לכאן</w:t>
      </w:r>
      <w:r>
        <w:rPr>
          <w:rStyle w:val="FootnoteReference1"/>
          <w:rtl/>
        </w:rPr>
        <w:footnoteReference w:id="36"/>
      </w:r>
      <w:r>
        <w:rPr>
          <w:rtl/>
        </w:rPr>
        <w:t>. קרא לא מזכיר ציור כלל שבו ממש נאסר. עדיין יש לדון, שהיה לו לנקט אותו ציור כיון שהוא ראיה יות חזקה, ששם היא גרושה רק אצל אחד. ותחשב.</w:t>
      </w:r>
    </w:p>
    <w:p w:rsidR="002053B9" w:rsidRDefault="002053B9">
      <w:pPr>
        <w:pStyle w:val="BodyText"/>
      </w:pPr>
    </w:p>
    <w:p w:rsidR="002053B9" w:rsidRDefault="005A1E4A">
      <w:pPr>
        <w:pStyle w:val="BodyText"/>
      </w:pPr>
      <w:r>
        <w:rPr>
          <w:rtl/>
        </w:rPr>
        <w:t xml:space="preserve">יש להעיר שרבנן סוברים שאיסור כהונה שאני. אם כן, לכאורה, לא יוכל רבי עקיבא לומר כן, שהיה לו לפרוך שאיסור כהונה שאני. נראה שאותו רבנן שלעיל לא סברו כרבי עקיבא. אלא, ר"ע סובר שאסורה שם, והוא מפני שיש קצת גירושין, שהוא סיבה לאיסור. כמו כן כאן, שיש סיבה לאיסור </w:t>
      </w:r>
      <w:r>
        <w:rPr>
          <w:rtl/>
        </w:rPr>
        <w:t xml:space="preserve">אשת איש, יהיה איסור, אף שאין כל כך סיבה. אבל רבנן לא רצו לדחות כן. </w:t>
      </w:r>
    </w:p>
    <w:p w:rsidR="002053B9" w:rsidRDefault="005A1E4A">
      <w:pPr>
        <w:pStyle w:val="BodyText"/>
      </w:pPr>
      <w:r>
        <w:rPr>
          <w:rtl/>
        </w:rPr>
        <w:t>אבל, צריך ביאור, אז, מה סוברים רבנן, ול"ל דחה גמרא כן (ר"ל, כאיזה דיחוי שנדחה</w:t>
      </w:r>
      <w:r>
        <w:rPr>
          <w:rStyle w:val="FootnoteReference1"/>
          <w:rtl/>
        </w:rPr>
        <w:footnoteReference w:id="37"/>
      </w:r>
      <w:r>
        <w:rPr>
          <w:rtl/>
        </w:rPr>
        <w:t xml:space="preserve"> לרבנן) לרבי אליעזר. נראה שרבנן סוברים (וצריך ביאור ל"ל אמר גמרא כן לעיל) כרבי אליעזר של כאן, אלא שסוברים שאי </w:t>
      </w:r>
      <w:r>
        <w:rPr>
          <w:rtl/>
        </w:rPr>
        <w:t>אפשר לאדם להיות מקצת מגורשת. אז, אותו דין בכהונה, אם לא שנאמר שהוא גזירה חמורה, יהיה קשה עליהם. אז, צריכים לתרץ שאיסור כהונה שאני. ותחשב.</w:t>
      </w:r>
    </w:p>
    <w:p w:rsidR="002053B9" w:rsidRDefault="005A1E4A">
      <w:pPr>
        <w:pStyle w:val="BodyText"/>
      </w:pPr>
      <w:r>
        <w:rPr>
          <w:rtl/>
        </w:rPr>
        <w:t xml:space="preserve">ויש להעיר שאז נמצא שכשאומר גמרא שיש לר"ע פירכא, לא רק יש לו פירכא, אבל לפי הבנתו גם אין מקור לרבי אליעזר. אז, לכאורה, </w:t>
      </w:r>
      <w:r>
        <w:rPr>
          <w:rtl/>
        </w:rPr>
        <w:t xml:space="preserve">יש עוד סיבה לומר כמו שאומר רבא, שהוא כרבי ינאי, ולא כרבי יוחנן, שכן משמע ממה שזה רק נקרא פירכא. </w:t>
      </w:r>
    </w:p>
    <w:p w:rsidR="002053B9" w:rsidRDefault="002053B9">
      <w:pPr>
        <w:pStyle w:val="BodyText"/>
      </w:pPr>
    </w:p>
    <w:p w:rsidR="002053B9" w:rsidRDefault="005A1E4A">
      <w:pPr>
        <w:pStyle w:val="BodyText"/>
      </w:pPr>
      <w:r>
        <w:rPr>
          <w:rtl/>
        </w:rPr>
        <w:t>במילים אחרים, נמצא שר"א הביא למקור קרא זה לומר שמה שנגרשת כך הוא חשוב. אם כן, לכאורה, יתיר. דוחה רבי עקיבא, ואף מקשה מחמת זה, שכיון שאותם גירושין חשובים, כל ש</w:t>
      </w:r>
      <w:r>
        <w:rPr>
          <w:rtl/>
        </w:rPr>
        <w:t xml:space="preserve">כן שיהיה אותו אשת איש חושב. ותו"ת. </w:t>
      </w:r>
    </w:p>
    <w:p w:rsidR="002053B9" w:rsidRDefault="002053B9">
      <w:pPr>
        <w:pStyle w:val="BodyText"/>
      </w:pPr>
    </w:p>
    <w:p w:rsidR="002053B9" w:rsidRDefault="005A1E4A">
      <w:pPr>
        <w:pStyle w:val="Heading2"/>
      </w:pPr>
      <w:bookmarkStart w:id="18" w:name="_Toc135840632"/>
      <w:r>
        <w:rPr>
          <w:rtl/>
        </w:rPr>
        <w:t>דחייה:</w:t>
      </w:r>
      <w:bookmarkEnd w:id="18"/>
    </w:p>
    <w:p w:rsidR="002053B9" w:rsidRDefault="005A1E4A">
      <w:pPr>
        <w:pStyle w:val="BodyText"/>
      </w:pPr>
      <w:r>
        <w:rPr>
          <w:rtl/>
        </w:rPr>
        <w:t>איסור כהונה שאני, והוא יותר חמור.</w:t>
      </w:r>
    </w:p>
    <w:p w:rsidR="002053B9" w:rsidRDefault="005A1E4A">
      <w:pPr>
        <w:pStyle w:val="BodyText"/>
      </w:pPr>
      <w:r>
        <w:rPr>
          <w:rtl/>
        </w:rPr>
        <w:t>מקשה גמרא שר"א לא יכול לסבור כזה, שגופא למד מאיסור כהונה. דוחה שרבא (שאמר שיש לר"ע תיובתא) לא סובר שלומד אותו מאיסורי כהונה, אלא לומד אותו מ"והיתה לאיש אחר." (באמת, לא צריך לומר,</w:t>
      </w:r>
      <w:r>
        <w:rPr>
          <w:rtl/>
        </w:rPr>
        <w:t xml:space="preserve"> אז, שאיסור כהונה שאני, אלא יכול לומר שלא דורש "באישה" כך כלל, אלא דורש דרשה אחרת ממנו, כמו שמזכיר גמרא בפרק האשה רבה.) ודע שאז כשאומר שאיסור כהונה שאני, לא רק אומר שמסברה איסור כהונה הוא יותר חמור, אלא אפשר שאומר שגילה קרא שיש לו אותו חומרא יתירה עליו, שה</w:t>
      </w:r>
      <w:r>
        <w:rPr>
          <w:rtl/>
        </w:rPr>
        <w:t xml:space="preserve">רי גילה קרא, סובר ר"א, שאין איסור זה נוהג באשת איש. אז, צריך לומר, סובר, שגילוי קרא בכהונה </w:t>
      </w:r>
      <w:r>
        <w:rPr>
          <w:rtl/>
        </w:rPr>
        <w:lastRenderedPageBreak/>
        <w:t>אומר שאיסור כהונה חלוק מאיסור אישות. רבי עקיבא סובר שאין זה מסתבר, ואז צריך לומר שלא לדרוש קרא של "איש אחר" כך. (קצת צריך ביאור, אז, למה צריכים אותו קרא כלל לרבנן, ש</w:t>
      </w:r>
      <w:r>
        <w:rPr>
          <w:rtl/>
        </w:rPr>
        <w:t>בוודאי יש מקור כבר, שיש קל וחומר זה. וצריך לומר שר"ע לא סובר שהוא מיותר. ועיין בתוס' רא"ש שסובר שאין רבנן דורשים קרא זה כלל.)</w:t>
      </w:r>
    </w:p>
    <w:p w:rsidR="002053B9" w:rsidRDefault="002053B9">
      <w:pPr>
        <w:pStyle w:val="BodyText"/>
      </w:pPr>
    </w:p>
    <w:p w:rsidR="002053B9" w:rsidRDefault="005A1E4A">
      <w:pPr>
        <w:pStyle w:val="BodyText"/>
      </w:pPr>
      <w:r>
        <w:rPr>
          <w:rtl/>
        </w:rPr>
        <w:t>(ויש להעיר שאולי זה קצת סיבה להניח כרבי יוחנן, שלרבי יוחנן, לא נמצא דיחוי כל כך חזקה על ר"ע. נראה שאולי לא קשה לומר שר"ע נפרך, לש</w:t>
      </w:r>
      <w:r>
        <w:rPr>
          <w:rtl/>
        </w:rPr>
        <w:t>ני סיבות:</w:t>
      </w:r>
    </w:p>
    <w:p w:rsidR="002053B9" w:rsidRDefault="005A1E4A">
      <w:pPr>
        <w:pStyle w:val="BodyText"/>
        <w:numPr>
          <w:ilvl w:val="0"/>
          <w:numId w:val="27"/>
        </w:numPr>
      </w:pPr>
      <w:r>
        <w:rPr>
          <w:rtl/>
        </w:rPr>
        <w:t>מצאנו תנאים אחרים כאן שנדחו.</w:t>
      </w:r>
    </w:p>
    <w:p w:rsidR="002053B9" w:rsidRDefault="005A1E4A">
      <w:pPr>
        <w:pStyle w:val="BodyText"/>
        <w:numPr>
          <w:ilvl w:val="0"/>
          <w:numId w:val="27"/>
        </w:numPr>
      </w:pPr>
      <w:r>
        <w:rPr>
          <w:rtl/>
        </w:rPr>
        <w:t>לא רוצים שיידחה כיון שלא מסתבר שטעה. אבל, בהכרח אחד טעה (שלא היה קשה לר"א). אז, לא קשה יותר לומר שר"ע הוא הטועה. ותחשב.)</w:t>
      </w:r>
    </w:p>
    <w:p w:rsidR="002053B9" w:rsidRDefault="002053B9">
      <w:pPr>
        <w:pStyle w:val="BodyText"/>
      </w:pPr>
    </w:p>
    <w:p w:rsidR="002053B9" w:rsidRDefault="005A1E4A">
      <w:pPr>
        <w:pStyle w:val="BodyText"/>
      </w:pPr>
      <w:r>
        <w:rPr>
          <w:rtl/>
        </w:rPr>
        <w:t>יש לדון למה איסורי כהונה שאני:</w:t>
      </w:r>
    </w:p>
    <w:p w:rsidR="002053B9" w:rsidRDefault="005A1E4A">
      <w:pPr>
        <w:pStyle w:val="BodyText"/>
        <w:numPr>
          <w:ilvl w:val="0"/>
          <w:numId w:val="29"/>
        </w:numPr>
      </w:pPr>
      <w:r>
        <w:rPr>
          <w:rtl/>
        </w:rPr>
        <w:t xml:space="preserve">אולי הוא מפני שמי שעשה אותו הוא יותר קדוש. כמו שכשגוי עושה חטא, </w:t>
      </w:r>
      <w:r>
        <w:rPr>
          <w:rtl/>
        </w:rPr>
        <w:t>אינו רע (ולכן, מסתמא, לא צווה אותו ה'), מפני שאינו כל כך קדוש, אף כשכהן עבר, מפני קדושתו, הוא יותר רע. לכאורה, הוא מפני שעבירה סותר קדושה, ואז מי שיותר קדוש בורא יותר רע ע"י אותו סתירה.</w:t>
      </w:r>
    </w:p>
    <w:p w:rsidR="002053B9" w:rsidRDefault="005A1E4A">
      <w:pPr>
        <w:pStyle w:val="BodyText"/>
        <w:ind w:left="720"/>
      </w:pPr>
      <w:r>
        <w:rPr>
          <w:rtl/>
        </w:rPr>
        <w:t>הקושיה הפשוטה על זה הוא שאם כן, יהיה אותו דין כן אף כשהנתמעט כהן. אולי</w:t>
      </w:r>
      <w:r>
        <w:rPr>
          <w:rtl/>
        </w:rPr>
        <w:t xml:space="preserve"> צריך לומר שלא פלוג הוא, ותורה השווה דינים של בני ישראל. כוהן נגרר בתר בני ישראל. גם יש לומר שמה שאיסור הוא מן איסורי כהונה עושה שקדושת כהונה שיש לו הוא יותר חשוב. ממילא, הוא יותר רע אם עובר.</w:t>
      </w:r>
    </w:p>
    <w:p w:rsidR="002053B9" w:rsidRDefault="005A1E4A">
      <w:pPr>
        <w:pStyle w:val="BodyText"/>
        <w:numPr>
          <w:ilvl w:val="0"/>
          <w:numId w:val="29"/>
        </w:numPr>
      </w:pPr>
      <w:r>
        <w:rPr>
          <w:rtl/>
        </w:rPr>
        <w:t xml:space="preserve">אולי חלק מן הרע של עבירה הוא מה שמבזה את קדושתו, שעושה דבר שהוא </w:t>
      </w:r>
      <w:r>
        <w:rPr>
          <w:rtl/>
        </w:rPr>
        <w:t>רע מחמת קדושתו (ואולי אף דבר שהוא רע לקדושתו). דברים אלו הם רעים מחמת גודל קדושת כוהן. אז, כשעושה אחד מהם, מראה שלא רוצה אותו קדושה גדולה.</w:t>
      </w:r>
    </w:p>
    <w:p w:rsidR="002053B9" w:rsidRDefault="005A1E4A">
      <w:pPr>
        <w:pStyle w:val="BodyText"/>
        <w:ind w:left="720"/>
      </w:pPr>
      <w:r>
        <w:rPr>
          <w:rtl/>
        </w:rPr>
        <w:t>לא נראה כן, שאם עושה עבירה רגילה, מראה שלא רוצה שום קדושה, אבל כשעושה זה, רק מראה שלא רוצה כל כך קדושה, אבל אולי רוצה</w:t>
      </w:r>
      <w:r>
        <w:rPr>
          <w:rtl/>
        </w:rPr>
        <w:t xml:space="preserve"> שום קדושה. צריך לומר דלא כזה, אלא שיותר מסתבר לרצות הרבה קדושה מלרצות מקצת קדושה. אז, כשכוהן עובר על עבירה שבא מחמת ריבוי קדושתו, הרי כפר בקודשה גדולה וקטנה.</w:t>
      </w:r>
    </w:p>
    <w:p w:rsidR="002053B9" w:rsidRDefault="002053B9">
      <w:pPr>
        <w:pStyle w:val="BodyText"/>
      </w:pPr>
    </w:p>
    <w:p w:rsidR="002053B9" w:rsidRDefault="005A1E4A">
      <w:pPr>
        <w:pStyle w:val="BodyText"/>
      </w:pPr>
      <w:r>
        <w:rPr>
          <w:rtl/>
        </w:rPr>
        <w:t>יש לדון ל"ל אומרים ש"כל זה אכניס." (באמת, איני יודע כל כך מתי אומרים כל זה אכניס, ולמה לא אומרים</w:t>
      </w:r>
      <w:r>
        <w:rPr>
          <w:rtl/>
        </w:rPr>
        <w:t>.) כאן, מצאנו שמסברה היה לו לאיסור גרושה להיות יותר חמור, אבל אינו כן, שחייבים רק חייבים עליו מלקות, אף שעל איסור אשת איש חייבים על יו מיתה. אז, לכאורה, רואים שאף שיש סיבה שהוא יותר חמור, אינו, למעשה, יותר חמור.</w:t>
      </w:r>
      <w:r>
        <w:rPr>
          <w:rStyle w:val="FootnoteReference1"/>
          <w:rtl/>
        </w:rPr>
        <w:footnoteReference w:id="38"/>
      </w:r>
    </w:p>
    <w:p w:rsidR="002053B9" w:rsidRDefault="002053B9">
      <w:pPr>
        <w:pStyle w:val="BodyText"/>
      </w:pPr>
    </w:p>
    <w:p w:rsidR="002053B9" w:rsidRDefault="002053B9">
      <w:pPr>
        <w:pStyle w:val="BodyText"/>
      </w:pPr>
    </w:p>
    <w:p w:rsidR="002053B9" w:rsidRDefault="005A1E4A">
      <w:pPr>
        <w:pStyle w:val="Heading2"/>
      </w:pPr>
      <w:bookmarkStart w:id="19" w:name="_Toc135840633"/>
      <w:r>
        <w:rPr>
          <w:rtl/>
        </w:rPr>
        <w:t>מה הניח:</w:t>
      </w:r>
      <w:bookmarkEnd w:id="19"/>
    </w:p>
    <w:p w:rsidR="002053B9" w:rsidRDefault="005A1E4A">
      <w:pPr>
        <w:pStyle w:val="BodyText"/>
      </w:pPr>
      <w:r>
        <w:rPr>
          <w:rtl/>
        </w:rPr>
        <w:t xml:space="preserve">צריך לומר שהניח שחולקים ב"חוץ," </w:t>
      </w:r>
      <w:r>
        <w:rPr>
          <w:rtl/>
        </w:rPr>
        <w:t>שאילו היו חולקים ב"על מנת," איך יכול לומר שלא נחשבת גרושה אצלו, שהרי גרושה היא אצלו בזנות.</w:t>
      </w:r>
    </w:p>
    <w:p w:rsidR="002053B9" w:rsidRDefault="005A1E4A">
      <w:pPr>
        <w:pStyle w:val="BodyText"/>
      </w:pPr>
      <w:r>
        <w:rPr>
          <w:rtl/>
        </w:rPr>
        <w:t xml:space="preserve">לכאורה, מה שאומר שלא גרושה אצלו הוא מה שאומר ר"ע שאם אדם מגרש אלא מנתמעט, ושוב מת, הרי היא אלמנה אצלו וגרושה אצל כל אדם…. אז, מקשה שאינה אלמנה אצלו, אלא אף אצלו היא </w:t>
      </w:r>
      <w:r>
        <w:rPr>
          <w:rtl/>
        </w:rPr>
        <w:t>גרושה.</w:t>
      </w:r>
    </w:p>
    <w:p w:rsidR="002053B9" w:rsidRDefault="005A1E4A">
      <w:pPr>
        <w:pStyle w:val="BodyText"/>
      </w:pPr>
      <w:r>
        <w:rPr>
          <w:rtl/>
        </w:rPr>
        <w:t>יש להעיר שלא צריכים נקודה זה, לכאורה, לראיה, שיכולים להביא ראיה אף ממה שדורשים שאם היא רק גרושה מאישה, או רק גרושה מאחר, אסורה לישא לכהן. אם כן, לא היה מוכרח רבי עקיבא לומר כן כדי להביא ראיה, אלא היה ראיה על שני הצדדים. אם כן, צריך ביאור למה אמר שני</w:t>
      </w:r>
      <w:r>
        <w:rPr>
          <w:rtl/>
        </w:rPr>
        <w:t xml:space="preserve"> דיחויים, ולא רק דיחוי אחד.</w:t>
      </w:r>
    </w:p>
    <w:p w:rsidR="002053B9" w:rsidRDefault="005A1E4A">
      <w:pPr>
        <w:pStyle w:val="BodyText"/>
      </w:pPr>
      <w:r>
        <w:rPr>
          <w:rtl/>
        </w:rPr>
        <w:t>יותר היה נראה- וצריך ביאור למה לא אמר גמרא כן- שכל הפירכא לא מסתבר על הצד שחולקים בעל מנת, שכוונת רבי עקיבא אינו להראות שלא חל תנאי כזה, אלא שמקצת אישות אוסרת. ר"א יטעון שזה רק תנאי, ואין בו שום אישות. (לצד שלשיי שכתבנו, נראה שא</w:t>
      </w:r>
      <w:r>
        <w:rPr>
          <w:rtl/>
        </w:rPr>
        <w:t>ין זה קשה, שיהיה אותו גזירה, לכאורה, והוא נישואין של מי שלו מותר אגב נישואים של מי שלו אסור.) אבל, למעשה, לאותו צד, צריך ביאור ל"ל אומר דיחוי זה על שני הצדדים של מחלקת ר"א ורבנן.</w:t>
      </w:r>
    </w:p>
    <w:p w:rsidR="002053B9" w:rsidRDefault="002053B9">
      <w:pPr>
        <w:pStyle w:val="BodyText"/>
      </w:pPr>
    </w:p>
    <w:p w:rsidR="002053B9" w:rsidRDefault="005A1E4A">
      <w:pPr>
        <w:pStyle w:val="BodyText"/>
      </w:pPr>
      <w:r>
        <w:rPr>
          <w:rtl/>
        </w:rPr>
        <w:lastRenderedPageBreak/>
        <w:t>גמרא מקשה מה הניח רבי עקיבא, שהרי השיב ל"על מנת," והשיב ל"חוץ." מפרש ששמע שא</w:t>
      </w:r>
      <w:r>
        <w:rPr>
          <w:rtl/>
        </w:rPr>
        <w:t>יכא דאמרי שחולקים בעל מנת, ואיכא דאמרי שחולקים בחוץ, ואז אמר פירכא לשניהם. לכאורה, היה אפשר לומר שסובר שחולקים בשניהם. מגמרא זה, אז, משמע שאי אפשר להיות שחולקים בשניהם.</w:t>
      </w:r>
      <w:r>
        <w:rPr>
          <w:rStyle w:val="FootnoteReference1"/>
          <w:rtl/>
        </w:rPr>
        <w:footnoteReference w:id="39"/>
      </w:r>
    </w:p>
    <w:p w:rsidR="002053B9" w:rsidRDefault="005A1E4A">
      <w:pPr>
        <w:bidi w:val="0"/>
      </w:pPr>
      <w:r>
        <w:br w:type="page"/>
      </w:r>
    </w:p>
    <w:p w:rsidR="002053B9" w:rsidRDefault="005A1E4A">
      <w:pPr>
        <w:pStyle w:val="Heading1"/>
      </w:pPr>
      <w:bookmarkStart w:id="20" w:name="_Toc135840634"/>
      <w:r>
        <w:rPr>
          <w:rtl/>
        </w:rPr>
        <w:lastRenderedPageBreak/>
        <w:t>רבי יהושע</w:t>
      </w:r>
      <w:bookmarkEnd w:id="20"/>
    </w:p>
    <w:p w:rsidR="002053B9" w:rsidRDefault="005A1E4A">
      <w:pPr>
        <w:pStyle w:val="Heading2"/>
      </w:pPr>
      <w:bookmarkStart w:id="21" w:name="_Toc135840635"/>
      <w:r>
        <w:rPr>
          <w:rtl/>
        </w:rPr>
        <w:t>קושיה:</w:t>
      </w:r>
      <w:bookmarkEnd w:id="21"/>
    </w:p>
    <w:p w:rsidR="002053B9" w:rsidRDefault="005A1E4A">
      <w:pPr>
        <w:pStyle w:val="BodyText"/>
      </w:pPr>
      <w:r>
        <w:rPr>
          <w:rtl/>
        </w:rPr>
        <w:t>מקיש קודמי הויה שניה לקודמי הויה ראשונה. מה קודמי הויה ראשונה דלא א</w:t>
      </w:r>
      <w:r>
        <w:rPr>
          <w:rtl/>
        </w:rPr>
        <w:t>גידא באיניש אחרינא, אף קודמי הויה שניה דלא אגידא באיניש אחרינא.</w:t>
      </w:r>
    </w:p>
    <w:p w:rsidR="002053B9" w:rsidRDefault="002053B9">
      <w:pPr>
        <w:pStyle w:val="BodyText"/>
      </w:pPr>
    </w:p>
    <w:p w:rsidR="002053B9" w:rsidRDefault="005A1E4A">
      <w:pPr>
        <w:pStyle w:val="BodyText"/>
      </w:pPr>
      <w:r>
        <w:rPr>
          <w:rtl/>
        </w:rPr>
        <w:t>רש"י מפרש שההיקש בא ממה שכ', "כי יקח איש… והיתה לאיש אחר." אז, מקיש אותם. ההיקש בזה הוא, לכאורה, ממה שסמך אותם. יש להעיר שאינם כל כך סמוכים. גם יש להעיר שלכאורה הם סמוכים מפני שהתורה מבאר הדי</w:t>
      </w:r>
      <w:r>
        <w:rPr>
          <w:rtl/>
        </w:rPr>
        <w:t>ן אחר גירושים של ראשון, ובזה מבאר נישואים של שני. אז, הם באותו דין, ולכן הם בקרוב. אולי מניח שכיון שהם כל כך קרוב, אילו היו חילוקים ביניהם, היה לו לתורה לבאר את זה. דחוק.</w:t>
      </w:r>
    </w:p>
    <w:p w:rsidR="002053B9" w:rsidRDefault="002053B9">
      <w:pPr>
        <w:pStyle w:val="BodyText"/>
      </w:pPr>
    </w:p>
    <w:p w:rsidR="002053B9" w:rsidRDefault="005A1E4A">
      <w:pPr>
        <w:pStyle w:val="BodyText"/>
      </w:pPr>
      <w:r>
        <w:rPr>
          <w:rtl/>
        </w:rPr>
        <w:t>ההיקש מלמד שכמו שלפני קידושין ראשונים, לא היתה נאגדת בשום איש, אף לפני קידושין שניה</w:t>
      </w:r>
      <w:r>
        <w:rPr>
          <w:rtl/>
        </w:rPr>
        <w:t>, לא נאגדת לאיש אחר. לכאורה, ר"ל שאילו היתה לפני גירושין, אי אפשר שהיא נאגדת לאיש אחר, כיון שאז אין קידושין לאחר אפשר. ויש להקשות ל"ל אמר גמרא שיש היקש בין לפני קידושין ראשונה לאחר קידושין ראשונה, שלפני קידושין ראשונה אינה מיוחסת לאיש, ואז אף אחר כך, לא מי</w:t>
      </w:r>
      <w:r>
        <w:rPr>
          <w:rtl/>
        </w:rPr>
        <w:t>וחסת לאיש. ותחשב.</w:t>
      </w:r>
      <w:r>
        <w:rPr>
          <w:rStyle w:val="FootnoteReference1"/>
          <w:rtl/>
        </w:rPr>
        <w:footnoteReference w:id="40"/>
      </w:r>
      <w:r>
        <w:rPr>
          <w:rStyle w:val="FootnoteReference1"/>
          <w:rtl/>
        </w:rPr>
        <w:footnoteReference w:id="41"/>
      </w:r>
      <w:r>
        <w:rPr>
          <w:rtl/>
        </w:rPr>
        <w:t xml:space="preserve"> (אולי יש להוכיח מזה שאין רבנן סוברים שמקצת גירושין יכול לחול. כתבנו צד שאולי רבנן סוברים שיכול מקצת גירושין לחול, אלא שאותו מקצת אישות שנשאר עדיין גורם איסור (או גורם להיות עוד נישואים). נראה לדחות על פי זה: אם תאמר הרי בוודאי אפשר, שיכ</w:t>
      </w:r>
      <w:r>
        <w:rPr>
          <w:rtl/>
        </w:rPr>
        <w:t>ול לתת לה גט פסול, ונמצא שקיים מה שאמר תורה שיתן גט, ועדיין היא מיוחסת לו. ויש לומר שאז אל נכנסת לאותו כלל שאמרה תורה, שתורה אמרה שנתנה גט כשר. אז, יש לדון אם זה בכלל, "ונתן לה ספר כריתות…" שאמרה תורה. ותחשב.)</w:t>
      </w:r>
    </w:p>
    <w:p w:rsidR="002053B9" w:rsidRDefault="005A1E4A">
      <w:pPr>
        <w:pStyle w:val="BodyText"/>
      </w:pPr>
      <w:r>
        <w:rPr>
          <w:rtl/>
        </w:rPr>
        <w:t>נראה שקצת קשה מה מקיש, שלא מזכיר היותה קודם קי</w:t>
      </w:r>
      <w:r>
        <w:rPr>
          <w:rtl/>
        </w:rPr>
        <w:t xml:space="preserve">דושין ראשון, ולא מזכיר היותה קודם קידושין שני. נראה שצריך לומר שלאו דווקא הוא, ורק מכוון לומר שמקיש המצב שהיא כשמקדש אותה הראשון לכשמקדש אותה שני. </w:t>
      </w:r>
    </w:p>
    <w:p w:rsidR="002053B9" w:rsidRDefault="005A1E4A">
      <w:pPr>
        <w:pStyle w:val="BodyText"/>
      </w:pPr>
      <w:r>
        <w:rPr>
          <w:rtl/>
        </w:rPr>
        <w:t>על פי זה, נראה אולי לתרץ למה שהקשינו לעיל  (ל"ל מקיש למצבה אחר גירושין). אילו היה מקיש מצבה למצבה, אז היה מק</w:t>
      </w:r>
      <w:r>
        <w:rPr>
          <w:rtl/>
        </w:rPr>
        <w:t xml:space="preserve">יש דומה לדומה, ויכול להיות מקיש לפני קידושין ללאחר גירושין, ששניהם הם דומים: מצבה בזה הוא כך, ואז אף כאן מצבה כך. אבל, כיון שמקיש החלותים, לענין מה היא בשעת החלות (שרק החלות כתוב), לא מסתבר שמקיש קידושין </w:t>
      </w:r>
    </w:p>
    <w:p w:rsidR="002053B9" w:rsidRDefault="005A1E4A">
      <w:pPr>
        <w:pStyle w:val="BodyText"/>
      </w:pPr>
      <w:r>
        <w:rPr>
          <w:rtl/>
        </w:rPr>
        <w:t>לגירושין שלו; יותר מסתבר שמקיש קידושין לקידושין כיו</w:t>
      </w:r>
      <w:r>
        <w:rPr>
          <w:rtl/>
        </w:rPr>
        <w:t>ן שהם יותר דומים. ותחשב.</w:t>
      </w:r>
    </w:p>
    <w:p w:rsidR="002053B9" w:rsidRDefault="005A1E4A">
      <w:pPr>
        <w:pStyle w:val="BodyText"/>
      </w:pPr>
      <w:r>
        <w:rPr>
          <w:rtl/>
        </w:rPr>
        <w:t>ודע שמצאנו היקש, לפעמים, בין קידושין לגירושין, שהקישים ב"ויצאה והיתה," אבל אולי כאן יותר קל כיון שהם יותר סמוכים. ותחשב.</w:t>
      </w:r>
    </w:p>
    <w:p w:rsidR="002053B9" w:rsidRDefault="002053B9">
      <w:pPr>
        <w:pStyle w:val="BodyText"/>
      </w:pPr>
    </w:p>
    <w:p w:rsidR="002053B9" w:rsidRDefault="005A1E4A">
      <w:pPr>
        <w:pStyle w:val="BodyText"/>
      </w:pPr>
      <w:r>
        <w:rPr>
          <w:rtl/>
        </w:rPr>
        <w:t xml:space="preserve">צריך ביאור איך נלמד מהיקש זה שלא מיוחסת לאחר, שמי יאמר שקודם נישואים ראשונים שמזכיר קרא לא מיוחסת לשום אדם. </w:t>
      </w:r>
      <w:r>
        <w:rPr>
          <w:rtl/>
        </w:rPr>
        <w:t>לכאורה, אין הקרא אומר לנו שנישואים ראשון של קרא הם הנישואים הראשונים שהיתה לה לעלום.</w:t>
      </w:r>
    </w:p>
    <w:p w:rsidR="002053B9" w:rsidRDefault="005A1E4A">
      <w:pPr>
        <w:pStyle w:val="BodyText"/>
      </w:pPr>
      <w:r>
        <w:rPr>
          <w:rtl/>
        </w:rPr>
        <w:t>יש להעיר שכשלומדים אנו הפסוקים ורואים נישואים הראשונים שנזכרים, צריכים אנו להניח שהנישואים הראשונים הם נישואים ראשונים שלה (על כל פנים, אינו אחר גירושין</w:t>
      </w:r>
      <w:r>
        <w:rPr>
          <w:rStyle w:val="FootnoteReference1"/>
          <w:rtl/>
        </w:rPr>
        <w:footnoteReference w:id="42"/>
      </w:r>
      <w:r>
        <w:rPr>
          <w:rtl/>
        </w:rPr>
        <w:t>) , שלא יודעים מוש</w:t>
      </w:r>
      <w:r>
        <w:rPr>
          <w:rtl/>
        </w:rPr>
        <w:t>ג גירושין עד אחר קריאת אותו פסוק. אבל, כיון שאנו קוראים הפסוק שמדבר בענין גירושים, לא צריכים להניח כן עוד, ואז לא נראה שזה סיבה די לדרוש כן.</w:t>
      </w:r>
    </w:p>
    <w:p w:rsidR="002053B9" w:rsidRDefault="002053B9">
      <w:pPr>
        <w:pStyle w:val="BodyText"/>
      </w:pPr>
    </w:p>
    <w:p w:rsidR="002053B9" w:rsidRDefault="005A1E4A">
      <w:pPr>
        <w:pStyle w:val="BodyText"/>
      </w:pPr>
      <w:r>
        <w:rPr>
          <w:rtl/>
        </w:rPr>
        <w:t>יש להעיר שלכאו' נמצא שלר"י יש מקור לדברי חכמים, ולא רק לומדים אותו מסברה (ולא דורשים כר"א). כמו כן יוצא לכמה מן הת</w:t>
      </w:r>
      <w:r>
        <w:rPr>
          <w:rtl/>
        </w:rPr>
        <w:t xml:space="preserve">שובות. יש להעיר שיש מהם שאינם מיותרים, ואז משיבים שקרא משמע כסברה שלהם, ואף שאין צריכים קרא כדי לומר אותו. כמו כן, יש לומר שרבנן לא צריכים קרא, ודורשים דבר אחר מאותו דרשה, אבל סוברים שאילו לא היו יודעים אותו דין מסברה, היו דורשים הקרא לאותו הדין, שכן נשמע </w:t>
      </w:r>
      <w:r>
        <w:rPr>
          <w:rtl/>
        </w:rPr>
        <w:t>או כן מסתבר. כמו כן, יכולים לומר שלרבי אליעזר, שדורש דרשות שלו, בוודאי יש לדרוש דרשה זו. ר"ל, מה שר"א דורש דרשות אלו מוכיח דבר לנו בענין שיטת רבי אליעזר בנוגע לדרשות כעין זה. אולי אותו דבר גם עושה שנניח שר"א ידרוש קראי אלו. אבל, רבנן לא דורשים אותו קרא. ות</w:t>
      </w:r>
      <w:r>
        <w:rPr>
          <w:rtl/>
        </w:rPr>
        <w:t>חשב. (כמובן, צריך עדיין לפרש את צד זה.)</w:t>
      </w:r>
    </w:p>
    <w:p w:rsidR="002053B9" w:rsidRDefault="002053B9">
      <w:pPr>
        <w:pStyle w:val="BodyText"/>
      </w:pPr>
    </w:p>
    <w:p w:rsidR="002053B9" w:rsidRDefault="005A1E4A">
      <w:pPr>
        <w:pStyle w:val="BodyText"/>
      </w:pPr>
      <w:r>
        <w:rPr>
          <w:rtl/>
        </w:rPr>
        <w:t>יש להעיר שלכאורה היה היקש אחר שהיה אפשר לו להקיש, והוא כך: מה קודמי הוויה ראשונה שלא מיוחסת לבעל ראשון (בהכרח), אף קודם הוויה שניה, לא מיוחסת לבעל ראשון. (לפי זה, לא יהיה קושיה שהק' על מה שאמר גמ' קשה. ויש לדון, שאו</w:t>
      </w:r>
      <w:r>
        <w:rPr>
          <w:rtl/>
        </w:rPr>
        <w:t>לי עדיין אפשר לו לקדש לה קידושי חוץ, ושוב לקדש לה בלי החוץ.) נראה שצריך לומר שאין זה קרק' כל כך חשוב של נישואים ראשונים שלה, ואז לא נלמד בהיקש. ותחשב.</w:t>
      </w:r>
    </w:p>
    <w:p w:rsidR="002053B9" w:rsidRDefault="002053B9">
      <w:pPr>
        <w:pStyle w:val="BodyText"/>
      </w:pPr>
    </w:p>
    <w:p w:rsidR="002053B9" w:rsidRDefault="005A1E4A">
      <w:pPr>
        <w:pStyle w:val="BodyText"/>
      </w:pPr>
      <w:r>
        <w:rPr>
          <w:rtl/>
        </w:rPr>
        <w:t>תוס' מעורר על היקש שאומר גמרא שלא ממש דומים, שעדיין היא אסורה לקרוביו של ראשון. יש להעיר על זה כמה דברים</w:t>
      </w:r>
      <w:r>
        <w:rPr>
          <w:rtl/>
        </w:rPr>
        <w:t>:</w:t>
      </w:r>
    </w:p>
    <w:p w:rsidR="002053B9" w:rsidRDefault="005A1E4A">
      <w:pPr>
        <w:pStyle w:val="BodyText"/>
        <w:numPr>
          <w:ilvl w:val="0"/>
          <w:numId w:val="30"/>
        </w:numPr>
      </w:pPr>
      <w:r>
        <w:rPr>
          <w:rtl/>
        </w:rPr>
        <w:t>היה יותר קל לומר שאי אפשר לומר שהם שווים כיון שבראשון לא היתה נשואה, ועכשיו היתה נשואה. יש לומר שאין זה קרק' כל כך חשוב. גם יש לומר שכיון שבמציאות פשוט שאין זה כן, לא חש לאותו חילוק. אז, היה אפשר לומר שלא חש לחילוק של תוס' כיון שכ' בתורה. מסתמא אין הכי נ</w:t>
      </w:r>
      <w:r>
        <w:rPr>
          <w:rtl/>
        </w:rPr>
        <w:t>מי, כן הוא.</w:t>
      </w:r>
    </w:p>
    <w:p w:rsidR="002053B9" w:rsidRDefault="005A1E4A">
      <w:pPr>
        <w:pStyle w:val="BodyText"/>
        <w:numPr>
          <w:ilvl w:val="0"/>
          <w:numId w:val="30"/>
        </w:numPr>
      </w:pPr>
      <w:r>
        <w:rPr>
          <w:rtl/>
        </w:rPr>
        <w:t>יש לדון מהו כוונת תוס':</w:t>
      </w:r>
    </w:p>
    <w:p w:rsidR="002053B9" w:rsidRDefault="005A1E4A">
      <w:pPr>
        <w:pStyle w:val="BodyText"/>
        <w:numPr>
          <w:ilvl w:val="1"/>
          <w:numId w:val="30"/>
        </w:numPr>
      </w:pPr>
      <w:r>
        <w:rPr>
          <w:rtl/>
        </w:rPr>
        <w:t>אולי אומר שלא ממש הוקש, ויש דברים שלא נלמדים בהיקש זה. מעניין שיעיר כן, שמסתמא ברוב היקישים יהיו דינים שלא נלמדים. (יש להעיר שאם נאמר כצד זה, מה שהערנו לעיל (</w:t>
      </w:r>
      <w:r>
        <w:t>1</w:t>
      </w:r>
      <w:r>
        <w:rPr>
          <w:rtl/>
        </w:rPr>
        <w:t>) אינו הערה, שאין חילוק אחר. אבל, עדיין יש חילוקי דינים אחרים</w:t>
      </w:r>
      <w:r>
        <w:rPr>
          <w:rtl/>
        </w:rPr>
        <w:t>, כמו איסור לכהונה, שכאן מגורשת. ויש לדון, שאולי אין זה דין יותר פשוט. ותחשב.</w:t>
      </w:r>
    </w:p>
    <w:p w:rsidR="002053B9" w:rsidRDefault="005A1E4A">
      <w:pPr>
        <w:pStyle w:val="BodyText"/>
        <w:numPr>
          <w:ilvl w:val="1"/>
          <w:numId w:val="30"/>
        </w:numPr>
      </w:pPr>
      <w:r>
        <w:rPr>
          <w:rtl/>
        </w:rPr>
        <w:t>אולי אומר שלענין אותו הדין שבו הוקש, לא לומדים הכל, ואינו ממש דומה. אז, צריך לומר שסובר שדין של איסור לאחרים הוא אותו דין של איסור לקרובים. צריך ביאור בזה:</w:t>
      </w:r>
    </w:p>
    <w:p w:rsidR="002053B9" w:rsidRDefault="005A1E4A">
      <w:pPr>
        <w:pStyle w:val="BodyText"/>
        <w:numPr>
          <w:ilvl w:val="2"/>
          <w:numId w:val="30"/>
        </w:numPr>
      </w:pPr>
      <w:r>
        <w:rPr>
          <w:rtl/>
        </w:rPr>
        <w:t>אולי הם דין אחד במה שה</w:t>
      </w:r>
      <w:r>
        <w:rPr>
          <w:rtl/>
        </w:rPr>
        <w:t>ם "איסור לאחד מחמת נישואים זה."</w:t>
      </w:r>
    </w:p>
    <w:p w:rsidR="002053B9" w:rsidRDefault="005A1E4A">
      <w:pPr>
        <w:pStyle w:val="BodyText"/>
        <w:numPr>
          <w:ilvl w:val="2"/>
          <w:numId w:val="30"/>
        </w:numPr>
      </w:pPr>
      <w:r>
        <w:rPr>
          <w:rtl/>
        </w:rPr>
        <w:t>יותר משמע מגמרא שלומד יחסה לאחרים. אז, היה נראה לומר שסובר ששני הדינים בא מיחס שלה לבעל ראשון.</w:t>
      </w:r>
      <w:r>
        <w:rPr>
          <w:rStyle w:val="FootnoteReference1"/>
          <w:rtl/>
        </w:rPr>
        <w:footnoteReference w:id="43"/>
      </w:r>
      <w:r>
        <w:rPr>
          <w:rtl/>
        </w:rPr>
        <w:t xml:space="preserve"> אז, בזה הם דינים שווים. במילים אחרים, אולי לא מכוון לומר שיש דין או חלק מדין זה שלא נלמד, שלא לומד גמ’ דינים, אלא לומד הציור שבו</w:t>
      </w:r>
      <w:r>
        <w:rPr>
          <w:rtl/>
        </w:rPr>
        <w:t xml:space="preserve"> אומר תורה אותו דין. מפרש שאינו אותו ציור, שנשאר, עדיין, קצת אישות, מה שאין כן בנישואים ראשונים.</w:t>
      </w:r>
    </w:p>
    <w:p w:rsidR="002053B9" w:rsidRDefault="002053B9">
      <w:pPr>
        <w:pStyle w:val="BodyText"/>
      </w:pPr>
    </w:p>
    <w:p w:rsidR="002053B9" w:rsidRDefault="005A1E4A">
      <w:pPr>
        <w:pStyle w:val="Heading2"/>
      </w:pPr>
      <w:r>
        <w:rPr>
          <w:rtl/>
        </w:rPr>
        <w:t>דחייה:</w:t>
      </w:r>
    </w:p>
    <w:p w:rsidR="002053B9" w:rsidRDefault="005A1E4A">
      <w:pPr>
        <w:pStyle w:val="BodyText"/>
      </w:pPr>
      <w:r>
        <w:rPr>
          <w:rtl/>
        </w:rPr>
        <w:t>לא דוחה דבריו.</w:t>
      </w:r>
    </w:p>
    <w:p w:rsidR="002053B9" w:rsidRDefault="002053B9">
      <w:pPr>
        <w:pStyle w:val="BodyText"/>
      </w:pPr>
    </w:p>
    <w:p w:rsidR="002053B9" w:rsidRDefault="005A1E4A">
      <w:pPr>
        <w:pStyle w:val="Heading2"/>
      </w:pPr>
      <w:r>
        <w:rPr>
          <w:rtl/>
        </w:rPr>
        <w:t>מה הניח:</w:t>
      </w:r>
    </w:p>
    <w:p w:rsidR="002053B9" w:rsidRDefault="005A1E4A">
      <w:pPr>
        <w:pStyle w:val="BodyText"/>
      </w:pPr>
      <w:r>
        <w:rPr>
          <w:rtl/>
        </w:rPr>
        <w:t xml:space="preserve">לא מזכיר מה מניח בביאור המחלקת. לכאורה, יכול לסבור כשני הצדדים: או שחול’ בע"מ (ואומר שאכתי אגידא גביה) או שחולק בחוץ (ומח’ </w:t>
      </w:r>
      <w:r>
        <w:rPr>
          <w:rtl/>
        </w:rPr>
        <w:t>שיור זה אגידא גביה).</w:t>
      </w:r>
    </w:p>
    <w:sectPr w:rsidR="002053B9">
      <w:headerReference w:type="default" r:id="rId8"/>
      <w:pgSz w:w="12240" w:h="15840"/>
      <w:pgMar w:top="1134" w:right="1134" w:bottom="1134" w:left="1134" w:header="0" w:footer="0" w:gutter="0"/>
      <w:cols w:space="720"/>
      <w:formProt w:val="0"/>
      <w:bidi/>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1E4A" w:rsidRDefault="005A1E4A">
      <w:r>
        <w:separator/>
      </w:r>
    </w:p>
  </w:endnote>
  <w:endnote w:type="continuationSeparator" w:id="0">
    <w:p w:rsidR="005A1E4A" w:rsidRDefault="005A1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Arial Unicode MS"/>
    <w:panose1 w:val="05010000000000000000"/>
    <w:charset w:val="01"/>
    <w:family w:val="auto"/>
    <w:pitch w:val="variable"/>
    <w:sig w:usb0="800000AF" w:usb1="1001ECEA"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panose1 w:val="02020603050405020304"/>
    <w:charset w:val="01"/>
    <w:family w:val="roman"/>
    <w:pitch w:val="variable"/>
    <w:sig w:usb0="E0000AFF" w:usb1="500078FF" w:usb2="00000021" w:usb3="00000000" w:csb0="000001BF" w:csb1="00000000"/>
  </w:font>
  <w:font w:name="NSimSun">
    <w:panose1 w:val="02010609030101010101"/>
    <w:charset w:val="86"/>
    <w:family w:val="modern"/>
    <w:pitch w:val="fixed"/>
    <w:sig w:usb0="00000283" w:usb1="288F0000" w:usb2="00000016" w:usb3="00000000" w:csb0="00040001" w:csb1="00000000"/>
  </w:font>
  <w:font w:name="Shofar">
    <w:panose1 w:val="02000000000000000000"/>
    <w:charset w:val="00"/>
    <w:family w:val="auto"/>
    <w:pitch w:val="variable"/>
    <w:sig w:usb0="8000086F" w:usb1="4000204A" w:usb2="00000000" w:usb3="00000000" w:csb0="0000002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Rashi_old">
    <w:panose1 w:val="00000000000000000000"/>
    <w:charset w:val="B1"/>
    <w:family w:val="auto"/>
    <w:pitch w:val="variable"/>
    <w:sig w:usb0="00000801" w:usb1="00000000" w:usb2="00000000" w:usb3="00000000" w:csb0="00000020" w:csb1="00000000"/>
  </w:font>
  <w:font w:name="Mekorot-Rashi">
    <w:panose1 w:val="02000603000000000000"/>
    <w:charset w:val="B1"/>
    <w:family w:val="auto"/>
    <w:pitch w:val="variable"/>
    <w:sig w:usb0="00000821" w:usb1="40000002" w:usb2="00000000" w:usb3="00000000" w:csb0="00000020" w:csb1="00000000"/>
  </w:font>
  <w:font w:name="Calibri">
    <w:panose1 w:val="020F0502020204030204"/>
    <w:charset w:val="00"/>
    <w:family w:val="swiss"/>
    <w:pitch w:val="variable"/>
    <w:sig w:usb0="E4002EFF" w:usb1="C000247B" w:usb2="00000009" w:usb3="00000000" w:csb0="000001FF" w:csb1="00000000"/>
  </w:font>
  <w:font w:name="Noto Serif Hebrew">
    <w:panose1 w:val="02020502060505020204"/>
    <w:charset w:val="01"/>
    <w:family w:val="roman"/>
    <w:pitch w:val="variable"/>
    <w:sig w:usb0="80000803" w:usb1="40002002" w:usb2="00000000" w:usb3="00000000" w:csb0="00000000" w:csb1="00000000"/>
  </w:font>
  <w:font w:name="Yiddishkeit AlefAlefAlef Bold">
    <w:panose1 w:val="00000800000000000000"/>
    <w:charset w:val="B1"/>
    <w:family w:val="modern"/>
    <w:notTrueType/>
    <w:pitch w:val="variable"/>
    <w:sig w:usb0="00000801" w:usb1="40000000" w:usb2="00000000" w:usb3="00000000" w:csb0="0000002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1E4A" w:rsidRDefault="005A1E4A">
      <w:pPr>
        <w:rPr>
          <w:sz w:val="12"/>
        </w:rPr>
      </w:pPr>
      <w:r>
        <w:separator/>
      </w:r>
    </w:p>
  </w:footnote>
  <w:footnote w:type="continuationSeparator" w:id="0">
    <w:p w:rsidR="005A1E4A" w:rsidRDefault="005A1E4A">
      <w:pPr>
        <w:rPr>
          <w:sz w:val="12"/>
        </w:rPr>
      </w:pPr>
      <w:r>
        <w:continuationSeparator/>
      </w:r>
    </w:p>
  </w:footnote>
  <w:footnote w:id="1">
    <w:p w:rsidR="002053B9" w:rsidRPr="005666C6" w:rsidRDefault="005A1E4A" w:rsidP="005666C6">
      <w:pPr>
        <w:pStyle w:val="FootnoteText"/>
      </w:pPr>
      <w:r w:rsidRPr="005666C6">
        <w:footnoteRef/>
      </w:r>
      <w:r w:rsidRPr="005666C6">
        <w:rPr>
          <w:rtl/>
        </w:rPr>
        <w:tab/>
        <w:t xml:space="preserve">אפשר לדון בו בתוך צד </w:t>
      </w:r>
      <w:r w:rsidRPr="005666C6">
        <w:t>1</w:t>
      </w:r>
      <w:r w:rsidRPr="005666C6">
        <w:rPr>
          <w:rtl/>
        </w:rPr>
        <w:t xml:space="preserve"> שם, אבל אין כל כך נפק"מ לאותו דיון, ואז לא דנינו בו. אבל, אין הכי נמי, יש לדון בו שם.</w:t>
      </w:r>
    </w:p>
  </w:footnote>
  <w:footnote w:id="2">
    <w:p w:rsidR="002053B9" w:rsidRPr="005666C6" w:rsidRDefault="005A1E4A" w:rsidP="005666C6">
      <w:pPr>
        <w:pStyle w:val="FootnoteText"/>
      </w:pPr>
      <w:r w:rsidRPr="005666C6">
        <w:footnoteRef/>
      </w:r>
      <w:r w:rsidRPr="005666C6">
        <w:rPr>
          <w:rtl/>
        </w:rPr>
        <w:tab/>
        <w:t xml:space="preserve"> </w:t>
      </w:r>
      <w:r w:rsidRPr="005666C6">
        <w:rPr>
          <w:rtl/>
        </w:rPr>
        <w:t xml:space="preserve">יש </w:t>
      </w:r>
      <w:r w:rsidRPr="005666C6">
        <w:rPr>
          <w:rtl/>
        </w:rPr>
        <w:t>להעיר שלכאורה ר"א לא מוד</w:t>
      </w:r>
      <w:r w:rsidRPr="005666C6">
        <w:rPr>
          <w:rtl/>
        </w:rPr>
        <w:t>ה לזה, שמשמע שמותר לישא. ויש לדון, שאולי רק אומר שאינה אשת איש. דחוק. גם יש לומר שכולל בו שני קושיות על רבי אליעזר, שסובר שטועה בזה, וממחמת זה, נמצא שהיא ממש אש"א.</w:t>
      </w:r>
    </w:p>
  </w:footnote>
  <w:footnote w:id="3">
    <w:p w:rsidR="002053B9" w:rsidRPr="005666C6" w:rsidRDefault="005A1E4A" w:rsidP="005666C6">
      <w:pPr>
        <w:pStyle w:val="FootnoteText"/>
      </w:pPr>
      <w:r w:rsidRPr="005666C6">
        <w:footnoteRef/>
      </w:r>
      <w:r w:rsidRPr="005666C6">
        <w:rPr>
          <w:rtl/>
        </w:rPr>
        <w:tab/>
      </w:r>
      <w:r w:rsidRPr="005666C6">
        <w:rPr>
          <w:rtl/>
        </w:rPr>
        <w:t xml:space="preserve">ויש </w:t>
      </w:r>
      <w:r w:rsidRPr="005666C6">
        <w:rPr>
          <w:rtl/>
        </w:rPr>
        <w:t>לדון בזה, שגמרא לא מביא אותו קרא.</w:t>
      </w:r>
    </w:p>
  </w:footnote>
  <w:footnote w:id="4">
    <w:p w:rsidR="002053B9" w:rsidRPr="005666C6" w:rsidRDefault="005A1E4A" w:rsidP="005666C6">
      <w:pPr>
        <w:pStyle w:val="FootnoteText"/>
      </w:pPr>
      <w:r w:rsidRPr="005666C6">
        <w:footnoteRef/>
      </w:r>
      <w:r w:rsidRPr="005666C6">
        <w:rPr>
          <w:rtl/>
        </w:rPr>
        <w:tab/>
        <w:t xml:space="preserve"> </w:t>
      </w:r>
      <w:r w:rsidRPr="005666C6">
        <w:rPr>
          <w:rtl/>
        </w:rPr>
        <w:t xml:space="preserve">ואם </w:t>
      </w:r>
      <w:r w:rsidRPr="005666C6">
        <w:rPr>
          <w:rtl/>
        </w:rPr>
        <w:t xml:space="preserve">תאמר ל"ל נאמר כן, שפשוט הוא שאי אפשר להיות </w:t>
      </w:r>
      <w:r w:rsidRPr="005666C6">
        <w:rPr>
          <w:rtl/>
        </w:rPr>
        <w:t>נשוי לאשה שהיא אשת איש. ויש לומר שזה רק עושה שאין קידושין חלים, אבל לא עושה שקידושין פקעי. מצאנו מושג כעין זה, שיותר קל לעשות שדבר לא חל מלעשות שפקע, גבי קל וחומר הידוע (בערכין) ש"אם מכורה כבר</w:t>
      </w:r>
      <w:r w:rsidRPr="005666C6">
        <w:rPr>
          <w:rFonts w:ascii="Times New Roman" w:hAnsi="Times New Roman" w:cs="Times New Roman" w:hint="cs"/>
          <w:rtl/>
        </w:rPr>
        <w:t>…</w:t>
      </w:r>
      <w:r w:rsidRPr="005666C6">
        <w:rPr>
          <w:rtl/>
        </w:rPr>
        <w:t>." מושג זה הוא, לכאורה, שהסיבה להמשך של דבר הוא יותר חזק מן הסי</w:t>
      </w:r>
      <w:r w:rsidRPr="005666C6">
        <w:rPr>
          <w:rtl/>
        </w:rPr>
        <w:t>בה לחלות דבר.</w:t>
      </w:r>
    </w:p>
    <w:p w:rsidR="002053B9" w:rsidRPr="005666C6" w:rsidRDefault="005A1E4A" w:rsidP="005666C6">
      <w:pPr>
        <w:pStyle w:val="FootnoteText"/>
      </w:pPr>
      <w:r w:rsidRPr="005666C6">
        <w:rPr>
          <w:rtl/>
        </w:rPr>
        <w:tab/>
        <w:t>גם יש לומר שסיבה של המשך אינו נדחה כלל מפני אישות של אחר. ר"ל, אולי יש סיבה אחרת להמשכו (למשל, מה שחל לפני זמן), ואין סיבה זה נדחה מפני נישואין של אחר, שנישואין של אחר הוא רק סיבה שלא יחול החלות בתחילה (ר"ל, מפני  אותם דברים שעושים חלות נשוא</w:t>
      </w:r>
      <w:r w:rsidRPr="005666C6">
        <w:rPr>
          <w:rtl/>
        </w:rPr>
        <w:t>ים מתחילה). (נראה שזה יכול להיות כוונת אותו קל וחומר שהזכרנו, שאומר שאם יכול להיות חל נגד שני הסיבות שיש בהמשכו- ואז מניח שלא רק יש סיבה חזקה בהמשכו, אלא שיש אותו סיבה של תחילתו עם סיבה אחרת- אז בודאי יכול להיות חל נגד סיבה אחת זה. ויש לדון, שאז אינו ממש ק</w:t>
      </w:r>
      <w:r w:rsidRPr="005666C6">
        <w:rPr>
          <w:rtl/>
        </w:rPr>
        <w:t>ל וחומר, אלא שמצאנו שחל נגד סיבה זה, ומה שחל נגד סיבה אחרת לא כל כך שייך. ותחשב.</w:t>
      </w:r>
    </w:p>
    <w:p w:rsidR="002053B9" w:rsidRPr="005666C6" w:rsidRDefault="005A1E4A" w:rsidP="005666C6">
      <w:pPr>
        <w:pStyle w:val="FootnoteText"/>
      </w:pPr>
      <w:r w:rsidRPr="005666C6">
        <w:rPr>
          <w:rtl/>
        </w:rPr>
        <w:tab/>
        <w:t>יש לומר פשט אחר, והוא שאולי כיון שזה רוצה שישאר נישואים שלו, לא התיר לחלות  נישואים שיעשה שנישואים שלו לא חלים. ויש לדון איך יעשה כן, ובפרט כיון שצריך להיות שחלים נגדו קידושי</w:t>
      </w:r>
      <w:r w:rsidRPr="005666C6">
        <w:rPr>
          <w:rtl/>
        </w:rPr>
        <w:t xml:space="preserve"> שני קצת. ועיין לקמן, שבע"ה ננסה לבאר את זה. ותחשב.</w:t>
      </w:r>
    </w:p>
  </w:footnote>
  <w:footnote w:id="5">
    <w:p w:rsidR="002053B9" w:rsidRPr="005666C6" w:rsidRDefault="005A1E4A" w:rsidP="005666C6">
      <w:pPr>
        <w:pStyle w:val="FootnoteText"/>
      </w:pPr>
      <w:r w:rsidRPr="005666C6">
        <w:footnoteRef/>
      </w:r>
      <w:r w:rsidRPr="005666C6">
        <w:rPr>
          <w:rtl/>
        </w:rPr>
        <w:tab/>
      </w:r>
      <w:r w:rsidRPr="005666C6">
        <w:rPr>
          <w:rtl/>
        </w:rPr>
        <w:t xml:space="preserve">ויש </w:t>
      </w:r>
      <w:r w:rsidRPr="005666C6">
        <w:rPr>
          <w:rtl/>
        </w:rPr>
        <w:t>לדון, שהרי פשוט הוא שלא יתיר איסור אשת אח. ויש לומר שרק עושה סימן שלא יהיו עליו איסורי אשת איש. ותחשב.</w:t>
      </w:r>
    </w:p>
  </w:footnote>
  <w:footnote w:id="6">
    <w:p w:rsidR="002053B9" w:rsidRPr="005666C6" w:rsidRDefault="005A1E4A" w:rsidP="005666C6">
      <w:pPr>
        <w:pStyle w:val="FootnoteText"/>
      </w:pPr>
      <w:r w:rsidRPr="005666C6">
        <w:footnoteRef/>
      </w:r>
      <w:r w:rsidRPr="005666C6">
        <w:rPr>
          <w:rtl/>
        </w:rPr>
        <w:tab/>
        <w:t xml:space="preserve"> </w:t>
      </w:r>
      <w:r w:rsidRPr="005666C6">
        <w:rPr>
          <w:rtl/>
        </w:rPr>
        <w:t xml:space="preserve">לכאורה, </w:t>
      </w:r>
      <w:r w:rsidRPr="005666C6">
        <w:rPr>
          <w:rtl/>
        </w:rPr>
        <w:t xml:space="preserve">גמרא משמע שלא מתיר. ותו"ת. </w:t>
      </w:r>
    </w:p>
  </w:footnote>
  <w:footnote w:id="7">
    <w:p w:rsidR="002053B9" w:rsidRPr="005666C6" w:rsidRDefault="005A1E4A" w:rsidP="005666C6">
      <w:pPr>
        <w:pStyle w:val="FootnoteText"/>
      </w:pPr>
      <w:r w:rsidRPr="005666C6">
        <w:footnoteRef/>
      </w:r>
      <w:r w:rsidRPr="005666C6">
        <w:rPr>
          <w:rtl/>
        </w:rPr>
        <w:tab/>
        <w:t xml:space="preserve"> </w:t>
      </w:r>
      <w:r w:rsidRPr="005666C6">
        <w:rPr>
          <w:rtl/>
        </w:rPr>
        <w:t xml:space="preserve">אפשר </w:t>
      </w:r>
      <w:r w:rsidRPr="005666C6">
        <w:rPr>
          <w:rtl/>
        </w:rPr>
        <w:t xml:space="preserve">לדחות (אבל נראה שתוס' לא סובר כן, שאילו סובר כן </w:t>
      </w:r>
      <w:r w:rsidRPr="005666C6">
        <w:rPr>
          <w:rtl/>
        </w:rPr>
        <w:t>היה קל לתרץ לקושייתו לומר שאינם חלוקים כלל) שפקע נישואי ראשון, אבל נישואים שפקע לא עושה שאינה עוד אשת שני מתים. אולי רק צריכים שהיתה נשואה לשניהם, ואולי צריכים שיש סיבת ייבום משניהם. אולי כל זמן שלא מגרש אותה, אף אם אינה נשואה לו בשעת מיתה, אולי נשאר קצת נ</w:t>
      </w:r>
      <w:r w:rsidRPr="005666C6">
        <w:rPr>
          <w:rtl/>
        </w:rPr>
        <w:t>ישואים, ויש חיוב ייבום מחמתו. ותחשב.</w:t>
      </w:r>
    </w:p>
  </w:footnote>
  <w:footnote w:id="8">
    <w:p w:rsidR="002053B9" w:rsidRPr="005666C6" w:rsidRDefault="005A1E4A" w:rsidP="005666C6">
      <w:pPr>
        <w:pStyle w:val="FootnoteText"/>
      </w:pPr>
      <w:r w:rsidRPr="005666C6">
        <w:footnoteRef/>
      </w:r>
      <w:r w:rsidRPr="005666C6">
        <w:rPr>
          <w:rtl/>
        </w:rPr>
        <w:tab/>
        <w:t xml:space="preserve"> </w:t>
      </w:r>
      <w:r w:rsidRPr="005666C6">
        <w:rPr>
          <w:rtl/>
        </w:rPr>
        <w:t xml:space="preserve">לכאורה, </w:t>
      </w:r>
      <w:r w:rsidRPr="005666C6">
        <w:rPr>
          <w:rtl/>
        </w:rPr>
        <w:t>כן פשוט ממה שאומר שאוסר אותה [על בעל ראשון]. הדרך לדחות יהיה שרק אומר שגורם סיבת איסור, אבל זה נדחה, ממה שיש לו היתר ויש לו מצווה מקודם.</w:t>
      </w:r>
    </w:p>
  </w:footnote>
  <w:footnote w:id="9">
    <w:p w:rsidR="002053B9" w:rsidRPr="005666C6" w:rsidRDefault="005A1E4A" w:rsidP="005666C6">
      <w:pPr>
        <w:pStyle w:val="FootnoteText"/>
      </w:pPr>
      <w:r w:rsidRPr="005666C6">
        <w:footnoteRef/>
      </w:r>
      <w:r w:rsidRPr="005666C6">
        <w:rPr>
          <w:rtl/>
        </w:rPr>
        <w:tab/>
        <w:t xml:space="preserve"> </w:t>
      </w:r>
      <w:r w:rsidRPr="005666C6">
        <w:rPr>
          <w:rtl/>
        </w:rPr>
        <w:t xml:space="preserve">יש </w:t>
      </w:r>
      <w:r w:rsidRPr="005666C6">
        <w:rPr>
          <w:rtl/>
        </w:rPr>
        <w:t>לומר אותו במילים קצת חלוקים, והוא שבגירושין יש מניעה על כל נשואין</w:t>
      </w:r>
      <w:r w:rsidRPr="005666C6">
        <w:rPr>
          <w:rtl/>
        </w:rPr>
        <w:t xml:space="preserve"> שלו, אלא שאינו כל כך חזק, מה שאין כן בקידושין, שיש סיבה לקידושין שיש, ואין דבר מונע אותו. ותחשב.</w:t>
      </w:r>
    </w:p>
  </w:footnote>
  <w:footnote w:id="10">
    <w:p w:rsidR="002053B9" w:rsidRPr="005666C6" w:rsidRDefault="005A1E4A" w:rsidP="005666C6">
      <w:pPr>
        <w:pStyle w:val="FootnoteText"/>
      </w:pPr>
      <w:r w:rsidRPr="005666C6">
        <w:footnoteRef/>
      </w:r>
      <w:r w:rsidRPr="005666C6">
        <w:rPr>
          <w:rtl/>
        </w:rPr>
        <w:tab/>
        <w:t xml:space="preserve"> </w:t>
      </w:r>
      <w:r w:rsidRPr="005666C6">
        <w:rPr>
          <w:rtl/>
        </w:rPr>
        <w:t xml:space="preserve">אולי </w:t>
      </w:r>
      <w:r w:rsidRPr="005666C6">
        <w:rPr>
          <w:rtl/>
        </w:rPr>
        <w:t>מפני דעתו או אולי שיחסו נחלש מחמת דעתו.</w:t>
      </w:r>
    </w:p>
  </w:footnote>
  <w:footnote w:id="11">
    <w:p w:rsidR="002053B9" w:rsidRPr="005666C6" w:rsidRDefault="005A1E4A" w:rsidP="005666C6">
      <w:pPr>
        <w:pStyle w:val="FootnoteText"/>
      </w:pPr>
      <w:r w:rsidRPr="005666C6">
        <w:footnoteRef/>
      </w:r>
      <w:r w:rsidRPr="005666C6">
        <w:rPr>
          <w:rtl/>
        </w:rPr>
        <w:tab/>
      </w:r>
      <w:r w:rsidRPr="005666C6">
        <w:rPr>
          <w:rtl/>
        </w:rPr>
        <w:t xml:space="preserve">ואם </w:t>
      </w:r>
      <w:r w:rsidRPr="005666C6">
        <w:rPr>
          <w:rtl/>
        </w:rPr>
        <w:t xml:space="preserve">תאמר אם כן יעשה כל דבר בה רע. צריך לומר שאותו יחס לביאה שלה הוא יותר חשוב כשדנים בביאה. ותחשב. ר"ל, יחס </w:t>
      </w:r>
      <w:r w:rsidRPr="005666C6">
        <w:rPr>
          <w:rtl/>
        </w:rPr>
        <w:t xml:space="preserve">זה לביאה רעה עושה אותה למי שהיא רעה ליבעל. ותו"ת. </w:t>
      </w:r>
    </w:p>
  </w:footnote>
  <w:footnote w:id="12">
    <w:p w:rsidR="002053B9" w:rsidRPr="005666C6" w:rsidRDefault="005A1E4A" w:rsidP="005666C6">
      <w:pPr>
        <w:pStyle w:val="FootnoteText"/>
      </w:pPr>
      <w:r w:rsidRPr="005666C6">
        <w:footnoteRef/>
      </w:r>
      <w:r w:rsidRPr="005666C6">
        <w:rPr>
          <w:rtl/>
        </w:rPr>
        <w:tab/>
      </w:r>
      <w:r w:rsidRPr="005666C6">
        <w:rPr>
          <w:rtl/>
        </w:rPr>
        <w:t xml:space="preserve">היה </w:t>
      </w:r>
      <w:r w:rsidRPr="005666C6">
        <w:rPr>
          <w:rtl/>
        </w:rPr>
        <w:t>אפשר לומר שמחמת זה נתיר שאר הביאות, אבל מסתמא היה לנו להחמיר.</w:t>
      </w:r>
    </w:p>
  </w:footnote>
  <w:footnote w:id="13">
    <w:p w:rsidR="002053B9" w:rsidRPr="005666C6" w:rsidRDefault="005A1E4A" w:rsidP="005666C6">
      <w:pPr>
        <w:pStyle w:val="FootnoteText"/>
      </w:pPr>
      <w:r w:rsidRPr="005666C6">
        <w:footnoteRef/>
      </w:r>
      <w:r w:rsidRPr="005666C6">
        <w:rPr>
          <w:rtl/>
        </w:rPr>
        <w:tab/>
      </w:r>
      <w:r w:rsidRPr="005666C6">
        <w:rPr>
          <w:rtl/>
        </w:rPr>
        <w:t xml:space="preserve">בשנים </w:t>
      </w:r>
      <w:r w:rsidRPr="005666C6">
        <w:rPr>
          <w:rtl/>
        </w:rPr>
        <w:t>אלו, יש לדון אם מקשה שהיו להם לרבנן לעשות כן, או שהיה לו לתורה לעשות כן. ותו"ת. אם נאמר כצד ראשון, יש לדון אם ממש סובר כן, או שרק</w:t>
      </w:r>
      <w:r w:rsidRPr="005666C6">
        <w:rPr>
          <w:rtl/>
        </w:rPr>
        <w:t xml:space="preserve"> מקשה שהיה לו לרבי אליעזר לומר, על כל פנים, כן.</w:t>
      </w:r>
    </w:p>
  </w:footnote>
  <w:footnote w:id="14">
    <w:p w:rsidR="002053B9" w:rsidRPr="005666C6" w:rsidRDefault="005A1E4A" w:rsidP="005666C6">
      <w:pPr>
        <w:pStyle w:val="FootnoteText"/>
      </w:pPr>
      <w:r w:rsidRPr="005666C6">
        <w:footnoteRef/>
      </w:r>
      <w:r w:rsidRPr="005666C6">
        <w:rPr>
          <w:rtl/>
        </w:rPr>
        <w:tab/>
      </w:r>
      <w:r w:rsidRPr="005666C6">
        <w:rPr>
          <w:rtl/>
        </w:rPr>
        <w:t xml:space="preserve">צריכים </w:t>
      </w:r>
      <w:r w:rsidRPr="005666C6">
        <w:rPr>
          <w:rtl/>
        </w:rPr>
        <w:t>לבאר את זה באופן יותר פשוט. נראה שבכל זמן שמצאנו כעין זה, יכול להיות שלש צדדים מהו החילוק:</w:t>
      </w:r>
    </w:p>
    <w:p w:rsidR="002053B9" w:rsidRPr="005666C6" w:rsidRDefault="005A1E4A" w:rsidP="006C4289">
      <w:pPr>
        <w:pStyle w:val="FootnoteText"/>
        <w:numPr>
          <w:ilvl w:val="0"/>
          <w:numId w:val="37"/>
        </w:numPr>
      </w:pPr>
      <w:r w:rsidRPr="005666C6">
        <w:rPr>
          <w:rtl/>
        </w:rPr>
        <w:t>הוא חלוק. זה אומר, אחד מבני אדם שעליו דנים הוא חלוק.</w:t>
      </w:r>
    </w:p>
    <w:p w:rsidR="002053B9" w:rsidRPr="005666C6" w:rsidRDefault="005A1E4A" w:rsidP="006C4289">
      <w:pPr>
        <w:pStyle w:val="FootnoteText"/>
        <w:numPr>
          <w:ilvl w:val="0"/>
          <w:numId w:val="37"/>
        </w:numPr>
      </w:pPr>
      <w:r w:rsidRPr="005666C6">
        <w:rPr>
          <w:rtl/>
        </w:rPr>
        <w:t>היא חלו</w:t>
      </w:r>
      <w:bookmarkStart w:id="7" w:name="_GoBack"/>
      <w:bookmarkEnd w:id="7"/>
      <w:r w:rsidRPr="005666C6">
        <w:rPr>
          <w:rtl/>
        </w:rPr>
        <w:t>קה. זה אומר שאחר מבני אדם (כאן, הוא האוכל) שדנים</w:t>
      </w:r>
      <w:r w:rsidRPr="005666C6">
        <w:rPr>
          <w:rtl/>
        </w:rPr>
        <w:t xml:space="preserve"> עליו הוא חלוק.</w:t>
      </w:r>
    </w:p>
    <w:p w:rsidR="002053B9" w:rsidRPr="005666C6" w:rsidRDefault="005A1E4A" w:rsidP="006C4289">
      <w:pPr>
        <w:pStyle w:val="FootnoteText"/>
        <w:numPr>
          <w:ilvl w:val="0"/>
          <w:numId w:val="37"/>
        </w:numPr>
      </w:pPr>
      <w:r w:rsidRPr="005666C6">
        <w:rPr>
          <w:rtl/>
        </w:rPr>
        <w:t>המעשה חלוק. זה יהיה תוצאה מצדדים ראשונים.</w:t>
      </w:r>
    </w:p>
    <w:p w:rsidR="002053B9" w:rsidRPr="005666C6" w:rsidRDefault="005A1E4A" w:rsidP="005666C6">
      <w:pPr>
        <w:pStyle w:val="FootnoteText"/>
      </w:pPr>
      <w:r w:rsidRPr="005666C6">
        <w:rPr>
          <w:rtl/>
        </w:rPr>
        <w:tab/>
        <w:t>כמובן, יש לומר שצריך יותר מאחד. יש להעיר צד פרטי, כיון שחושב אני שכן מסנסים רוב בני אדם, והוא שהחילוק הוא היחס שיש בין שניהם. יש להעיר שאין יחס דבר, ואז אין החילוק שיש דבר אחר בציור. יחס הוא רק קרק</w:t>
      </w:r>
      <w:r w:rsidRPr="005666C6">
        <w:rPr>
          <w:rFonts w:ascii="Times New Roman" w:hAnsi="Times New Roman" w:cs="Times New Roman" w:hint="cs"/>
          <w:rtl/>
        </w:rPr>
        <w:t>’</w:t>
      </w:r>
      <w:r w:rsidRPr="005666C6">
        <w:rPr>
          <w:rtl/>
        </w:rPr>
        <w:t xml:space="preserve"> של שניהם. אבל, הוא קרק</w:t>
      </w:r>
      <w:r w:rsidRPr="005666C6">
        <w:rPr>
          <w:rFonts w:ascii="Times New Roman" w:hAnsi="Times New Roman" w:cs="Times New Roman" w:hint="cs"/>
          <w:rtl/>
        </w:rPr>
        <w:t>’</w:t>
      </w:r>
      <w:r w:rsidRPr="005666C6">
        <w:rPr>
          <w:rtl/>
        </w:rPr>
        <w:t xml:space="preserve"> מיוחד והוא שיש לו קרק</w:t>
      </w:r>
      <w:r w:rsidRPr="005666C6">
        <w:rPr>
          <w:rFonts w:ascii="Times New Roman" w:hAnsi="Times New Roman" w:cs="Times New Roman" w:hint="cs"/>
          <w:rtl/>
        </w:rPr>
        <w:t>’</w:t>
      </w:r>
      <w:r w:rsidRPr="005666C6">
        <w:rPr>
          <w:rtl/>
        </w:rPr>
        <w:t xml:space="preserve"> של יחס לה, והיא יש לה קרק</w:t>
      </w:r>
      <w:r w:rsidRPr="005666C6">
        <w:rPr>
          <w:rFonts w:ascii="Times New Roman" w:hAnsi="Times New Roman" w:cs="Times New Roman" w:hint="cs"/>
          <w:rtl/>
        </w:rPr>
        <w:t>’</w:t>
      </w:r>
      <w:r w:rsidRPr="005666C6">
        <w:rPr>
          <w:rtl/>
        </w:rPr>
        <w:t xml:space="preserve"> של יחס לו, והם אותו יחס. ותחשב.</w:t>
      </w:r>
    </w:p>
    <w:p w:rsidR="002053B9" w:rsidRPr="005666C6" w:rsidRDefault="005A1E4A" w:rsidP="005666C6">
      <w:pPr>
        <w:pStyle w:val="FootnoteText"/>
      </w:pPr>
      <w:r w:rsidRPr="005666C6">
        <w:rPr>
          <w:rtl/>
        </w:rPr>
        <w:tab/>
        <w:t>כיון שבאים לזה, נבאר קצת ענין היחס. לכאורה, כשאומרים שיש יחס, אומרים שיש מצב מיוחד בין שניהם. לפעמים, אותו מצב פשוט להיות גשמי (לשמל, יש יחס ביני ל</w:t>
      </w:r>
      <w:r w:rsidRPr="005666C6">
        <w:rPr>
          <w:rtl/>
        </w:rPr>
        <w:t>בין המחשב שעליו אני כותב זה, והוא שאני נוגע בו), ולפעמים מסתבר לומר שהוא רוחני (למשל, אני קונה אותו מחשב. לכאורה, קנין הוא יחס רוחני. יחס רוחני לכאורה, אומר שיש מצב רוחני שנקרא יחס שעושה אותם דינים.) בביאור מה עושה שאותו יחס רוחני נקרא יחס, קשה לבאר, אבל ז</w:t>
      </w:r>
      <w:r w:rsidRPr="005666C6">
        <w:rPr>
          <w:rtl/>
        </w:rPr>
        <w:t>ה מפני שקשה לבאר איזה דברים גשמיים הם יחסים. לכאורה, הם דברים שנוגעים לשניהם. אז, אף ברוחניות, נוכל לומר כן.אז, למשל, כשאומרים צד זה, יהיה הענין שמה שמשנה הוא שהם במצב רוחני שווה, או דבר כזה. ותחשב.</w:t>
      </w:r>
    </w:p>
    <w:p w:rsidR="002053B9" w:rsidRPr="005666C6" w:rsidRDefault="005A1E4A" w:rsidP="005666C6">
      <w:pPr>
        <w:pStyle w:val="FootnoteText"/>
      </w:pPr>
      <w:r w:rsidRPr="005666C6">
        <w:rPr>
          <w:rtl/>
        </w:rPr>
        <w:tab/>
        <w:t>כל אלו יכולים להיות מפני קרק</w:t>
      </w:r>
      <w:r w:rsidRPr="005666C6">
        <w:rPr>
          <w:rFonts w:ascii="Times New Roman" w:hAnsi="Times New Roman" w:cs="Times New Roman" w:hint="cs"/>
          <w:rtl/>
        </w:rPr>
        <w:t>’</w:t>
      </w:r>
      <w:r w:rsidRPr="005666C6">
        <w:rPr>
          <w:rtl/>
        </w:rPr>
        <w:t xml:space="preserve"> חלוקים, ויכולים להיות מפני</w:t>
      </w:r>
      <w:r w:rsidRPr="005666C6">
        <w:rPr>
          <w:rtl/>
        </w:rPr>
        <w:t xml:space="preserve"> שינוי בנתינת שמם על פי דבר אחר בציור. ותחשב.</w:t>
      </w:r>
    </w:p>
  </w:footnote>
  <w:footnote w:id="15">
    <w:p w:rsidR="002053B9" w:rsidRPr="005666C6" w:rsidRDefault="005A1E4A" w:rsidP="005666C6">
      <w:pPr>
        <w:pStyle w:val="FootnoteText"/>
      </w:pPr>
      <w:r w:rsidRPr="005666C6">
        <w:footnoteRef/>
      </w:r>
      <w:r w:rsidRPr="005666C6">
        <w:rPr>
          <w:rtl/>
        </w:rPr>
        <w:tab/>
      </w:r>
      <w:r w:rsidRPr="005666C6">
        <w:rPr>
          <w:rtl/>
        </w:rPr>
        <w:t xml:space="preserve">הפשטות </w:t>
      </w:r>
      <w:r w:rsidRPr="005666C6">
        <w:rPr>
          <w:rtl/>
        </w:rPr>
        <w:t>הוא שרק אומר שאין אלו סיבות חזקות. יש לומר פשט אחר, והוא שאולי אומר שכיון שיש סיבה חזקה להתיר וסיבה עם אותו חוזק לאסור (שכל הענין הוא שיהיו שניהם שווים), לא קורה שום דבר. ויש לדון. זה רק לצד שני שכתבנו</w:t>
      </w:r>
      <w:r w:rsidRPr="005666C6">
        <w:rPr>
          <w:rtl/>
        </w:rPr>
        <w:t>.</w:t>
      </w:r>
    </w:p>
  </w:footnote>
  <w:footnote w:id="16">
    <w:p w:rsidR="002053B9" w:rsidRPr="005666C6" w:rsidRDefault="005A1E4A" w:rsidP="005666C6">
      <w:pPr>
        <w:pStyle w:val="FootnoteText"/>
      </w:pPr>
      <w:r w:rsidRPr="005666C6">
        <w:footnoteRef/>
      </w:r>
      <w:r w:rsidRPr="005666C6">
        <w:rPr>
          <w:rtl/>
        </w:rPr>
        <w:tab/>
      </w:r>
      <w:r w:rsidRPr="005666C6">
        <w:rPr>
          <w:rtl/>
        </w:rPr>
        <w:t>אולי הענין הוא שלאדם, יש אף שם שהוא לנגד עצמו. שם זה חשוב כיון שהוא אדם, ואדם חשוב.. כיון שהוא אדם, והוא עצמו, שם זה הוא הכי חשוב. כיון שכן, לא מסתבר שיש לה שם חלוק נגד שאר בני אדם, שהרי לכולם שווים בשם זה. ותחשב.</w:t>
      </w:r>
    </w:p>
  </w:footnote>
  <w:footnote w:id="17">
    <w:p w:rsidR="002053B9" w:rsidRPr="005666C6" w:rsidRDefault="005A1E4A" w:rsidP="005666C6">
      <w:pPr>
        <w:pStyle w:val="FootnoteText"/>
      </w:pPr>
      <w:r w:rsidRPr="005666C6">
        <w:footnoteRef/>
      </w:r>
      <w:r w:rsidRPr="005666C6">
        <w:rPr>
          <w:rtl/>
        </w:rPr>
        <w:tab/>
      </w:r>
      <w:r w:rsidRPr="005666C6">
        <w:rPr>
          <w:rtl/>
        </w:rPr>
        <w:t xml:space="preserve">למשל, </w:t>
      </w:r>
      <w:r w:rsidRPr="005666C6">
        <w:rPr>
          <w:rtl/>
        </w:rPr>
        <w:t>אכילה הוא חשוב מחמת שגורם חילו</w:t>
      </w:r>
      <w:r w:rsidRPr="005666C6">
        <w:rPr>
          <w:rtl/>
        </w:rPr>
        <w:t>ק במי שאוכל, אולי. אם כן, מי הוא האוכל הוא חלק חשוב בהגדרת מעשה אכילה. אולי ביאה אינו חשוב מחמת החילוק באיש (החילוק הוא שבעל אותה).</w:t>
      </w:r>
    </w:p>
  </w:footnote>
  <w:footnote w:id="18">
    <w:p w:rsidR="002053B9" w:rsidRPr="005666C6" w:rsidRDefault="005A1E4A" w:rsidP="005666C6">
      <w:pPr>
        <w:pStyle w:val="FootnoteText"/>
      </w:pPr>
      <w:r w:rsidRPr="005666C6">
        <w:footnoteRef/>
      </w:r>
      <w:r w:rsidRPr="005666C6">
        <w:rPr>
          <w:rtl/>
        </w:rPr>
        <w:tab/>
      </w:r>
      <w:r w:rsidRPr="005666C6">
        <w:rPr>
          <w:rtl/>
        </w:rPr>
        <w:t xml:space="preserve">ויש </w:t>
      </w:r>
      <w:r w:rsidRPr="005666C6">
        <w:rPr>
          <w:rtl/>
        </w:rPr>
        <w:t>להעיר שאולי אינו כל כך קשה שצריך ביאור, שאולי מסתבר לגמרא שלא יהיה כן, שלא יהיה חלוק לכל איש. מצאנו כאן שחלוק לכל איש,</w:t>
      </w:r>
      <w:r w:rsidRPr="005666C6">
        <w:rPr>
          <w:rtl/>
        </w:rPr>
        <w:t xml:space="preserve"> אבל גמרא אומר שאין להוכיח, עדיין, שבשאר איסורים חידוש זה נכון.</w:t>
      </w:r>
    </w:p>
    <w:p w:rsidR="002053B9" w:rsidRPr="005666C6" w:rsidRDefault="005A1E4A" w:rsidP="005666C6">
      <w:pPr>
        <w:pStyle w:val="FootnoteText"/>
      </w:pPr>
      <w:r w:rsidRPr="005666C6">
        <w:rPr>
          <w:rtl/>
        </w:rPr>
        <w:tab/>
        <w:t>יש להעיר שהלשון לא משמע כן כל כך, שהרי, אז, היה לו לומר שבשאר איסורים, חוץ מאכילה, אומר, אבל לא שרק באיסורי נשים קאמר. ויש לדון, שאולי "איסורי נשים" רק אומר מה שאומר בו, ואומר את זה לומר מה ש</w:t>
      </w:r>
      <w:r w:rsidRPr="005666C6">
        <w:rPr>
          <w:rtl/>
        </w:rPr>
        <w:t>לא אומר בו, והוא שלא אמר אותו באיסורי מאכל. ותחשב.</w:t>
      </w:r>
    </w:p>
  </w:footnote>
  <w:footnote w:id="19">
    <w:p w:rsidR="002053B9" w:rsidRPr="005666C6" w:rsidRDefault="005A1E4A" w:rsidP="005666C6">
      <w:pPr>
        <w:pStyle w:val="FootnoteText"/>
      </w:pPr>
      <w:r w:rsidRPr="005666C6">
        <w:footnoteRef/>
      </w:r>
      <w:r w:rsidRPr="005666C6">
        <w:rPr>
          <w:rtl/>
        </w:rPr>
        <w:tab/>
      </w:r>
      <w:r w:rsidRPr="005666C6">
        <w:rPr>
          <w:rtl/>
        </w:rPr>
        <w:t xml:space="preserve">זה </w:t>
      </w:r>
      <w:r w:rsidRPr="005666C6">
        <w:rPr>
          <w:rtl/>
        </w:rPr>
        <w:t>יכול להיות כמה דברים: יותר מצוי (ואז יראו מה שמותר יותר או שאז יש יותר פנאי לעשות האסור), יותר רע. ותחשב.</w:t>
      </w:r>
    </w:p>
  </w:footnote>
  <w:footnote w:id="20">
    <w:p w:rsidR="002053B9" w:rsidRPr="005666C6" w:rsidRDefault="005A1E4A" w:rsidP="005666C6">
      <w:pPr>
        <w:pStyle w:val="FootnoteText"/>
      </w:pPr>
      <w:r w:rsidRPr="005666C6">
        <w:footnoteRef/>
      </w:r>
      <w:r w:rsidRPr="005666C6">
        <w:rPr>
          <w:rtl/>
        </w:rPr>
        <w:tab/>
      </w:r>
      <w:r w:rsidRPr="005666C6">
        <w:rPr>
          <w:rtl/>
        </w:rPr>
        <w:t xml:space="preserve">יש </w:t>
      </w:r>
      <w:r w:rsidRPr="005666C6">
        <w:rPr>
          <w:rtl/>
        </w:rPr>
        <w:t>להעיר שלשון גמרא קצת משמע שהחילוק הוא בחפץ של האיסור, ולא במעשה של האיסור. ותחשב. זה אולי</w:t>
      </w:r>
      <w:r w:rsidRPr="005666C6">
        <w:rPr>
          <w:rtl/>
        </w:rPr>
        <w:t xml:space="preserve"> טוב לצד ראשון שבראשון. וצריך לחשוב לשאר צדדים.</w:t>
      </w:r>
    </w:p>
  </w:footnote>
  <w:footnote w:id="21">
    <w:p w:rsidR="002053B9" w:rsidRPr="005666C6" w:rsidRDefault="005A1E4A" w:rsidP="005666C6">
      <w:pPr>
        <w:pStyle w:val="FootnoteText"/>
      </w:pPr>
      <w:r w:rsidRPr="005666C6">
        <w:footnoteRef/>
      </w:r>
      <w:r w:rsidRPr="005666C6">
        <w:rPr>
          <w:rtl/>
        </w:rPr>
        <w:tab/>
      </w:r>
      <w:r w:rsidRPr="005666C6">
        <w:rPr>
          <w:rtl/>
        </w:rPr>
        <w:t xml:space="preserve">כמובן, </w:t>
      </w:r>
      <w:r w:rsidRPr="005666C6">
        <w:rPr>
          <w:rtl/>
        </w:rPr>
        <w:t xml:space="preserve">אם נאמר שגמרא מניח שאשת איש הוא איסור שלא יכול ליחלק, וזהו מה שמקשה, אז קל לומר שאין להקשות מנישואים וכדומה, שהוא דבר חלוק. רק יכולים להוכיח מאשת איש. ותו"ת. </w:t>
      </w:r>
    </w:p>
  </w:footnote>
  <w:footnote w:id="22">
    <w:p w:rsidR="002053B9" w:rsidRPr="005666C6" w:rsidRDefault="005A1E4A" w:rsidP="005666C6">
      <w:pPr>
        <w:pStyle w:val="FootnoteText"/>
      </w:pPr>
      <w:r w:rsidRPr="005666C6">
        <w:footnoteRef/>
      </w:r>
      <w:r w:rsidRPr="005666C6">
        <w:rPr>
          <w:rtl/>
        </w:rPr>
        <w:tab/>
        <w:t xml:space="preserve"> </w:t>
      </w:r>
      <w:r w:rsidRPr="005666C6">
        <w:rPr>
          <w:rtl/>
        </w:rPr>
        <w:t xml:space="preserve">ויש </w:t>
      </w:r>
      <w:r w:rsidRPr="005666C6">
        <w:rPr>
          <w:rtl/>
        </w:rPr>
        <w:t xml:space="preserve">לדון, שנראה שאולי הענין הוא כעין </w:t>
      </w:r>
      <w:r w:rsidRPr="005666C6">
        <w:rPr>
          <w:rtl/>
        </w:rPr>
        <w:t xml:space="preserve">מה שהוא בברכות. לכאורה, הענין בברכות אינו רק שהמילים קצובים, אלא שמילים קצובים מוכיחים שאדם בטוח בדבר. אז, אולי זה חלק ממשעות של דברים כרותים; אם כן, כאן אומר שמחמת "חוץ" שאמר, לא </w:t>
      </w:r>
      <w:r w:rsidRPr="005666C6">
        <w:rPr>
          <w:rtl/>
        </w:rPr>
        <w:t>מניחים</w:t>
      </w:r>
      <w:r w:rsidRPr="005666C6">
        <w:rPr>
          <w:rtl/>
        </w:rPr>
        <w:t xml:space="preserve"> שרוצה כל כך בגירושין שלו. ותחשב.</w:t>
      </w:r>
    </w:p>
  </w:footnote>
  <w:footnote w:id="23">
    <w:p w:rsidR="002053B9" w:rsidRPr="005666C6" w:rsidRDefault="005A1E4A" w:rsidP="005666C6">
      <w:pPr>
        <w:pStyle w:val="FootnoteText"/>
      </w:pPr>
      <w:r w:rsidRPr="005666C6">
        <w:footnoteRef/>
      </w:r>
      <w:r w:rsidRPr="005666C6">
        <w:rPr>
          <w:rtl/>
        </w:rPr>
        <w:tab/>
        <w:t xml:space="preserve"> </w:t>
      </w:r>
      <w:r w:rsidRPr="005666C6">
        <w:rPr>
          <w:rtl/>
        </w:rPr>
        <w:t xml:space="preserve">באלו, </w:t>
      </w:r>
      <w:r w:rsidRPr="005666C6">
        <w:rPr>
          <w:rtl/>
        </w:rPr>
        <w:t xml:space="preserve">צריך לעיין לעיל, </w:t>
      </w:r>
      <w:r w:rsidRPr="005666C6">
        <w:rPr>
          <w:rtl/>
        </w:rPr>
        <w:t xml:space="preserve">שבארנו </w:t>
      </w:r>
      <w:r w:rsidRPr="005666C6">
        <w:rPr>
          <w:rtl/>
        </w:rPr>
        <w:t xml:space="preserve">שם </w:t>
      </w:r>
      <w:r w:rsidRPr="005666C6">
        <w:rPr>
          <w:rtl/>
        </w:rPr>
        <w:t>סברות המחלקת.</w:t>
      </w:r>
    </w:p>
  </w:footnote>
  <w:footnote w:id="24">
    <w:p w:rsidR="003B22E0" w:rsidRPr="005666C6" w:rsidRDefault="003B22E0" w:rsidP="005666C6">
      <w:pPr>
        <w:pStyle w:val="FootnoteText"/>
        <w:rPr>
          <w:rFonts w:hint="cs"/>
        </w:rPr>
      </w:pPr>
      <w:r w:rsidRPr="005666C6">
        <w:footnoteRef/>
      </w:r>
      <w:r w:rsidRPr="005666C6">
        <w:rPr>
          <w:rtl/>
        </w:rPr>
        <w:t xml:space="preserve"> </w:t>
      </w:r>
      <w:r w:rsidRPr="005666C6">
        <w:rPr>
          <w:rtl/>
        </w:rPr>
        <w:tab/>
      </w:r>
      <w:r w:rsidRPr="005666C6">
        <w:rPr>
          <w:rFonts w:hint="cs"/>
          <w:rtl/>
        </w:rPr>
        <w:t xml:space="preserve">יש </w:t>
      </w:r>
      <w:r w:rsidRPr="005666C6">
        <w:rPr>
          <w:rFonts w:hint="cs"/>
          <w:rtl/>
        </w:rPr>
        <w:t>לדון אם זה כתוב בגט, או רק נאמר עמו. אם כתוב, אז הגט עצמו מוכיח כן. אם נאמר עמו, אז מעשה של נתינת הגט מוכיח כן.</w:t>
      </w:r>
    </w:p>
  </w:footnote>
  <w:footnote w:id="25">
    <w:p w:rsidR="0082588C" w:rsidRDefault="0082588C">
      <w:pPr>
        <w:pStyle w:val="FootnoteText"/>
        <w:rPr>
          <w:rFonts w:hint="cs"/>
        </w:rPr>
      </w:pPr>
      <w:r>
        <w:rPr>
          <w:rStyle w:val="FootnoteReference"/>
        </w:rPr>
        <w:footnoteRef/>
      </w:r>
      <w:r>
        <w:rPr>
          <w:rtl/>
        </w:rPr>
        <w:t xml:space="preserve"> </w:t>
      </w:r>
      <w:r>
        <w:rPr>
          <w:rFonts w:hint="cs"/>
          <w:rtl/>
        </w:rPr>
        <w:tab/>
      </w:r>
      <w:r>
        <w:rPr>
          <w:rFonts w:hint="cs"/>
          <w:rtl/>
        </w:rPr>
        <w:t>יש להעיר שבכל זמן שאנו כותבים לשון כזה ("לא יכולה לעשות</w:t>
      </w:r>
      <w:r>
        <w:rPr>
          <w:rFonts w:ascii="Times New Roman" w:hAnsi="Times New Roman" w:cs="Times New Roman" w:hint="cs"/>
          <w:rtl/>
        </w:rPr>
        <w:t>…</w:t>
      </w:r>
      <w:r>
        <w:rPr>
          <w:rFonts w:hint="cs"/>
          <w:rtl/>
        </w:rPr>
        <w:t>"), לאו דווקא הוא, שיכולה לעשות כן, אלא שאז לא תוכל לישא. אז, לכאו', הענין הוא שעושה שמסתמא לא תעשה כן. ותחשב.</w:t>
      </w:r>
    </w:p>
  </w:footnote>
  <w:footnote w:id="26">
    <w:p w:rsidR="006B5FA1" w:rsidRDefault="006B5FA1" w:rsidP="006B5FA1">
      <w:pPr>
        <w:pStyle w:val="FootnoteText"/>
        <w:rPr>
          <w:rFonts w:hint="cs"/>
        </w:rPr>
      </w:pPr>
      <w:r>
        <w:rPr>
          <w:rStyle w:val="FootnoteReference"/>
        </w:rPr>
        <w:footnoteRef/>
      </w:r>
      <w:r>
        <w:rPr>
          <w:rtl/>
        </w:rPr>
        <w:t xml:space="preserve"> </w:t>
      </w:r>
      <w:r>
        <w:rPr>
          <w:rtl/>
        </w:rPr>
        <w:tab/>
      </w:r>
      <w:r>
        <w:rPr>
          <w:rFonts w:hint="cs"/>
          <w:rtl/>
        </w:rPr>
        <w:t>אינו כל כך פשוט לי, אבל נראה לי שיש חילוק בין שני צדדים אלו, אבל לא כל כך פשוט לי. צריך לחשוב.</w:t>
      </w:r>
    </w:p>
  </w:footnote>
  <w:footnote w:id="27">
    <w:p w:rsidR="00C168D9" w:rsidRDefault="00C168D9">
      <w:pPr>
        <w:pStyle w:val="FootnoteText"/>
        <w:rPr>
          <w:rFonts w:hint="cs"/>
        </w:rPr>
      </w:pPr>
      <w:r>
        <w:rPr>
          <w:rStyle w:val="FootnoteReference"/>
        </w:rPr>
        <w:footnoteRef/>
      </w:r>
      <w:r>
        <w:rPr>
          <w:rtl/>
        </w:rPr>
        <w:t xml:space="preserve"> </w:t>
      </w:r>
      <w:r>
        <w:rPr>
          <w:rFonts w:hint="cs"/>
          <w:rtl/>
        </w:rPr>
        <w:tab/>
      </w:r>
      <w:r>
        <w:rPr>
          <w:rFonts w:hint="cs"/>
          <w:rtl/>
        </w:rPr>
        <w:t>אבל עיין בתוס', שכ' ששניהם דורשים שניהם, ורק דנים מה לדרוש. וע"ש.</w:t>
      </w:r>
    </w:p>
  </w:footnote>
  <w:footnote w:id="28">
    <w:p w:rsidR="00C70510" w:rsidRDefault="00C70510">
      <w:pPr>
        <w:pStyle w:val="FootnoteText"/>
        <w:rPr>
          <w:rFonts w:hint="cs"/>
        </w:rPr>
      </w:pPr>
      <w:r>
        <w:rPr>
          <w:rStyle w:val="FootnoteReference"/>
        </w:rPr>
        <w:footnoteRef/>
      </w:r>
      <w:r>
        <w:rPr>
          <w:rtl/>
        </w:rPr>
        <w:t xml:space="preserve"> </w:t>
      </w:r>
      <w:r>
        <w:rPr>
          <w:rFonts w:hint="cs"/>
          <w:rtl/>
        </w:rPr>
        <w:tab/>
      </w:r>
      <w:r>
        <w:rPr>
          <w:rFonts w:hint="cs"/>
          <w:rtl/>
        </w:rPr>
        <w:t xml:space="preserve">ודע שלא פשוט לומר שדורשים זה מזה וזה מזה, שהיה נראה לומר, אולי, שיש שני קראי, וממה שיש שני קראי, רואים שיש שני דינים. אבל, אולי אין אחד המקור לאחד ואחר המקור לאחר, אלא </w:t>
      </w:r>
      <w:r w:rsidR="0097126F">
        <w:rPr>
          <w:rFonts w:hint="cs"/>
          <w:rtl/>
        </w:rPr>
        <w:t>ממה שיש שניהם, יש מקור לשניהם. ותחשב.</w:t>
      </w:r>
    </w:p>
  </w:footnote>
  <w:footnote w:id="29">
    <w:p w:rsidR="002053B9" w:rsidRPr="005666C6" w:rsidRDefault="005A1E4A" w:rsidP="005666C6">
      <w:pPr>
        <w:pStyle w:val="FootnoteText"/>
      </w:pPr>
      <w:r w:rsidRPr="005666C6">
        <w:footnoteRef/>
      </w:r>
      <w:r w:rsidRPr="005666C6">
        <w:rPr>
          <w:rtl/>
        </w:rPr>
        <w:tab/>
        <w:t xml:space="preserve"> </w:t>
      </w:r>
      <w:r w:rsidRPr="005666C6">
        <w:rPr>
          <w:rtl/>
        </w:rPr>
        <w:t>גם יש לדון אם כל אחד שמע דיחוי על ראיית חבירו.</w:t>
      </w:r>
    </w:p>
  </w:footnote>
  <w:footnote w:id="30">
    <w:p w:rsidR="002053B9" w:rsidRPr="005666C6" w:rsidRDefault="005A1E4A" w:rsidP="005666C6">
      <w:pPr>
        <w:pStyle w:val="FootnoteText"/>
      </w:pPr>
      <w:r w:rsidRPr="005666C6">
        <w:footnoteRef/>
      </w:r>
      <w:r w:rsidRPr="005666C6">
        <w:rPr>
          <w:rtl/>
        </w:rPr>
        <w:tab/>
        <w:t xml:space="preserve"> </w:t>
      </w:r>
      <w:r w:rsidRPr="005666C6">
        <w:rPr>
          <w:rtl/>
        </w:rPr>
        <w:t xml:space="preserve">ויש </w:t>
      </w:r>
      <w:r w:rsidRPr="005666C6">
        <w:rPr>
          <w:rtl/>
        </w:rPr>
        <w:t>לדון, שיש כאן אשת איש, אבל גמרא לא מזכיר אותו, וקצת משמע שאין זה הענין כאן. ותחשב.</w:t>
      </w:r>
    </w:p>
  </w:footnote>
  <w:footnote w:id="31">
    <w:p w:rsidR="002053B9" w:rsidRPr="005666C6" w:rsidRDefault="005A1E4A" w:rsidP="005666C6">
      <w:pPr>
        <w:pStyle w:val="FootnoteText"/>
      </w:pPr>
      <w:r w:rsidRPr="005666C6">
        <w:footnoteRef/>
      </w:r>
      <w:r w:rsidRPr="005666C6">
        <w:rPr>
          <w:rtl/>
        </w:rPr>
        <w:tab/>
        <w:t xml:space="preserve"> </w:t>
      </w:r>
      <w:r w:rsidRPr="005666C6">
        <w:rPr>
          <w:rtl/>
        </w:rPr>
        <w:t xml:space="preserve">אבל, </w:t>
      </w:r>
      <w:r w:rsidRPr="005666C6">
        <w:rPr>
          <w:rtl/>
        </w:rPr>
        <w:t>אי אפשר לומר ששניהם נקטו לכן, שאז, לכאורה, שניהם מקשים קושיה אחת. ותחשב.</w:t>
      </w:r>
    </w:p>
  </w:footnote>
  <w:footnote w:id="32">
    <w:p w:rsidR="002053B9" w:rsidRPr="005666C6" w:rsidRDefault="005A1E4A" w:rsidP="005666C6">
      <w:pPr>
        <w:pStyle w:val="FootnoteText"/>
      </w:pPr>
      <w:r w:rsidRPr="005666C6">
        <w:footnoteRef/>
      </w:r>
      <w:r w:rsidRPr="005666C6">
        <w:rPr>
          <w:rtl/>
        </w:rPr>
        <w:tab/>
        <w:t xml:space="preserve"> </w:t>
      </w:r>
      <w:r w:rsidRPr="005666C6">
        <w:rPr>
          <w:rtl/>
        </w:rPr>
        <w:t xml:space="preserve">יש </w:t>
      </w:r>
      <w:r w:rsidRPr="005666C6">
        <w:rPr>
          <w:rtl/>
        </w:rPr>
        <w:t>להעיר על זה כמש</w:t>
      </w:r>
      <w:r w:rsidRPr="005666C6">
        <w:rPr>
          <w:rtl/>
        </w:rPr>
        <w:t>"כ על כעין זה בר"ט בע"ה.</w:t>
      </w:r>
    </w:p>
  </w:footnote>
  <w:footnote w:id="33">
    <w:p w:rsidR="002053B9" w:rsidRPr="005666C6" w:rsidRDefault="005A1E4A" w:rsidP="005666C6">
      <w:pPr>
        <w:pStyle w:val="FootnoteText"/>
      </w:pPr>
      <w:r w:rsidRPr="005666C6">
        <w:footnoteRef/>
      </w:r>
      <w:r w:rsidRPr="005666C6">
        <w:rPr>
          <w:rtl/>
        </w:rPr>
        <w:tab/>
        <w:t xml:space="preserve"> </w:t>
      </w:r>
      <w:r w:rsidRPr="005666C6">
        <w:rPr>
          <w:rtl/>
        </w:rPr>
        <w:t xml:space="preserve">ודע </w:t>
      </w:r>
      <w:r w:rsidRPr="005666C6">
        <w:rPr>
          <w:rtl/>
        </w:rPr>
        <w:t>שאף לזה, אם אינו אומר כצד שלישי במה עושה, קצת צריך ביאור למה מקשה כן, ולא רק מקשה שלא יהיה הגט חל. ותחשב.</w:t>
      </w:r>
    </w:p>
  </w:footnote>
  <w:footnote w:id="34">
    <w:p w:rsidR="002053B9" w:rsidRPr="005666C6" w:rsidRDefault="005A1E4A" w:rsidP="005666C6">
      <w:pPr>
        <w:pStyle w:val="FootnoteText"/>
      </w:pPr>
      <w:r w:rsidRPr="005666C6">
        <w:footnoteRef/>
      </w:r>
      <w:r w:rsidRPr="005666C6">
        <w:rPr>
          <w:rtl/>
        </w:rPr>
        <w:tab/>
        <w:t xml:space="preserve"> </w:t>
      </w:r>
      <w:r w:rsidRPr="005666C6">
        <w:rPr>
          <w:rtl/>
        </w:rPr>
        <w:t xml:space="preserve">יש </w:t>
      </w:r>
      <w:r w:rsidRPr="005666C6">
        <w:rPr>
          <w:rtl/>
        </w:rPr>
        <w:t>לדחות בשני אופנים:</w:t>
      </w:r>
    </w:p>
    <w:p w:rsidR="002053B9" w:rsidRPr="005666C6" w:rsidRDefault="005A1E4A" w:rsidP="005666C6">
      <w:pPr>
        <w:pStyle w:val="FootnoteText"/>
      </w:pPr>
      <w:r w:rsidRPr="005666C6">
        <w:rPr>
          <w:rtl/>
        </w:rPr>
        <w:t xml:space="preserve">אין איסור אשת איש בא ממה שהוא מיוחס לה, ואז אם נשאר שום יחס, נשאר קצת סיבה, שאולי הסיבה הוא </w:t>
      </w:r>
      <w:r w:rsidRPr="005666C6">
        <w:rPr>
          <w:rtl/>
        </w:rPr>
        <w:t>היות יחס מיוחד.</w:t>
      </w:r>
    </w:p>
    <w:p w:rsidR="002053B9" w:rsidRPr="005666C6" w:rsidRDefault="005A1E4A" w:rsidP="005666C6">
      <w:pPr>
        <w:pStyle w:val="FootnoteText"/>
      </w:pPr>
      <w:r w:rsidRPr="005666C6">
        <w:rPr>
          <w:rtl/>
        </w:rPr>
        <w:t xml:space="preserve">אין איסור אשת איש בא ממה שהוא מיוחס לה כלל, אלא ממה שהוא מיוחס לה מאד. אם אינו מיוחס לה מאד, לא רק נחלש הסיבה, אלא אין סיבה כלל. </w:t>
      </w:r>
    </w:p>
  </w:footnote>
  <w:footnote w:id="35">
    <w:p w:rsidR="002053B9" w:rsidRPr="005666C6" w:rsidRDefault="005A1E4A" w:rsidP="005666C6">
      <w:pPr>
        <w:pStyle w:val="FootnoteText"/>
      </w:pPr>
      <w:r w:rsidRPr="005666C6">
        <w:footnoteRef/>
      </w:r>
      <w:r w:rsidRPr="005666C6">
        <w:rPr>
          <w:rtl/>
        </w:rPr>
        <w:tab/>
        <w:t xml:space="preserve"> </w:t>
      </w:r>
      <w:r w:rsidRPr="005666C6">
        <w:rPr>
          <w:rtl/>
        </w:rPr>
        <w:t xml:space="preserve">כמובן, </w:t>
      </w:r>
      <w:r w:rsidRPr="005666C6">
        <w:rPr>
          <w:rtl/>
        </w:rPr>
        <w:t>כל אחד עושה הנחה סביבת האיסור ב"גרושה מאישה."</w:t>
      </w:r>
    </w:p>
  </w:footnote>
  <w:footnote w:id="36">
    <w:p w:rsidR="002053B9" w:rsidRPr="005666C6" w:rsidRDefault="005A1E4A" w:rsidP="005666C6">
      <w:pPr>
        <w:pStyle w:val="FootnoteText"/>
      </w:pPr>
      <w:r w:rsidRPr="005666C6">
        <w:footnoteRef/>
      </w:r>
      <w:r w:rsidRPr="005666C6">
        <w:rPr>
          <w:rtl/>
        </w:rPr>
        <w:tab/>
        <w:t xml:space="preserve"> </w:t>
      </w:r>
      <w:r w:rsidRPr="005666C6">
        <w:rPr>
          <w:rtl/>
        </w:rPr>
        <w:t xml:space="preserve">אולי </w:t>
      </w:r>
      <w:r w:rsidRPr="005666C6">
        <w:rPr>
          <w:rtl/>
        </w:rPr>
        <w:t>לא סובר שאסור מדין גזירה, או אולי לא כל כך מוכ</w:t>
      </w:r>
      <w:r w:rsidRPr="005666C6">
        <w:rPr>
          <w:rtl/>
        </w:rPr>
        <w:t>רח ממה שיש גזירה שם שאף כאן יש גזירה.</w:t>
      </w:r>
    </w:p>
  </w:footnote>
  <w:footnote w:id="37">
    <w:p w:rsidR="002053B9" w:rsidRPr="005666C6" w:rsidRDefault="005A1E4A" w:rsidP="005666C6">
      <w:pPr>
        <w:pStyle w:val="FootnoteText"/>
      </w:pPr>
      <w:r w:rsidRPr="005666C6">
        <w:footnoteRef/>
      </w:r>
      <w:r w:rsidRPr="005666C6">
        <w:rPr>
          <w:rtl/>
        </w:rPr>
        <w:tab/>
        <w:t xml:space="preserve"> </w:t>
      </w:r>
      <w:r w:rsidRPr="005666C6">
        <w:rPr>
          <w:rtl/>
        </w:rPr>
        <w:t xml:space="preserve">למשל, </w:t>
      </w:r>
      <w:r w:rsidRPr="005666C6">
        <w:rPr>
          <w:rtl/>
        </w:rPr>
        <w:t>שאיסור גירושין גופא בא מהיתר לאחרים.</w:t>
      </w:r>
    </w:p>
  </w:footnote>
  <w:footnote w:id="38">
    <w:p w:rsidR="002053B9" w:rsidRPr="005666C6" w:rsidRDefault="005A1E4A" w:rsidP="005666C6">
      <w:pPr>
        <w:pStyle w:val="FootnoteText"/>
      </w:pPr>
      <w:r w:rsidRPr="005666C6">
        <w:footnoteRef/>
      </w:r>
      <w:r w:rsidRPr="005666C6">
        <w:rPr>
          <w:rtl/>
        </w:rPr>
        <w:tab/>
        <w:t xml:space="preserve"> </w:t>
      </w:r>
      <w:r w:rsidRPr="005666C6">
        <w:rPr>
          <w:rtl/>
        </w:rPr>
        <w:t xml:space="preserve">אין </w:t>
      </w:r>
      <w:r w:rsidRPr="005666C6">
        <w:rPr>
          <w:rtl/>
        </w:rPr>
        <w:t>אני יודע מתי אומרים כל זה אכניס, אבל לא קשה לומר שלא לדחות שכל זה אכניס, שרק מוכיחים שיש לו סיבה חזקה ליאסור. אולי, אז, הוא יותר חמור בענין אחד, שהרי יש בו מה שהוא ק</w:t>
      </w:r>
      <w:r w:rsidRPr="005666C6">
        <w:rPr>
          <w:rtl/>
        </w:rPr>
        <w:t>ל ויש בו מה שהוא חמור. אז, יכול ליהות שיהיה בו קולות ויכול להיות שירצה חומרות. אם כן, יהיה פירכא טובה.</w:t>
      </w:r>
    </w:p>
  </w:footnote>
  <w:footnote w:id="39">
    <w:p w:rsidR="002053B9" w:rsidRPr="005666C6" w:rsidRDefault="005A1E4A" w:rsidP="005666C6">
      <w:pPr>
        <w:pStyle w:val="FootnoteText"/>
      </w:pPr>
      <w:r w:rsidRPr="005666C6">
        <w:footnoteRef/>
      </w:r>
      <w:r w:rsidRPr="005666C6">
        <w:rPr>
          <w:rtl/>
        </w:rPr>
        <w:tab/>
        <w:t xml:space="preserve"> </w:t>
      </w:r>
      <w:r w:rsidRPr="005666C6">
        <w:rPr>
          <w:rtl/>
        </w:rPr>
        <w:t xml:space="preserve">ודע </w:t>
      </w:r>
      <w:r w:rsidRPr="005666C6">
        <w:rPr>
          <w:rtl/>
        </w:rPr>
        <w:t>שהיה אפשר לפרש ששמע מזה שחול' ומזה שחול' בציור אחר, ואז הניח שחול' בשניהם; אבל אז קשה למה צריך להיות ששמע זה מזה וזה מזה, ולא רק ששמע שניהם מאיש א</w:t>
      </w:r>
      <w:r w:rsidRPr="005666C6">
        <w:rPr>
          <w:rtl/>
        </w:rPr>
        <w:t xml:space="preserve">חד. אז, נראה שרצה לומר שהיה מסופק במה חולקים. ותו"ת. </w:t>
      </w:r>
    </w:p>
  </w:footnote>
  <w:footnote w:id="40">
    <w:p w:rsidR="002053B9" w:rsidRPr="005666C6" w:rsidRDefault="005A1E4A" w:rsidP="005666C6">
      <w:pPr>
        <w:pStyle w:val="FootnoteText"/>
      </w:pPr>
      <w:r w:rsidRPr="005666C6">
        <w:footnoteRef/>
      </w:r>
      <w:r w:rsidRPr="005666C6">
        <w:rPr>
          <w:rtl/>
        </w:rPr>
        <w:tab/>
        <w:t xml:space="preserve"> </w:t>
      </w:r>
      <w:r w:rsidRPr="005666C6">
        <w:rPr>
          <w:rtl/>
        </w:rPr>
        <w:t xml:space="preserve">ום </w:t>
      </w:r>
      <w:r w:rsidRPr="005666C6">
        <w:rPr>
          <w:rtl/>
        </w:rPr>
        <w:t>תאמר הרי בוודאי אפשר, שיכול לתת לה גט פסול, ונמצא שקיים מה שאמר תורה שיתן גט, ועדיין היא מיוחסת לו. ויש לומר שאז אל נכנסת לאותו כלל שאמרה תורה, שתורה אמרה שנתנה גט כשר.</w:t>
      </w:r>
    </w:p>
  </w:footnote>
  <w:footnote w:id="41">
    <w:p w:rsidR="002053B9" w:rsidRPr="005666C6" w:rsidRDefault="005A1E4A" w:rsidP="005666C6">
      <w:pPr>
        <w:pStyle w:val="FootnoteText"/>
      </w:pPr>
      <w:r w:rsidRPr="005666C6">
        <w:footnoteRef/>
      </w:r>
      <w:r w:rsidRPr="005666C6">
        <w:rPr>
          <w:rtl/>
        </w:rPr>
        <w:tab/>
        <w:t xml:space="preserve"> </w:t>
      </w:r>
      <w:r w:rsidRPr="005666C6">
        <w:rPr>
          <w:rtl/>
        </w:rPr>
        <w:t xml:space="preserve">אולי </w:t>
      </w:r>
      <w:r w:rsidRPr="005666C6">
        <w:rPr>
          <w:rtl/>
        </w:rPr>
        <w:t xml:space="preserve">יש להוכיח מזה שאין </w:t>
      </w:r>
      <w:r w:rsidRPr="005666C6">
        <w:rPr>
          <w:rtl/>
        </w:rPr>
        <w:t>רבנן סוברים שמקצת גירושין יכול לחול. כתבנו צד שאולי רבנן סוברים שיכול מקצת גירושין לחול, אלא שאותו מקצת אישות שנשאר עדיין גורם איסור (או גורם להיות עוד נישואים). נראה לדחות על פי מה שכתבנו באות הקודם. יש לדון אם מקצת גירושין זה יהיה בכלל, "ונתן לה ספר כרית</w:t>
      </w:r>
      <w:r w:rsidRPr="005666C6">
        <w:rPr>
          <w:rtl/>
        </w:rPr>
        <w:t>ות</w:t>
      </w:r>
      <w:r w:rsidRPr="005666C6">
        <w:rPr>
          <w:rFonts w:ascii="Times New Roman" w:hAnsi="Times New Roman" w:cs="Times New Roman" w:hint="cs"/>
          <w:rtl/>
        </w:rPr>
        <w:t>…</w:t>
      </w:r>
      <w:r w:rsidRPr="005666C6">
        <w:rPr>
          <w:rtl/>
        </w:rPr>
        <w:t>" שאמרה תורה. ותחשב.</w:t>
      </w:r>
    </w:p>
  </w:footnote>
  <w:footnote w:id="42">
    <w:p w:rsidR="002053B9" w:rsidRPr="005666C6" w:rsidRDefault="005A1E4A" w:rsidP="005666C6">
      <w:pPr>
        <w:pStyle w:val="FootnoteText"/>
      </w:pPr>
      <w:r w:rsidRPr="005666C6">
        <w:footnoteRef/>
      </w:r>
      <w:r w:rsidRPr="005666C6">
        <w:rPr>
          <w:rtl/>
        </w:rPr>
        <w:tab/>
        <w:t xml:space="preserve"> </w:t>
      </w:r>
      <w:r w:rsidRPr="005666C6">
        <w:rPr>
          <w:rtl/>
        </w:rPr>
        <w:t xml:space="preserve">יש </w:t>
      </w:r>
      <w:r w:rsidRPr="005666C6">
        <w:rPr>
          <w:rtl/>
        </w:rPr>
        <w:t xml:space="preserve">דרך אחר שבו יכולה להיות מיוחסת לאחר, והוא אם נשא אותה חוץ מזה. נראה שזה גם לא ידוע, שהלימוד לזה בא מהיקש יציאה להויה. ותו"ת. </w:t>
      </w:r>
    </w:p>
  </w:footnote>
  <w:footnote w:id="43">
    <w:p w:rsidR="002053B9" w:rsidRPr="005666C6" w:rsidRDefault="005A1E4A" w:rsidP="005666C6">
      <w:pPr>
        <w:pStyle w:val="FootnoteText"/>
      </w:pPr>
      <w:r w:rsidRPr="005666C6">
        <w:footnoteRef/>
      </w:r>
      <w:r w:rsidRPr="005666C6">
        <w:rPr>
          <w:rtl/>
        </w:rPr>
        <w:tab/>
        <w:t xml:space="preserve"> </w:t>
      </w:r>
      <w:r w:rsidRPr="005666C6">
        <w:rPr>
          <w:rtl/>
        </w:rPr>
        <w:t xml:space="preserve">ויש </w:t>
      </w:r>
      <w:r w:rsidRPr="005666C6">
        <w:rPr>
          <w:rtl/>
        </w:rPr>
        <w:t>להעיר  שיש איסור לישא קרוב אף אחר מיתת הבעל. אז, אם נאמר שהוא מחמת יחס לבעל שנשאר, צריכים לומ</w:t>
      </w:r>
      <w:r w:rsidRPr="005666C6">
        <w:rPr>
          <w:rtl/>
        </w:rPr>
        <w:t xml:space="preserve">ר שיש עוד יחס אחר מיתה. זה קצת קשה להבין, שלכאו', אינו כאן להיות לו יחס. אולי יש יחס לנשמה שלו או כדומה. יש דרך אחר, והוא שאולי "אגידא" לא ר"ל מיוחסת, אלא שיש שינוי דין מחמת שהיתה נשואה. זה אומר דבר חלוק מצד רשאון שכתבנו; עדיין צריכים שהסיבה שווה, אבל הרי </w:t>
      </w:r>
      <w:r w:rsidRPr="005666C6">
        <w:rPr>
          <w:rtl/>
        </w:rPr>
        <w:t>הוא שווה, שבשניהם, הסיבה הוא שיש לה דין זה כיון שהיתה מיוחסת לבעל. אם כן, נצטרך לומר שגט עושה שלא נשואה, ועושה כן אף אם אומר חוץ מפלוני. אבל, יש עוד סיבה לאיסור, והוא מה שהיתה נשאת. גט אף מתיר את זה, אבל לא לנתמעט, כשאומר חוץ. לא נראה.</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53B9" w:rsidRDefault="002053B9">
    <w:pPr>
      <w:jc w:val="center"/>
      <w:rPr>
        <w:rFonts w:ascii="Shofar" w:hAnsi="Shofar" w:cs="Shofar"/>
        <w:b/>
        <w:bCs/>
      </w:rPr>
    </w:pPr>
  </w:p>
  <w:p w:rsidR="002053B9" w:rsidRDefault="002053B9">
    <w:pPr>
      <w:jc w:val="center"/>
      <w:rPr>
        <w:rFonts w:ascii="Shofar" w:hAnsi="Shofar" w:cs="Shofar"/>
        <w:b/>
        <w:bCs/>
      </w:rPr>
    </w:pPr>
  </w:p>
  <w:p w:rsidR="002053B9" w:rsidRDefault="005A1E4A">
    <w:pPr>
      <w:jc w:val="center"/>
      <w:rPr>
        <w:rFonts w:ascii="Noto Serif Hebrew" w:hAnsi="Noto Serif Hebrew" w:cs="Yiddishkeit AlefAlefAlef Bold"/>
        <w:b/>
        <w:bCs/>
        <w:spacing w:val="28"/>
      </w:rPr>
    </w:pPr>
    <w:r>
      <w:rPr>
        <w:rFonts w:ascii="Noto Serif Hebrew" w:hAnsi="Noto Serif Hebrew" w:cs="Yiddishkeit AlefAlefAlef Bold"/>
        <w:b/>
        <w:bCs/>
        <w:spacing w:val="28"/>
        <w:rtl/>
      </w:rPr>
      <w:t>תשובות זקנים לר</w:t>
    </w:r>
    <w:r>
      <w:rPr>
        <w:rFonts w:ascii="Noto Serif Hebrew" w:hAnsi="Noto Serif Hebrew" w:cs="Yiddishkeit AlefAlefAlef Bold"/>
        <w:b/>
        <w:bCs/>
        <w:spacing w:val="28"/>
        <w:rtl/>
      </w:rPr>
      <w:t>"</w:t>
    </w:r>
    <w:r>
      <w:rPr>
        <w:rFonts w:ascii="Noto Serif Hebrew" w:hAnsi="Noto Serif Hebrew" w:cs="Yiddishkeit AlefAlefAlef Bold"/>
        <w:b/>
        <w:bCs/>
        <w:spacing w:val="28"/>
        <w:rtl/>
      </w:rPr>
      <w:t>א</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D0B3F"/>
    <w:multiLevelType w:val="multilevel"/>
    <w:tmpl w:val="6054FCE0"/>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 w15:restartNumberingAfterBreak="0">
    <w:nsid w:val="04666D28"/>
    <w:multiLevelType w:val="hybridMultilevel"/>
    <w:tmpl w:val="B1F8F0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136BC3"/>
    <w:multiLevelType w:val="multilevel"/>
    <w:tmpl w:val="D00E23FE"/>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 w15:restartNumberingAfterBreak="0">
    <w:nsid w:val="11FE67B8"/>
    <w:multiLevelType w:val="multilevel"/>
    <w:tmpl w:val="99E208FE"/>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4" w15:restartNumberingAfterBreak="0">
    <w:nsid w:val="13AA2768"/>
    <w:multiLevelType w:val="multilevel"/>
    <w:tmpl w:val="188CF09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13E20834"/>
    <w:multiLevelType w:val="multilevel"/>
    <w:tmpl w:val="CEDC4DC0"/>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6" w15:restartNumberingAfterBreak="0">
    <w:nsid w:val="15440C5E"/>
    <w:multiLevelType w:val="hybridMultilevel"/>
    <w:tmpl w:val="008C39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552691"/>
    <w:multiLevelType w:val="multilevel"/>
    <w:tmpl w:val="734A44D4"/>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8" w15:restartNumberingAfterBreak="0">
    <w:nsid w:val="240A3DF1"/>
    <w:multiLevelType w:val="multilevel"/>
    <w:tmpl w:val="081C992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9" w15:restartNumberingAfterBreak="0">
    <w:nsid w:val="27035E04"/>
    <w:multiLevelType w:val="hybridMultilevel"/>
    <w:tmpl w:val="244E4D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254D50"/>
    <w:multiLevelType w:val="multilevel"/>
    <w:tmpl w:val="59929CA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1" w15:restartNumberingAfterBreak="0">
    <w:nsid w:val="2E1767AB"/>
    <w:multiLevelType w:val="multilevel"/>
    <w:tmpl w:val="A3488366"/>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2FBF01E6"/>
    <w:multiLevelType w:val="multilevel"/>
    <w:tmpl w:val="F7AE600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3F491704"/>
    <w:multiLevelType w:val="multilevel"/>
    <w:tmpl w:val="625254D0"/>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4" w15:restartNumberingAfterBreak="0">
    <w:nsid w:val="40BE001D"/>
    <w:multiLevelType w:val="multilevel"/>
    <w:tmpl w:val="E9B082C4"/>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5" w15:restartNumberingAfterBreak="0">
    <w:nsid w:val="413A0E35"/>
    <w:multiLevelType w:val="multilevel"/>
    <w:tmpl w:val="720EFB9E"/>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6" w15:restartNumberingAfterBreak="0">
    <w:nsid w:val="47264FAB"/>
    <w:multiLevelType w:val="multilevel"/>
    <w:tmpl w:val="2854A1E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7" w15:restartNumberingAfterBreak="0">
    <w:nsid w:val="48BA3B6E"/>
    <w:multiLevelType w:val="multilevel"/>
    <w:tmpl w:val="593E1ED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4AFA2BCC"/>
    <w:multiLevelType w:val="hybridMultilevel"/>
    <w:tmpl w:val="F90000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161D40"/>
    <w:multiLevelType w:val="multilevel"/>
    <w:tmpl w:val="B8087C1A"/>
    <w:lvl w:ilvl="0">
      <w:start w:val="1"/>
      <w:numFmt w:val="decimal"/>
      <w:lvlText w:val="%1. "/>
      <w:lvlJc w:val="left"/>
      <w:pPr>
        <w:tabs>
          <w:tab w:val="num" w:pos="0"/>
        </w:tabs>
        <w:ind w:left="720" w:hanging="360"/>
      </w:pPr>
    </w:lvl>
    <w:lvl w:ilvl="1">
      <w:start w:val="1"/>
      <w:numFmt w:val="lowerLetter"/>
      <w:lvlText w:val="%2. "/>
      <w:lvlJc w:val="left"/>
      <w:pPr>
        <w:tabs>
          <w:tab w:val="num" w:pos="0"/>
        </w:tabs>
        <w:ind w:left="1440" w:hanging="360"/>
      </w:pPr>
    </w:lvl>
    <w:lvl w:ilvl="2">
      <w:start w:val="1"/>
      <w:numFmt w:val="lowerRoman"/>
      <w:lvlText w:val="%3. "/>
      <w:lvlJc w:val="right"/>
      <w:pPr>
        <w:tabs>
          <w:tab w:val="num" w:pos="0"/>
        </w:tabs>
        <w:ind w:left="2160" w:hanging="180"/>
      </w:pPr>
    </w:lvl>
    <w:lvl w:ilvl="3">
      <w:start w:val="1"/>
      <w:numFmt w:val="decimal"/>
      <w:lvlText w:val="%4. "/>
      <w:lvlJc w:val="left"/>
      <w:pPr>
        <w:tabs>
          <w:tab w:val="num" w:pos="0"/>
        </w:tabs>
        <w:ind w:left="2880" w:hanging="360"/>
      </w:pPr>
    </w:lvl>
    <w:lvl w:ilvl="4">
      <w:start w:val="1"/>
      <w:numFmt w:val="lowerLetter"/>
      <w:lvlText w:val="%5. "/>
      <w:lvlJc w:val="left"/>
      <w:pPr>
        <w:tabs>
          <w:tab w:val="num" w:pos="0"/>
        </w:tabs>
        <w:ind w:left="3600" w:hanging="360"/>
      </w:pPr>
    </w:lvl>
    <w:lvl w:ilvl="5">
      <w:start w:val="1"/>
      <w:numFmt w:val="lowerRoman"/>
      <w:lvlText w:val="%6. "/>
      <w:lvlJc w:val="right"/>
      <w:pPr>
        <w:tabs>
          <w:tab w:val="num" w:pos="0"/>
        </w:tabs>
        <w:ind w:left="4320" w:hanging="180"/>
      </w:pPr>
    </w:lvl>
    <w:lvl w:ilvl="6">
      <w:start w:val="1"/>
      <w:numFmt w:val="decimal"/>
      <w:lvlText w:val="%7. "/>
      <w:lvlJc w:val="left"/>
      <w:pPr>
        <w:tabs>
          <w:tab w:val="num" w:pos="0"/>
        </w:tabs>
        <w:ind w:left="5040" w:hanging="360"/>
      </w:pPr>
    </w:lvl>
    <w:lvl w:ilvl="7">
      <w:start w:val="1"/>
      <w:numFmt w:val="lowerLetter"/>
      <w:lvlText w:val="%8. "/>
      <w:lvlJc w:val="left"/>
      <w:pPr>
        <w:tabs>
          <w:tab w:val="num" w:pos="0"/>
        </w:tabs>
        <w:ind w:left="5760" w:hanging="360"/>
      </w:pPr>
    </w:lvl>
    <w:lvl w:ilvl="8">
      <w:start w:val="1"/>
      <w:numFmt w:val="lowerRoman"/>
      <w:lvlText w:val="%9. "/>
      <w:lvlJc w:val="right"/>
      <w:pPr>
        <w:tabs>
          <w:tab w:val="num" w:pos="0"/>
        </w:tabs>
        <w:ind w:left="6480" w:hanging="180"/>
      </w:pPr>
    </w:lvl>
  </w:abstractNum>
  <w:abstractNum w:abstractNumId="20" w15:restartNumberingAfterBreak="0">
    <w:nsid w:val="4EF37CC1"/>
    <w:multiLevelType w:val="multilevel"/>
    <w:tmpl w:val="AA5AEBC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15:restartNumberingAfterBreak="0">
    <w:nsid w:val="4F2D3F72"/>
    <w:multiLevelType w:val="multilevel"/>
    <w:tmpl w:val="6E18214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15:restartNumberingAfterBreak="0">
    <w:nsid w:val="56F071B7"/>
    <w:multiLevelType w:val="multilevel"/>
    <w:tmpl w:val="B6B4B8A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3" w15:restartNumberingAfterBreak="0">
    <w:nsid w:val="588B03A0"/>
    <w:multiLevelType w:val="multilevel"/>
    <w:tmpl w:val="9BBE68F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15:restartNumberingAfterBreak="0">
    <w:nsid w:val="5BAB078A"/>
    <w:multiLevelType w:val="multilevel"/>
    <w:tmpl w:val="D0168B8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5" w15:restartNumberingAfterBreak="0">
    <w:nsid w:val="613D3470"/>
    <w:multiLevelType w:val="multilevel"/>
    <w:tmpl w:val="F0B0353A"/>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6" w15:restartNumberingAfterBreak="0">
    <w:nsid w:val="64305EB3"/>
    <w:multiLevelType w:val="multilevel"/>
    <w:tmpl w:val="6538AE3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7" w15:restartNumberingAfterBreak="0">
    <w:nsid w:val="648A59C3"/>
    <w:multiLevelType w:val="multilevel"/>
    <w:tmpl w:val="B1A6DD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15:restartNumberingAfterBreak="0">
    <w:nsid w:val="680B3E14"/>
    <w:multiLevelType w:val="hybridMultilevel"/>
    <w:tmpl w:val="8258DB4E"/>
    <w:lvl w:ilvl="0" w:tplc="0409000F">
      <w:start w:val="1"/>
      <w:numFmt w:val="decimal"/>
      <w:lvlText w:val="%1."/>
      <w:lvlJc w:val="left"/>
      <w:pPr>
        <w:ind w:left="778" w:hanging="360"/>
      </w:pPr>
    </w:lvl>
    <w:lvl w:ilvl="1" w:tplc="04090019">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29" w15:restartNumberingAfterBreak="0">
    <w:nsid w:val="6BDE639E"/>
    <w:multiLevelType w:val="multilevel"/>
    <w:tmpl w:val="06D8EC9A"/>
    <w:lvl w:ilvl="0">
      <w:start w:val="1"/>
      <w:numFmt w:val="none"/>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0" w15:restartNumberingAfterBreak="0">
    <w:nsid w:val="6C6356D8"/>
    <w:multiLevelType w:val="multilevel"/>
    <w:tmpl w:val="DCB0F9F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6CB640FE"/>
    <w:multiLevelType w:val="multilevel"/>
    <w:tmpl w:val="0D5E41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2" w15:restartNumberingAfterBreak="0">
    <w:nsid w:val="6E0048E9"/>
    <w:multiLevelType w:val="multilevel"/>
    <w:tmpl w:val="D146FEC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3" w15:restartNumberingAfterBreak="0">
    <w:nsid w:val="75DE16CC"/>
    <w:multiLevelType w:val="multilevel"/>
    <w:tmpl w:val="8CBC9ADA"/>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4" w15:restartNumberingAfterBreak="0">
    <w:nsid w:val="767B17D9"/>
    <w:multiLevelType w:val="multilevel"/>
    <w:tmpl w:val="2840738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31"/>
  </w:num>
  <w:num w:numId="2">
    <w:abstractNumId w:val="29"/>
  </w:num>
  <w:num w:numId="3">
    <w:abstractNumId w:val="11"/>
  </w:num>
  <w:num w:numId="4">
    <w:abstractNumId w:val="14"/>
  </w:num>
  <w:num w:numId="5">
    <w:abstractNumId w:val="3"/>
  </w:num>
  <w:num w:numId="6">
    <w:abstractNumId w:val="10"/>
  </w:num>
  <w:num w:numId="7">
    <w:abstractNumId w:val="16"/>
  </w:num>
  <w:num w:numId="8">
    <w:abstractNumId w:val="13"/>
  </w:num>
  <w:num w:numId="9">
    <w:abstractNumId w:val="5"/>
  </w:num>
  <w:num w:numId="10">
    <w:abstractNumId w:val="8"/>
  </w:num>
  <w:num w:numId="11">
    <w:abstractNumId w:val="33"/>
  </w:num>
  <w:num w:numId="12">
    <w:abstractNumId w:val="2"/>
  </w:num>
  <w:num w:numId="13">
    <w:abstractNumId w:val="7"/>
  </w:num>
  <w:num w:numId="14">
    <w:abstractNumId w:val="26"/>
  </w:num>
  <w:num w:numId="15">
    <w:abstractNumId w:val="22"/>
  </w:num>
  <w:num w:numId="16">
    <w:abstractNumId w:val="24"/>
  </w:num>
  <w:num w:numId="17">
    <w:abstractNumId w:val="0"/>
  </w:num>
  <w:num w:numId="18">
    <w:abstractNumId w:val="25"/>
  </w:num>
  <w:num w:numId="19">
    <w:abstractNumId w:val="15"/>
  </w:num>
  <w:num w:numId="20">
    <w:abstractNumId w:val="12"/>
  </w:num>
  <w:num w:numId="21">
    <w:abstractNumId w:val="17"/>
  </w:num>
  <w:num w:numId="22">
    <w:abstractNumId w:val="30"/>
  </w:num>
  <w:num w:numId="23">
    <w:abstractNumId w:val="4"/>
  </w:num>
  <w:num w:numId="24">
    <w:abstractNumId w:val="34"/>
  </w:num>
  <w:num w:numId="25">
    <w:abstractNumId w:val="27"/>
  </w:num>
  <w:num w:numId="26">
    <w:abstractNumId w:val="20"/>
  </w:num>
  <w:num w:numId="27">
    <w:abstractNumId w:val="21"/>
  </w:num>
  <w:num w:numId="28">
    <w:abstractNumId w:val="32"/>
  </w:num>
  <w:num w:numId="29">
    <w:abstractNumId w:val="23"/>
  </w:num>
  <w:num w:numId="30">
    <w:abstractNumId w:val="19"/>
  </w:num>
  <w:num w:numId="31">
    <w:abstractNumId w:val="2"/>
    <w:lvlOverride w:ilvl="0">
      <w:startOverride w:val="1"/>
    </w:lvlOverride>
    <w:lvlOverride w:ilvl="1">
      <w:startOverride w:val="1"/>
    </w:lvlOverride>
  </w:num>
  <w:num w:numId="32">
    <w:abstractNumId w:val="2"/>
    <w:lvlOverride w:ilvl="0">
      <w:startOverride w:val="1"/>
    </w:lvlOverride>
    <w:lvlOverride w:ilvl="1">
      <w:startOverride w:val="1"/>
    </w:lvlOverride>
    <w:lvlOverride w:ilvl="2">
      <w:startOverride w:val="1"/>
    </w:lvlOverride>
  </w:num>
  <w:num w:numId="33">
    <w:abstractNumId w:val="28"/>
  </w:num>
  <w:num w:numId="34">
    <w:abstractNumId w:val="9"/>
  </w:num>
  <w:num w:numId="35">
    <w:abstractNumId w:val="18"/>
  </w:num>
  <w:num w:numId="36">
    <w:abstractNumId w:val="1"/>
  </w:num>
  <w:num w:numId="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8"/>
  <w:proofState w:spelling="clean" w:grammar="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53B9"/>
    <w:rsid w:val="00003CB3"/>
    <w:rsid w:val="000106BE"/>
    <w:rsid w:val="000123DB"/>
    <w:rsid w:val="00032D31"/>
    <w:rsid w:val="002053B9"/>
    <w:rsid w:val="0022235E"/>
    <w:rsid w:val="002612AD"/>
    <w:rsid w:val="002D481E"/>
    <w:rsid w:val="00342904"/>
    <w:rsid w:val="00396979"/>
    <w:rsid w:val="003B22E0"/>
    <w:rsid w:val="003C4893"/>
    <w:rsid w:val="004133B6"/>
    <w:rsid w:val="004C67DD"/>
    <w:rsid w:val="00533D44"/>
    <w:rsid w:val="005666C6"/>
    <w:rsid w:val="005A1E4A"/>
    <w:rsid w:val="00645C8D"/>
    <w:rsid w:val="006B5FA1"/>
    <w:rsid w:val="006B783B"/>
    <w:rsid w:val="006C4289"/>
    <w:rsid w:val="007D7ED4"/>
    <w:rsid w:val="0082588C"/>
    <w:rsid w:val="0097126F"/>
    <w:rsid w:val="00AB1CB3"/>
    <w:rsid w:val="00C168D9"/>
    <w:rsid w:val="00C51315"/>
    <w:rsid w:val="00C70510"/>
    <w:rsid w:val="00CE1AE0"/>
    <w:rsid w:val="00D2655B"/>
    <w:rsid w:val="00DD0D19"/>
    <w:rsid w:val="00DD4399"/>
    <w:rsid w:val="00DF5F48"/>
    <w:rsid w:val="00E267CF"/>
    <w:rsid w:val="00E5532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215E5"/>
  <w15:docId w15:val="{810A3330-5E01-4A07-A421-635A2A646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SimSun" w:hAnsi="Liberation Serif" w:cs="Shofar"/>
        <w:kern w:val="2"/>
        <w:sz w:val="24"/>
        <w:szCs w:val="24"/>
        <w:lang w:val="en-US" w:eastAsia="zh-CN" w:bidi="he-IL"/>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rPr>
      <w:rFonts w:cs="Times New Roman"/>
    </w:rPr>
  </w:style>
  <w:style w:type="paragraph" w:styleId="Heading1">
    <w:name w:val="heading 1"/>
    <w:basedOn w:val="Heading"/>
    <w:next w:val="BodyText"/>
    <w:qFormat/>
    <w:pPr>
      <w:numPr>
        <w:numId w:val="3"/>
      </w:numPr>
      <w:spacing w:before="0" w:after="0"/>
      <w:jc w:val="center"/>
      <w:outlineLvl w:val="0"/>
    </w:pPr>
    <w:rPr>
      <w:rFonts w:cs="Times New Roman"/>
      <w:b/>
      <w:bCs/>
      <w:sz w:val="36"/>
      <w:szCs w:val="24"/>
    </w:rPr>
  </w:style>
  <w:style w:type="paragraph" w:styleId="Heading2">
    <w:name w:val="heading 2"/>
    <w:basedOn w:val="Heading"/>
    <w:next w:val="BodyText"/>
    <w:qFormat/>
    <w:rsid w:val="00F42F22"/>
    <w:pPr>
      <w:numPr>
        <w:ilvl w:val="1"/>
        <w:numId w:val="2"/>
      </w:numPr>
      <w:spacing w:before="0" w:after="0"/>
      <w:outlineLvl w:val="1"/>
    </w:pPr>
    <w:rPr>
      <w:rFonts w:ascii="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customStyle="1" w:styleId="FootnoteCharacters">
    <w:name w:val="Footnote Characters"/>
    <w:basedOn w:val="DefaultParagraphFont"/>
    <w:uiPriority w:val="99"/>
    <w:unhideWhenUsed/>
    <w:qFormat/>
    <w:rsid w:val="005666C6"/>
    <w:rPr>
      <w:rFonts w:cs="Rashi_old"/>
      <w:bCs w:val="0"/>
      <w:iCs w:val="0"/>
      <w:caps w:val="0"/>
      <w:smallCaps w:val="0"/>
      <w:strike w:val="0"/>
      <w:dstrike w:val="0"/>
      <w:vanish w:val="0"/>
      <w:szCs w:val="20"/>
      <w:vertAlign w:val="baseline"/>
    </w:rPr>
  </w:style>
  <w:style w:type="character" w:customStyle="1" w:styleId="FootnoteReference1">
    <w:name w:val="Footnote Reference1"/>
    <w:rPr>
      <w:vertAlign w:val="superscript"/>
    </w:rPr>
  </w:style>
  <w:style w:type="character" w:customStyle="1" w:styleId="EndnoteReference1">
    <w:name w:val="Endnote Reference1"/>
    <w:rPr>
      <w:vertAlign w:val="superscript"/>
    </w:rPr>
  </w:style>
  <w:style w:type="character" w:customStyle="1" w:styleId="EndnoteCharacters">
    <w:name w:val="Endnote Characters"/>
    <w:qFormat/>
  </w:style>
  <w:style w:type="character" w:customStyle="1" w:styleId="Bullets">
    <w:name w:val="Bullets"/>
    <w:qFormat/>
    <w:rPr>
      <w:rFonts w:ascii="OpenSymbol" w:eastAsia="OpenSymbol" w:hAnsi="OpenSymbol" w:cs="OpenSymbol"/>
    </w:rPr>
  </w:style>
  <w:style w:type="character" w:styleId="Hyperlink">
    <w:name w:val="Hyperlink"/>
    <w:uiPriority w:val="99"/>
    <w:rPr>
      <w:color w:val="000080"/>
      <w:u w:val="single"/>
    </w:rPr>
  </w:style>
  <w:style w:type="character" w:customStyle="1" w:styleId="IndexLink">
    <w:name w:val="Index Link"/>
    <w:qFormat/>
  </w:style>
  <w:style w:type="character" w:customStyle="1" w:styleId="HeaderChar">
    <w:name w:val="Header Char"/>
    <w:basedOn w:val="DefaultParagraphFont"/>
    <w:link w:val="Header"/>
    <w:uiPriority w:val="99"/>
    <w:qFormat/>
    <w:rsid w:val="00A17FC6"/>
    <w:rPr>
      <w:rFonts w:cs="Times New Roman"/>
    </w:rPr>
  </w:style>
  <w:style w:type="character" w:customStyle="1" w:styleId="FooterChar">
    <w:name w:val="Footer Char"/>
    <w:basedOn w:val="DefaultParagraphFont"/>
    <w:link w:val="Footer"/>
    <w:uiPriority w:val="99"/>
    <w:qFormat/>
    <w:rsid w:val="00A17FC6"/>
    <w:rPr>
      <w:rFonts w:cs="Times New Roman"/>
    </w:rPr>
  </w:style>
  <w:style w:type="character" w:customStyle="1" w:styleId="FootnoteTextChar">
    <w:name w:val="Footnote Text Char"/>
    <w:basedOn w:val="DefaultParagraphFont"/>
    <w:link w:val="FootnoteText"/>
    <w:qFormat/>
    <w:rsid w:val="000C580B"/>
    <w:rPr>
      <w:rFonts w:cs="Mekorot-Rashi"/>
      <w:sz w:val="20"/>
      <w:szCs w:val="20"/>
    </w:rPr>
  </w:style>
  <w:style w:type="paragraph" w:customStyle="1" w:styleId="Heading">
    <w:name w:val="Heading"/>
    <w:basedOn w:val="Normal"/>
    <w:next w:val="BodyText"/>
    <w:qFormat/>
    <w:pPr>
      <w:keepNext/>
      <w:spacing w:before="240" w:after="120"/>
    </w:pPr>
    <w:rPr>
      <w:rFonts w:ascii="Liberation Sans" w:eastAsia="Microsoft YaHei" w:hAnsi="Liberation Sans" w:cs="Shofar"/>
      <w:sz w:val="28"/>
      <w:szCs w:val="28"/>
    </w:rPr>
  </w:style>
  <w:style w:type="paragraph" w:styleId="BodyText">
    <w:name w:val="Body Text"/>
    <w:basedOn w:val="Normal"/>
    <w:rsid w:val="00AE3C15"/>
  </w:style>
  <w:style w:type="paragraph" w:styleId="List">
    <w:name w:val="List"/>
    <w:basedOn w:val="BodyText"/>
    <w:rPr>
      <w:rFonts w:cs="Shofar"/>
    </w:rPr>
  </w:style>
  <w:style w:type="paragraph" w:styleId="Caption">
    <w:name w:val="caption"/>
    <w:basedOn w:val="Normal"/>
    <w:qFormat/>
    <w:pPr>
      <w:suppressLineNumbers/>
      <w:spacing w:before="120" w:after="120"/>
    </w:pPr>
    <w:rPr>
      <w:rFonts w:cs="Shofar"/>
      <w:i/>
      <w:iCs/>
    </w:rPr>
  </w:style>
  <w:style w:type="paragraph" w:customStyle="1" w:styleId="Index">
    <w:name w:val="Index"/>
    <w:basedOn w:val="Normal"/>
    <w:qFormat/>
    <w:pPr>
      <w:suppressLineNumbers/>
    </w:pPr>
    <w:rPr>
      <w:rFonts w:cs="Shofar"/>
    </w:rPr>
  </w:style>
  <w:style w:type="paragraph" w:styleId="FootnoteText">
    <w:name w:val="footnote text"/>
    <w:basedOn w:val="Normal"/>
    <w:link w:val="FootnoteTextChar"/>
    <w:pPr>
      <w:suppressLineNumbers/>
      <w:ind w:left="340" w:hanging="340"/>
    </w:pPr>
    <w:rPr>
      <w:rFonts w:cs="Mekorot-Rashi"/>
      <w:sz w:val="20"/>
      <w:szCs w:val="20"/>
    </w:rPr>
  </w:style>
  <w:style w:type="paragraph" w:styleId="IndexHeading">
    <w:name w:val="index heading"/>
    <w:basedOn w:val="Heading"/>
  </w:style>
  <w:style w:type="paragraph" w:styleId="TOCHeading">
    <w:name w:val="TOC Heading"/>
    <w:basedOn w:val="IndexHeading"/>
    <w:uiPriority w:val="39"/>
    <w:qFormat/>
  </w:style>
  <w:style w:type="paragraph" w:styleId="TOC1">
    <w:name w:val="toc 1"/>
    <w:basedOn w:val="Index"/>
    <w:uiPriority w:val="39"/>
    <w:pPr>
      <w:tabs>
        <w:tab w:val="right" w:leader="dot" w:pos="9972"/>
      </w:tabs>
    </w:pPr>
  </w:style>
  <w:style w:type="paragraph" w:styleId="TOC2">
    <w:name w:val="toc 2"/>
    <w:basedOn w:val="Index"/>
    <w:uiPriority w:val="39"/>
    <w:pPr>
      <w:tabs>
        <w:tab w:val="right" w:leader="dot" w:pos="9689"/>
      </w:tabs>
      <w:ind w:left="283"/>
    </w:pPr>
  </w:style>
  <w:style w:type="paragraph" w:customStyle="1" w:styleId="HeaderandFooter">
    <w:name w:val="Header and Footer"/>
    <w:basedOn w:val="Normal"/>
    <w:qFormat/>
  </w:style>
  <w:style w:type="paragraph" w:styleId="Header">
    <w:name w:val="header"/>
    <w:basedOn w:val="Normal"/>
    <w:link w:val="HeaderChar"/>
    <w:uiPriority w:val="99"/>
    <w:unhideWhenUsed/>
    <w:rsid w:val="00A17FC6"/>
    <w:pPr>
      <w:tabs>
        <w:tab w:val="center" w:pos="4320"/>
        <w:tab w:val="right" w:pos="8640"/>
      </w:tabs>
    </w:pPr>
  </w:style>
  <w:style w:type="paragraph" w:styleId="Footer">
    <w:name w:val="footer"/>
    <w:basedOn w:val="Normal"/>
    <w:link w:val="FooterChar"/>
    <w:uiPriority w:val="99"/>
    <w:unhideWhenUsed/>
    <w:rsid w:val="00A17FC6"/>
    <w:pPr>
      <w:tabs>
        <w:tab w:val="center" w:pos="4320"/>
        <w:tab w:val="right" w:pos="8640"/>
      </w:tabs>
    </w:pPr>
  </w:style>
  <w:style w:type="paragraph" w:styleId="ListParagraph">
    <w:name w:val="List Paragraph"/>
    <w:basedOn w:val="Normal"/>
    <w:uiPriority w:val="34"/>
    <w:qFormat/>
    <w:rsid w:val="004E271E"/>
    <w:pPr>
      <w:ind w:left="720"/>
      <w:contextualSpacing/>
    </w:pPr>
  </w:style>
  <w:style w:type="character" w:styleId="FootnoteReference">
    <w:name w:val="footnote reference"/>
    <w:basedOn w:val="DefaultParagraphFont"/>
    <w:uiPriority w:val="99"/>
    <w:semiHidden/>
    <w:unhideWhenUsed/>
    <w:rsid w:val="003B22E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71923-6E5D-4F7F-8FE2-D3D188E1C6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2253</TotalTime>
  <Pages>19</Pages>
  <Words>6013</Words>
  <Characters>34279</Characters>
  <Application>Microsoft Office Word</Application>
  <DocSecurity>0</DocSecurity>
  <Lines>285</Lines>
  <Paragraphs>80</Paragraphs>
  <ScaleCrop>false</ScaleCrop>
  <Company/>
  <LinksUpToDate>false</LinksUpToDate>
  <CharactersWithSpaces>40212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שי הכהן</cp:lastModifiedBy>
  <cp:revision>420</cp:revision>
  <dcterms:created xsi:type="dcterms:W3CDTF">2023-05-04T15:51:00Z</dcterms:created>
  <dcterms:modified xsi:type="dcterms:W3CDTF">2023-06-08T23:53:00Z</dcterms:modified>
  <dc:language>en-US</dc:language>
</cp:coreProperties>
</file>