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89F" w:rsidRDefault="00833438">
      <w:pPr>
        <w:pStyle w:val="Heading1"/>
        <w:rPr>
          <w:rFonts w:asciiTheme="majorBidi" w:hAnsiTheme="majorBidi" w:cstheme="majorBidi"/>
          <w:rtl/>
        </w:rPr>
      </w:pPr>
      <w:r w:rsidRPr="004E4B82">
        <w:rPr>
          <w:rFonts w:asciiTheme="majorBidi" w:hAnsiTheme="majorBidi" w:cstheme="majorBidi"/>
          <w:rtl/>
        </w:rPr>
        <w:t>תשובת רשב"א</w:t>
      </w:r>
    </w:p>
    <w:p w:rsidR="00A709AC" w:rsidRPr="00A709AC" w:rsidRDefault="00A709AC" w:rsidP="00A709AC">
      <w:pPr>
        <w:pStyle w:val="Heading2"/>
        <w:rPr>
          <w:color w:val="auto"/>
        </w:rPr>
      </w:pPr>
      <w:r w:rsidRPr="00A709AC">
        <w:rPr>
          <w:rFonts w:hint="cs"/>
          <w:color w:val="auto"/>
          <w:rtl/>
        </w:rPr>
        <w:t>תשובת רשב"א</w:t>
      </w:r>
    </w:p>
    <w:p w:rsidR="0018789F" w:rsidRPr="004E4B82" w:rsidRDefault="00833438">
      <w:pPr>
        <w:pStyle w:val="BodyText"/>
        <w:rPr>
          <w:rFonts w:asciiTheme="majorBidi" w:hAnsiTheme="majorBidi" w:cstheme="majorBidi"/>
        </w:rPr>
      </w:pPr>
      <w:r w:rsidRPr="004E4B82">
        <w:rPr>
          <w:rFonts w:asciiTheme="majorBidi" w:hAnsiTheme="majorBidi" w:cstheme="majorBidi"/>
          <w:rtl/>
        </w:rPr>
        <w:t>ר"א אומר שאם נשא אדם אשה וגרשה בחוץ, ושוב נשא אחר אותה, אחר ג’ או נ’ של שני, מותרת האשה לנתמעט. מקשה רשב"א היכן מצאנו שזה אוסר וזה מתיר.</w:t>
      </w:r>
    </w:p>
    <w:p w:rsidR="0018789F" w:rsidRPr="004E4B82" w:rsidRDefault="00833438">
      <w:pPr>
        <w:pStyle w:val="BodyText"/>
        <w:rPr>
          <w:rFonts w:asciiTheme="majorBidi" w:hAnsiTheme="majorBidi" w:cstheme="majorBidi"/>
        </w:rPr>
      </w:pPr>
      <w:r w:rsidRPr="004E4B82">
        <w:rPr>
          <w:rFonts w:asciiTheme="majorBidi" w:hAnsiTheme="majorBidi" w:cstheme="majorBidi"/>
          <w:rtl/>
        </w:rPr>
        <w:t>יש לדון למה הדין כן, שלכאורה, עדיין תהיה אסורה למי שגירושין ראשונה מיעט (נקרא אותו ה"נתמעט"), שהרי עדיין נשואים של ראשון אוסר. יש לומר שני צדדים:</w:t>
      </w:r>
    </w:p>
    <w:p w:rsidR="0018789F" w:rsidRPr="004E4B82" w:rsidRDefault="00833438">
      <w:pPr>
        <w:numPr>
          <w:ilvl w:val="0"/>
          <w:numId w:val="2"/>
        </w:numPr>
        <w:rPr>
          <w:rFonts w:asciiTheme="majorBidi" w:hAnsiTheme="majorBidi" w:cstheme="majorBidi"/>
        </w:rPr>
      </w:pPr>
      <w:r w:rsidRPr="004E4B82">
        <w:rPr>
          <w:rFonts w:asciiTheme="majorBidi" w:hAnsiTheme="majorBidi" w:cstheme="majorBidi"/>
          <w:rtl/>
        </w:rPr>
        <w:t>נשא אחר אותה.</w:t>
      </w:r>
    </w:p>
    <w:p w:rsidR="00DA0DF9" w:rsidRPr="004E4B82" w:rsidRDefault="00DA0DF9">
      <w:pPr>
        <w:numPr>
          <w:ilvl w:val="1"/>
          <w:numId w:val="2"/>
        </w:numPr>
        <w:rPr>
          <w:rFonts w:asciiTheme="majorBidi" w:hAnsiTheme="majorBidi" w:cstheme="majorBidi"/>
        </w:rPr>
      </w:pPr>
      <w:r w:rsidRPr="004E4B82">
        <w:rPr>
          <w:rFonts w:asciiTheme="majorBidi" w:hAnsiTheme="majorBidi" w:cstheme="majorBidi"/>
          <w:rtl/>
        </w:rPr>
        <w:t>נישואים עצמם עושים שמותרת היא לנתמעט:</w:t>
      </w:r>
    </w:p>
    <w:p w:rsidR="00571DC6" w:rsidRPr="004E4B82" w:rsidRDefault="00833438" w:rsidP="00571DC6">
      <w:pPr>
        <w:numPr>
          <w:ilvl w:val="2"/>
          <w:numId w:val="2"/>
        </w:numPr>
        <w:rPr>
          <w:rFonts w:asciiTheme="majorBidi" w:hAnsiTheme="majorBidi" w:cstheme="majorBidi"/>
        </w:rPr>
      </w:pPr>
      <w:r w:rsidRPr="004E4B82">
        <w:rPr>
          <w:rFonts w:asciiTheme="majorBidi" w:hAnsiTheme="majorBidi" w:cstheme="majorBidi"/>
          <w:rtl/>
        </w:rPr>
        <w:t>אולי יחסה לבעל שני עושה שאינה מיוחסת עוד לבעל ראשון (שהרי, אי אפשר להיות נשוי לאשת איש). אז, ממילא נדחה בעלות של בעל ראשון.</w:t>
      </w:r>
      <w:r w:rsidRPr="004E4B82">
        <w:rPr>
          <w:rFonts w:asciiTheme="majorBidi" w:hAnsiTheme="majorBidi" w:cstheme="majorBidi"/>
          <w:rtl/>
        </w:rPr>
        <w:footnoteReference w:id="1"/>
      </w:r>
      <w:r w:rsidR="00571DC6" w:rsidRPr="004E4B82">
        <w:rPr>
          <w:rFonts w:asciiTheme="majorBidi" w:hAnsiTheme="majorBidi" w:cstheme="majorBidi"/>
          <w:rtl/>
        </w:rPr>
        <w:t xml:space="preserve"> יש לדון למה:</w:t>
      </w:r>
    </w:p>
    <w:p w:rsidR="00571DC6" w:rsidRPr="004E4B82" w:rsidRDefault="00571DC6" w:rsidP="00571DC6">
      <w:pPr>
        <w:numPr>
          <w:ilvl w:val="3"/>
          <w:numId w:val="2"/>
        </w:numPr>
        <w:rPr>
          <w:rFonts w:asciiTheme="majorBidi" w:hAnsiTheme="majorBidi" w:cstheme="majorBidi"/>
        </w:rPr>
      </w:pPr>
      <w:r w:rsidRPr="004E4B82">
        <w:rPr>
          <w:rFonts w:asciiTheme="majorBidi" w:hAnsiTheme="majorBidi" w:cstheme="majorBidi"/>
          <w:rtl/>
        </w:rPr>
        <w:t>אולי הוא לאותו סיבה של כל אשת איש (עיין במקום אחר (תוד"ה ועמדה) שדיננו בו).</w:t>
      </w:r>
    </w:p>
    <w:p w:rsidR="00571DC6" w:rsidRPr="004E4B82" w:rsidRDefault="00571DC6" w:rsidP="00571DC6">
      <w:pPr>
        <w:numPr>
          <w:ilvl w:val="3"/>
          <w:numId w:val="2"/>
        </w:numPr>
        <w:rPr>
          <w:rFonts w:asciiTheme="majorBidi" w:hAnsiTheme="majorBidi" w:cstheme="majorBidi"/>
        </w:rPr>
      </w:pPr>
      <w:r w:rsidRPr="004E4B82">
        <w:rPr>
          <w:rFonts w:asciiTheme="majorBidi" w:hAnsiTheme="majorBidi" w:cstheme="majorBidi"/>
          <w:rtl/>
        </w:rPr>
        <w:t>אולי לא מניחים שעדיין רוצה בקידושין שלו כיון שלא יכול לבעול אותה (כיון שהיא נשואה לאחר). ויש לדון, שעדיין יכול לאסור אותה על מקצת בני אדם, וגם יוכל לבעול אותה, לכאורה, אם יגרש אותה.</w:t>
      </w:r>
    </w:p>
    <w:p w:rsidR="00571DC6" w:rsidRPr="004E4B82" w:rsidRDefault="00571DC6" w:rsidP="00571DC6">
      <w:pPr>
        <w:ind w:left="1800"/>
        <w:rPr>
          <w:rFonts w:asciiTheme="majorBidi" w:hAnsiTheme="majorBidi" w:cstheme="majorBidi"/>
        </w:rPr>
      </w:pPr>
      <w:r w:rsidRPr="004E4B82">
        <w:rPr>
          <w:rFonts w:asciiTheme="majorBidi" w:hAnsiTheme="majorBidi" w:cstheme="majorBidi"/>
          <w:rtl/>
        </w:rPr>
        <w:t>יש להעיר שצד זה מניח שמותר לו לבעול אותה אם לא נשואה לאחר. יש לדון אם כן הוא נכון.</w:t>
      </w:r>
    </w:p>
    <w:p w:rsidR="00DA0DF9" w:rsidRPr="004E4B82" w:rsidRDefault="00DA0DF9" w:rsidP="00DA0DF9">
      <w:pPr>
        <w:numPr>
          <w:ilvl w:val="2"/>
          <w:numId w:val="2"/>
        </w:numPr>
        <w:rPr>
          <w:rFonts w:asciiTheme="majorBidi" w:hAnsiTheme="majorBidi" w:cstheme="majorBidi"/>
        </w:rPr>
      </w:pPr>
      <w:r w:rsidRPr="004E4B82">
        <w:rPr>
          <w:rFonts w:asciiTheme="majorBidi" w:hAnsiTheme="majorBidi" w:cstheme="majorBidi"/>
          <w:rtl/>
        </w:rPr>
        <w:t>אולי יחסה לבעל שני עושה שאין יחסה לבעל ראשון אוסר אותה. יש לדון למה:</w:t>
      </w:r>
    </w:p>
    <w:p w:rsidR="00DA0DF9" w:rsidRPr="004E4B82" w:rsidRDefault="00F5619E" w:rsidP="00DA0DF9">
      <w:pPr>
        <w:numPr>
          <w:ilvl w:val="3"/>
          <w:numId w:val="2"/>
        </w:numPr>
        <w:rPr>
          <w:rFonts w:asciiTheme="majorBidi" w:hAnsiTheme="majorBidi" w:cstheme="majorBidi"/>
        </w:rPr>
      </w:pPr>
      <w:r w:rsidRPr="004E4B82">
        <w:rPr>
          <w:rFonts w:asciiTheme="majorBidi" w:hAnsiTheme="majorBidi" w:cstheme="majorBidi"/>
          <w:rtl/>
        </w:rPr>
        <w:t>אולי עושה שאין כל כך סיבה לאסור. אולי נישואים של שני משנה נישואים של ראשון. בזה, יש לומר שני צדדים:</w:t>
      </w:r>
    </w:p>
    <w:p w:rsidR="00F5619E" w:rsidRPr="004E4B82" w:rsidRDefault="00F5619E" w:rsidP="00F5619E">
      <w:pPr>
        <w:numPr>
          <w:ilvl w:val="4"/>
          <w:numId w:val="2"/>
        </w:numPr>
        <w:rPr>
          <w:rFonts w:asciiTheme="majorBidi" w:hAnsiTheme="majorBidi" w:cstheme="majorBidi"/>
        </w:rPr>
      </w:pPr>
      <w:r w:rsidRPr="004E4B82">
        <w:rPr>
          <w:rFonts w:asciiTheme="majorBidi" w:hAnsiTheme="majorBidi" w:cstheme="majorBidi"/>
          <w:rtl/>
        </w:rPr>
        <w:t>גורם שינוי באותם נישואים.</w:t>
      </w:r>
    </w:p>
    <w:p w:rsidR="00F5619E" w:rsidRPr="004E4B82" w:rsidRDefault="00F5619E" w:rsidP="00F5619E">
      <w:pPr>
        <w:numPr>
          <w:ilvl w:val="4"/>
          <w:numId w:val="2"/>
        </w:numPr>
        <w:rPr>
          <w:rFonts w:asciiTheme="majorBidi" w:hAnsiTheme="majorBidi" w:cstheme="majorBidi"/>
        </w:rPr>
      </w:pPr>
      <w:r w:rsidRPr="004E4B82">
        <w:rPr>
          <w:rFonts w:asciiTheme="majorBidi" w:hAnsiTheme="majorBidi" w:cstheme="majorBidi"/>
          <w:rtl/>
        </w:rPr>
        <w:t>הוא עצמו- מה שיש עוד נישואים- הוא השינוי בנישואים של ראשון.</w:t>
      </w:r>
    </w:p>
    <w:p w:rsidR="00F5619E" w:rsidRPr="004E4B82" w:rsidRDefault="00F5619E" w:rsidP="00F5619E">
      <w:pPr>
        <w:ind w:left="1800"/>
        <w:rPr>
          <w:rFonts w:asciiTheme="majorBidi" w:hAnsiTheme="majorBidi" w:cstheme="majorBidi"/>
          <w:rtl/>
        </w:rPr>
      </w:pPr>
      <w:r w:rsidRPr="004E4B82">
        <w:rPr>
          <w:rFonts w:asciiTheme="majorBidi" w:hAnsiTheme="majorBidi" w:cstheme="majorBidi"/>
          <w:rtl/>
        </w:rPr>
        <w:t>מחמת אותו שינוי, לא יכול לאסור עוד על בני אדם מחמת אותו בעלות.</w:t>
      </w:r>
    </w:p>
    <w:p w:rsidR="00F5619E" w:rsidRPr="004E4B82" w:rsidRDefault="00F5619E" w:rsidP="00F5619E">
      <w:pPr>
        <w:pStyle w:val="ListParagraph"/>
        <w:numPr>
          <w:ilvl w:val="3"/>
          <w:numId w:val="2"/>
        </w:numPr>
        <w:rPr>
          <w:rFonts w:asciiTheme="majorBidi" w:hAnsiTheme="majorBidi" w:cstheme="majorBidi"/>
        </w:rPr>
      </w:pPr>
      <w:r w:rsidRPr="004E4B82">
        <w:rPr>
          <w:rFonts w:asciiTheme="majorBidi" w:hAnsiTheme="majorBidi" w:cstheme="majorBidi"/>
          <w:rtl/>
        </w:rPr>
        <w:t>אולי כוח בעל ראשון לאסור אותה נדחה. לכאו', זה אומר שבעל שני יותר מיוחס לה מבעל ראשון, ולכן זכות שלו שהוא יהיה אוסר היחידי דוחה יסוד של בעל ראשון לאסור.</w:t>
      </w:r>
    </w:p>
    <w:p w:rsidR="0018789F" w:rsidRPr="004E4B82" w:rsidRDefault="00833438">
      <w:pPr>
        <w:numPr>
          <w:ilvl w:val="1"/>
          <w:numId w:val="2"/>
        </w:numPr>
        <w:rPr>
          <w:rFonts w:asciiTheme="majorBidi" w:hAnsiTheme="majorBidi" w:cstheme="majorBidi"/>
        </w:rPr>
      </w:pPr>
      <w:r w:rsidRPr="004E4B82">
        <w:rPr>
          <w:rFonts w:asciiTheme="majorBidi" w:hAnsiTheme="majorBidi" w:cstheme="majorBidi"/>
          <w:rtl/>
        </w:rPr>
        <w:lastRenderedPageBreak/>
        <w:t>אולי מניחים ש"חוץ" שאמר הוא רק כדי שלא תשא אותו אחר שתשא אותה. (הוא מין בזיון לו שאחר ישא אשתו, כמו שמצאנו גבי מלך. אולי יש יותר בזיון אם הוא מיד אחריו.)</w:t>
      </w:r>
    </w:p>
    <w:p w:rsidR="0018789F" w:rsidRPr="004E4B82" w:rsidRDefault="00833438">
      <w:pPr>
        <w:numPr>
          <w:ilvl w:val="0"/>
          <w:numId w:val="2"/>
        </w:numPr>
        <w:rPr>
          <w:rFonts w:asciiTheme="majorBidi" w:hAnsiTheme="majorBidi" w:cstheme="majorBidi"/>
        </w:rPr>
      </w:pPr>
      <w:r w:rsidRPr="004E4B82">
        <w:rPr>
          <w:rFonts w:asciiTheme="majorBidi" w:hAnsiTheme="majorBidi" w:cstheme="majorBidi"/>
          <w:rtl/>
        </w:rPr>
        <w:t>גירש (או התיר אותה על ידי מיתה) אחר אותה.</w:t>
      </w:r>
    </w:p>
    <w:p w:rsidR="00267536" w:rsidRPr="004E4B82" w:rsidRDefault="00267536" w:rsidP="00267536">
      <w:pPr>
        <w:numPr>
          <w:ilvl w:val="1"/>
          <w:numId w:val="2"/>
        </w:numPr>
        <w:rPr>
          <w:rFonts w:asciiTheme="majorBidi" w:hAnsiTheme="majorBidi" w:cstheme="majorBidi"/>
        </w:rPr>
      </w:pPr>
      <w:r w:rsidRPr="004E4B82">
        <w:rPr>
          <w:rFonts w:asciiTheme="majorBidi" w:hAnsiTheme="majorBidi" w:cstheme="majorBidi"/>
          <w:rtl/>
        </w:rPr>
        <w:t>אולי גט של שני עצמו מתיר אותה לישא:</w:t>
      </w:r>
    </w:p>
    <w:p w:rsidR="00267536" w:rsidRPr="004E4B82" w:rsidRDefault="00267536" w:rsidP="00267536">
      <w:pPr>
        <w:numPr>
          <w:ilvl w:val="2"/>
          <w:numId w:val="2"/>
        </w:numPr>
        <w:rPr>
          <w:rFonts w:asciiTheme="majorBidi" w:hAnsiTheme="majorBidi" w:cstheme="majorBidi"/>
        </w:rPr>
      </w:pPr>
      <w:r w:rsidRPr="004E4B82">
        <w:rPr>
          <w:rFonts w:asciiTheme="majorBidi" w:hAnsiTheme="majorBidi" w:cstheme="majorBidi"/>
          <w:rtl/>
        </w:rPr>
        <w:t>אולי גט זה מתיר אותה מראשון כמו שמתיר אותה משני. יש לומר שני צדדים בזה:</w:t>
      </w:r>
    </w:p>
    <w:p w:rsidR="00267536" w:rsidRPr="004E4B82" w:rsidRDefault="00833438" w:rsidP="00267536">
      <w:pPr>
        <w:numPr>
          <w:ilvl w:val="3"/>
          <w:numId w:val="2"/>
        </w:numPr>
        <w:rPr>
          <w:rFonts w:asciiTheme="majorBidi" w:hAnsiTheme="majorBidi" w:cstheme="majorBidi"/>
        </w:rPr>
      </w:pPr>
      <w:r w:rsidRPr="004E4B82">
        <w:rPr>
          <w:rFonts w:asciiTheme="majorBidi" w:hAnsiTheme="majorBidi" w:cstheme="majorBidi"/>
          <w:rtl/>
        </w:rPr>
        <w:t>אולי גט הוא סיבה להיתר איסור אשת איש. לא עושה דבר להכחיש איסור אשת איש, אלא עושה סיבה שאשה זה תהיה מותרת (שטוב הוא אם דינה הוא שמותרת). אז, ממילא יכול להתיר כל אשת איש.</w:t>
      </w:r>
      <w:r w:rsidRPr="004E4B82">
        <w:rPr>
          <w:rStyle w:val="FootnoteReference"/>
          <w:rFonts w:asciiTheme="majorBidi" w:hAnsiTheme="majorBidi" w:cstheme="majorBidi"/>
          <w:rtl/>
        </w:rPr>
        <w:footnoteReference w:id="2"/>
      </w:r>
    </w:p>
    <w:p w:rsidR="0018789F" w:rsidRPr="004E4B82" w:rsidRDefault="00833438" w:rsidP="00267536">
      <w:pPr>
        <w:numPr>
          <w:ilvl w:val="3"/>
          <w:numId w:val="2"/>
        </w:numPr>
        <w:rPr>
          <w:rFonts w:asciiTheme="majorBidi" w:hAnsiTheme="majorBidi" w:cstheme="majorBidi"/>
        </w:rPr>
      </w:pPr>
      <w:r w:rsidRPr="004E4B82">
        <w:rPr>
          <w:rFonts w:asciiTheme="majorBidi" w:hAnsiTheme="majorBidi" w:cstheme="majorBidi"/>
          <w:rtl/>
        </w:rPr>
        <w:t>אולי גירושין של זה פועל על כל אישות שלה. זה מחודש, שלכאורה, לא יכול גט של זה לפעול על אישות של זה. צריך לומר שמה שצריך אינו בעל האישות, אלא בעל האשה, שכיון שהוא בעל שלה, יכול להתיר את כל אישות שלה.</w:t>
      </w:r>
      <w:r w:rsidR="00267536" w:rsidRPr="004E4B82">
        <w:rPr>
          <w:rStyle w:val="FootnoteReference"/>
          <w:rFonts w:asciiTheme="majorBidi" w:hAnsiTheme="majorBidi" w:cstheme="majorBidi"/>
          <w:rtl/>
        </w:rPr>
        <w:footnoteReference w:id="3"/>
      </w:r>
      <w:r w:rsidR="00CF65AF" w:rsidRPr="004E4B82">
        <w:rPr>
          <w:rStyle w:val="FootnoteReference"/>
          <w:rFonts w:asciiTheme="majorBidi" w:hAnsiTheme="majorBidi" w:cstheme="majorBidi"/>
          <w:rtl/>
        </w:rPr>
        <w:footnoteReference w:id="4"/>
      </w:r>
    </w:p>
    <w:p w:rsidR="00267536" w:rsidRPr="004E4B82" w:rsidRDefault="00267536" w:rsidP="00267536">
      <w:pPr>
        <w:numPr>
          <w:ilvl w:val="2"/>
          <w:numId w:val="2"/>
        </w:numPr>
        <w:rPr>
          <w:rFonts w:asciiTheme="majorBidi" w:hAnsiTheme="majorBidi" w:cstheme="majorBidi"/>
        </w:rPr>
      </w:pPr>
      <w:r w:rsidRPr="004E4B82">
        <w:rPr>
          <w:rFonts w:asciiTheme="majorBidi" w:hAnsiTheme="majorBidi" w:cstheme="majorBidi"/>
          <w:rtl/>
        </w:rPr>
        <w:t>אולי גט עושה שאין נישואים של ראשון סיבה לאסור אותה.</w:t>
      </w:r>
      <w:r w:rsidR="00CF65AF" w:rsidRPr="004E4B82">
        <w:rPr>
          <w:rFonts w:asciiTheme="majorBidi" w:hAnsiTheme="majorBidi" w:cstheme="majorBidi"/>
          <w:rtl/>
        </w:rPr>
        <w:t xml:space="preserve"> צריך ביאור למה יעשה כן.</w:t>
      </w:r>
    </w:p>
    <w:p w:rsidR="004E4B82" w:rsidRPr="004E4B82" w:rsidRDefault="004E4B82">
      <w:pPr>
        <w:rPr>
          <w:rFonts w:asciiTheme="majorBidi" w:hAnsiTheme="majorBidi" w:cstheme="majorBidi"/>
          <w:rtl/>
        </w:rPr>
      </w:pPr>
    </w:p>
    <w:p w:rsidR="0018789F" w:rsidRPr="004E4B82" w:rsidRDefault="00833438">
      <w:pPr>
        <w:rPr>
          <w:rFonts w:asciiTheme="majorBidi" w:hAnsiTheme="majorBidi" w:cstheme="majorBidi"/>
        </w:rPr>
      </w:pPr>
      <w:r w:rsidRPr="004E4B82">
        <w:rPr>
          <w:rFonts w:asciiTheme="majorBidi" w:hAnsiTheme="majorBidi" w:cstheme="majorBidi"/>
          <w:rtl/>
        </w:rPr>
        <w:t xml:space="preserve">אז, צריכים לדון מהו תשובת רשב"א. </w:t>
      </w:r>
    </w:p>
    <w:p w:rsidR="0018789F" w:rsidRPr="004E4B82" w:rsidRDefault="00833438">
      <w:pPr>
        <w:numPr>
          <w:ilvl w:val="0"/>
          <w:numId w:val="3"/>
        </w:numPr>
        <w:rPr>
          <w:rFonts w:asciiTheme="majorBidi" w:hAnsiTheme="majorBidi" w:cstheme="majorBidi"/>
        </w:rPr>
      </w:pPr>
      <w:r w:rsidRPr="004E4B82">
        <w:rPr>
          <w:rFonts w:asciiTheme="majorBidi" w:hAnsiTheme="majorBidi" w:cstheme="majorBidi"/>
          <w:rtl/>
        </w:rPr>
        <w:t>לצד ראשון:</w:t>
      </w:r>
    </w:p>
    <w:p w:rsidR="0018789F" w:rsidRDefault="004E4B82">
      <w:pPr>
        <w:numPr>
          <w:ilvl w:val="2"/>
          <w:numId w:val="3"/>
        </w:numPr>
        <w:rPr>
          <w:rFonts w:asciiTheme="majorBidi" w:hAnsiTheme="majorBidi" w:cstheme="majorBidi"/>
        </w:rPr>
      </w:pPr>
      <w:r>
        <w:rPr>
          <w:rFonts w:asciiTheme="majorBidi" w:hAnsiTheme="majorBidi" w:cstheme="majorBidi" w:hint="cs"/>
          <w:rtl/>
        </w:rPr>
        <w:t>לצד ראשון:</w:t>
      </w:r>
    </w:p>
    <w:p w:rsidR="004E4B82" w:rsidRDefault="004E4B82" w:rsidP="004E4B82">
      <w:pPr>
        <w:numPr>
          <w:ilvl w:val="3"/>
          <w:numId w:val="3"/>
        </w:numPr>
        <w:rPr>
          <w:rFonts w:asciiTheme="majorBidi" w:hAnsiTheme="majorBidi" w:cstheme="majorBidi"/>
        </w:rPr>
      </w:pPr>
      <w:r>
        <w:rPr>
          <w:rFonts w:asciiTheme="majorBidi" w:hAnsiTheme="majorBidi" w:cstheme="majorBidi" w:hint="cs"/>
          <w:rtl/>
        </w:rPr>
        <w:t>לצד ראשון:</w:t>
      </w:r>
    </w:p>
    <w:p w:rsidR="004E4B82" w:rsidRDefault="004E4B82" w:rsidP="004E4B82">
      <w:pPr>
        <w:numPr>
          <w:ilvl w:val="4"/>
          <w:numId w:val="3"/>
        </w:numPr>
        <w:rPr>
          <w:rFonts w:asciiTheme="majorBidi" w:hAnsiTheme="majorBidi" w:cstheme="majorBidi"/>
        </w:rPr>
      </w:pPr>
      <w:r>
        <w:rPr>
          <w:rFonts w:asciiTheme="majorBidi" w:hAnsiTheme="majorBidi" w:cstheme="majorBidi" w:hint="cs"/>
          <w:rtl/>
        </w:rPr>
        <w:t>נראה שני צדדים לצד זה:</w:t>
      </w:r>
    </w:p>
    <w:p w:rsidR="004E4B82" w:rsidRDefault="004E4B82" w:rsidP="004E4B82">
      <w:pPr>
        <w:numPr>
          <w:ilvl w:val="5"/>
          <w:numId w:val="3"/>
        </w:numPr>
        <w:rPr>
          <w:rFonts w:asciiTheme="majorBidi" w:hAnsiTheme="majorBidi" w:cstheme="majorBidi"/>
        </w:rPr>
      </w:pPr>
      <w:r>
        <w:rPr>
          <w:rFonts w:asciiTheme="majorBidi" w:hAnsiTheme="majorBidi" w:cstheme="majorBidi" w:hint="cs"/>
          <w:rtl/>
        </w:rPr>
        <w:t xml:space="preserve">אפשר שמקשה איך יכול קנין של זה להפקיע קנין של אחר. </w:t>
      </w:r>
    </w:p>
    <w:p w:rsidR="004E4B82" w:rsidRDefault="004E4B82" w:rsidP="004E4B82">
      <w:pPr>
        <w:ind w:left="2520"/>
        <w:rPr>
          <w:rFonts w:asciiTheme="majorBidi" w:hAnsiTheme="majorBidi" w:cstheme="majorBidi"/>
          <w:rtl/>
        </w:rPr>
      </w:pPr>
      <w:r>
        <w:rPr>
          <w:rFonts w:asciiTheme="majorBidi" w:hAnsiTheme="majorBidi" w:cstheme="majorBidi" w:hint="cs"/>
          <w:rtl/>
        </w:rPr>
        <w:t>ואם תאמר אם כן יקשה למה אין אדם יכול לקדש אשה אחר שהיא כבר מקודשת.</w:t>
      </w:r>
      <w:r w:rsidR="00C97B9C">
        <w:rPr>
          <w:rFonts w:asciiTheme="majorBidi" w:hAnsiTheme="majorBidi" w:cstheme="majorBidi" w:hint="cs"/>
          <w:rtl/>
        </w:rPr>
        <w:t xml:space="preserve"> ויש לומר שלא קשה לו איך לא חל ("אין האיסור הותר, אלא לא בא איסור"), אלא קשה לו איך פקע.</w:t>
      </w:r>
    </w:p>
    <w:p w:rsidR="00F251E9" w:rsidRDefault="00F251E9" w:rsidP="004E4B82">
      <w:pPr>
        <w:ind w:left="2520"/>
        <w:rPr>
          <w:rFonts w:asciiTheme="majorBidi" w:hAnsiTheme="majorBidi" w:cstheme="majorBidi"/>
          <w:rtl/>
        </w:rPr>
      </w:pPr>
      <w:r>
        <w:rPr>
          <w:rFonts w:asciiTheme="majorBidi" w:hAnsiTheme="majorBidi" w:cstheme="majorBidi" w:hint="cs"/>
          <w:rtl/>
        </w:rPr>
        <w:t>ואם תאמר אם כן יהיה קשה לו איך אדם קונה חפץ מחברו. יש לחלק בשני דרכים:</w:t>
      </w:r>
    </w:p>
    <w:p w:rsidR="00F251E9" w:rsidRDefault="00F251E9" w:rsidP="00734869">
      <w:pPr>
        <w:pStyle w:val="ListParagraph"/>
        <w:numPr>
          <w:ilvl w:val="6"/>
          <w:numId w:val="8"/>
        </w:numPr>
        <w:rPr>
          <w:rFonts w:asciiTheme="majorBidi" w:hAnsiTheme="majorBidi" w:cstheme="majorBidi"/>
        </w:rPr>
      </w:pPr>
      <w:r>
        <w:rPr>
          <w:rFonts w:asciiTheme="majorBidi" w:hAnsiTheme="majorBidi" w:cstheme="majorBidi" w:hint="cs"/>
          <w:rtl/>
        </w:rPr>
        <w:t>אולי שם יכול לקנות מפני שחברו מקנה לו, ומתיר את קנינו.</w:t>
      </w:r>
      <w:r w:rsidR="00130D5F">
        <w:rPr>
          <w:rFonts w:asciiTheme="majorBidi" w:hAnsiTheme="majorBidi" w:cstheme="majorBidi" w:hint="cs"/>
          <w:rtl/>
        </w:rPr>
        <w:t xml:space="preserve"> יש לדחות שעדיין נלמד ממי שגוזל. לכאו', אם קונה ביאוש, יש לומר שחברו מתיר לו לקנות. אם קונה בשינוי, יש לדחות שאין לחברו סיבת קנין; לא מתיר ומפקיע קנין חברו, אלא עושה שאין חפץ שחברו קונה בעולם, ועל ידי זה מחליש קנינו. כמו כן, יש לומר שקנין חברו כבר מוחלש כיון שאינו ברשותו.</w:t>
      </w:r>
    </w:p>
    <w:p w:rsidR="00130D5F" w:rsidRDefault="00130D5F" w:rsidP="00F251E9">
      <w:pPr>
        <w:pStyle w:val="ListParagraph"/>
        <w:numPr>
          <w:ilvl w:val="6"/>
          <w:numId w:val="8"/>
        </w:numPr>
        <w:rPr>
          <w:rFonts w:asciiTheme="majorBidi" w:hAnsiTheme="majorBidi" w:cstheme="majorBidi"/>
        </w:rPr>
      </w:pPr>
      <w:r>
        <w:rPr>
          <w:rFonts w:asciiTheme="majorBidi" w:hAnsiTheme="majorBidi" w:cstheme="majorBidi" w:hint="cs"/>
          <w:rtl/>
        </w:rPr>
        <w:t xml:space="preserve">אולי </w:t>
      </w:r>
      <w:r w:rsidR="00734869">
        <w:rPr>
          <w:rFonts w:asciiTheme="majorBidi" w:hAnsiTheme="majorBidi" w:cstheme="majorBidi" w:hint="cs"/>
          <w:rtl/>
        </w:rPr>
        <w:t>קנין חפץ חלוק מקנין אשה.</w:t>
      </w:r>
      <w:r w:rsidR="00656BE4">
        <w:rPr>
          <w:rFonts w:asciiTheme="majorBidi" w:hAnsiTheme="majorBidi" w:cstheme="majorBidi" w:hint="cs"/>
          <w:rtl/>
        </w:rPr>
        <w:t xml:space="preserve"> רק לא מסתבר שיכול אדם להפקיע קנין אשה של אדם. ויש לדון למה.</w:t>
      </w:r>
    </w:p>
    <w:p w:rsidR="006C3E19" w:rsidRDefault="006C3E19" w:rsidP="006C3E19">
      <w:pPr>
        <w:pStyle w:val="ListParagraph"/>
        <w:ind w:left="2520"/>
        <w:rPr>
          <w:rFonts w:asciiTheme="majorBidi" w:hAnsiTheme="majorBidi" w:cstheme="majorBidi"/>
        </w:rPr>
      </w:pPr>
      <w:r>
        <w:rPr>
          <w:rFonts w:asciiTheme="majorBidi" w:hAnsiTheme="majorBidi" w:cstheme="majorBidi" w:hint="cs"/>
          <w:rtl/>
        </w:rPr>
        <w:t>עדיין צריך ביאור איך צד זה יבאר מה שאומר גמרא למצוא מקום שזה אוסר וזה מתיר. לכאו', אין הדמיונות כל כך דומים לצד זה.</w:t>
      </w:r>
    </w:p>
    <w:p w:rsidR="006C3E19" w:rsidRDefault="006C3E19" w:rsidP="006C3E19">
      <w:pPr>
        <w:pStyle w:val="ListParagraph"/>
        <w:numPr>
          <w:ilvl w:val="5"/>
          <w:numId w:val="8"/>
        </w:numPr>
        <w:rPr>
          <w:rFonts w:asciiTheme="majorBidi" w:hAnsiTheme="majorBidi" w:cstheme="majorBidi"/>
        </w:rPr>
      </w:pPr>
      <w:r>
        <w:rPr>
          <w:rFonts w:asciiTheme="majorBidi" w:hAnsiTheme="majorBidi" w:cstheme="majorBidi" w:hint="cs"/>
          <w:rtl/>
        </w:rPr>
        <w:lastRenderedPageBreak/>
        <w:t>אפשר שמי שעושה החלות שעושה האיסור הוא "בעל החלות," לא רק במה שעשה אותו, אלא אף במה שעל ידי גרמתו אותו עשה דבר חשוב, שעשה איסור. זה יחס חשוב לו, וזה עושה שאין אחר יכול לבול אותו.</w:t>
      </w:r>
    </w:p>
    <w:p w:rsidR="00B43378" w:rsidRDefault="00C04F6B" w:rsidP="00897C9A">
      <w:pPr>
        <w:pStyle w:val="ListParagraph"/>
        <w:numPr>
          <w:ilvl w:val="5"/>
          <w:numId w:val="8"/>
        </w:numPr>
        <w:rPr>
          <w:rFonts w:asciiTheme="majorBidi" w:hAnsiTheme="majorBidi" w:cstheme="majorBidi"/>
        </w:rPr>
      </w:pPr>
      <w:r>
        <w:rPr>
          <w:rFonts w:asciiTheme="majorBidi" w:hAnsiTheme="majorBidi" w:cstheme="majorBidi" w:hint="cs"/>
          <w:rtl/>
        </w:rPr>
        <w:t>אפשר שמקשה שנראה רע אם מי שאינו סיבת האיסור עושה ההיתר. אף שלא קשה באמת איך יכול לעשות כן, לא יבינו בני אדם, ונראה רע.</w:t>
      </w:r>
      <w:r>
        <w:rPr>
          <w:rStyle w:val="FootnoteReference"/>
          <w:rFonts w:asciiTheme="majorBidi" w:hAnsiTheme="majorBidi" w:cstheme="majorBidi"/>
          <w:rtl/>
        </w:rPr>
        <w:footnoteReference w:id="5"/>
      </w:r>
    </w:p>
    <w:p w:rsidR="00105AC6" w:rsidRDefault="00CE1577" w:rsidP="00105AC6">
      <w:pPr>
        <w:pStyle w:val="ListParagraph"/>
        <w:ind w:left="2520"/>
        <w:rPr>
          <w:rFonts w:asciiTheme="majorBidi" w:hAnsiTheme="majorBidi" w:cstheme="majorBidi"/>
          <w:rtl/>
        </w:rPr>
      </w:pPr>
      <w:r>
        <w:rPr>
          <w:rFonts w:asciiTheme="majorBidi" w:hAnsiTheme="majorBidi" w:cstheme="majorBidi" w:hint="cs"/>
          <w:rtl/>
        </w:rPr>
        <w:t>יש להעיר שלפי זה, אולי מובן למה אומר "לא מצאנו זה אוסר…," ולא רק מקשה שלא יכול להיות כן. אם קושייתו הוא איך יכול, אז לשונו קצת לאו דווקא; מקשה שאינו יכול, ומבאר שאין להקשות עליו, שהרי לא נמצא שמי שאינו אוסר מתיר.</w:t>
      </w:r>
      <w:r>
        <w:rPr>
          <w:rStyle w:val="FootnoteReference"/>
          <w:rFonts w:asciiTheme="majorBidi" w:hAnsiTheme="majorBidi" w:cstheme="majorBidi"/>
          <w:rtl/>
        </w:rPr>
        <w:footnoteReference w:id="6"/>
      </w:r>
      <w:r w:rsidR="00105AC6">
        <w:rPr>
          <w:rFonts w:asciiTheme="majorBidi" w:hAnsiTheme="majorBidi" w:cstheme="majorBidi" w:hint="cs"/>
          <w:rtl/>
        </w:rPr>
        <w:t xml:space="preserve"> אבל, לצד זה, משקה שנראה רע, כיון שנראה חלוק משאר היתירים.</w:t>
      </w:r>
    </w:p>
    <w:p w:rsidR="00105AC6" w:rsidRDefault="002814DF" w:rsidP="002814DF">
      <w:pPr>
        <w:pStyle w:val="ListParagraph"/>
        <w:numPr>
          <w:ilvl w:val="4"/>
          <w:numId w:val="8"/>
        </w:numPr>
        <w:rPr>
          <w:rFonts w:asciiTheme="majorBidi" w:hAnsiTheme="majorBidi" w:cstheme="majorBidi"/>
        </w:rPr>
      </w:pPr>
      <w:r>
        <w:rPr>
          <w:rFonts w:asciiTheme="majorBidi" w:hAnsiTheme="majorBidi" w:cstheme="majorBidi" w:hint="cs"/>
          <w:rtl/>
        </w:rPr>
        <w:t>לזה, לכאו', רק יכולים לומר כצד שני שכתבנו. לא קשה איך יכול לקרות, שהרי תלוי בדעת מי שגירש אותה, והרי יודעים שלא רוצה באיסור זה, וגיטו יעשה עכשיו אותו היתר. אז, צריך לומר שרק מקשה שנראה מוזר, שנראה שמי שמתיר אינו מי שאסר.</w:t>
      </w:r>
    </w:p>
    <w:p w:rsidR="002A0E2D" w:rsidRDefault="002A0E2D" w:rsidP="002A0E2D">
      <w:pPr>
        <w:pStyle w:val="ListParagraph"/>
        <w:numPr>
          <w:ilvl w:val="3"/>
          <w:numId w:val="8"/>
        </w:numPr>
        <w:rPr>
          <w:rFonts w:asciiTheme="majorBidi" w:hAnsiTheme="majorBidi" w:cstheme="majorBidi"/>
        </w:rPr>
      </w:pPr>
      <w:r>
        <w:rPr>
          <w:rFonts w:asciiTheme="majorBidi" w:hAnsiTheme="majorBidi" w:cstheme="majorBidi" w:hint="cs"/>
          <w:rtl/>
        </w:rPr>
        <w:t>לצד שני:</w:t>
      </w:r>
    </w:p>
    <w:p w:rsidR="002A0E2D" w:rsidRDefault="002A0E2D" w:rsidP="002A0E2D">
      <w:pPr>
        <w:pStyle w:val="ListParagraph"/>
        <w:numPr>
          <w:ilvl w:val="4"/>
          <w:numId w:val="8"/>
        </w:numPr>
        <w:rPr>
          <w:rFonts w:asciiTheme="majorBidi" w:hAnsiTheme="majorBidi" w:cstheme="majorBidi"/>
        </w:rPr>
      </w:pPr>
      <w:r>
        <w:rPr>
          <w:rFonts w:asciiTheme="majorBidi" w:hAnsiTheme="majorBidi" w:cstheme="majorBidi" w:hint="cs"/>
          <w:rtl/>
        </w:rPr>
        <w:t>לצד ראשון:</w:t>
      </w:r>
    </w:p>
    <w:p w:rsidR="002A0E2D" w:rsidRDefault="00A94116" w:rsidP="002A0E2D">
      <w:pPr>
        <w:pStyle w:val="ListParagraph"/>
        <w:numPr>
          <w:ilvl w:val="5"/>
          <w:numId w:val="8"/>
        </w:numPr>
        <w:rPr>
          <w:rFonts w:asciiTheme="majorBidi" w:hAnsiTheme="majorBidi" w:cstheme="majorBidi"/>
        </w:rPr>
      </w:pPr>
      <w:r>
        <w:rPr>
          <w:rFonts w:asciiTheme="majorBidi" w:hAnsiTheme="majorBidi" w:cstheme="majorBidi" w:hint="cs"/>
          <w:rtl/>
        </w:rPr>
        <w:t>אפשר שמקשה איך יהיה כוח לנישואים של אחד לשנות נישואים של חברו באופן שישנה הדין. אם כן, זה דומה לצד ראשון שכתבנו לעיל. עליו צריכים לדון בהערה אחרונה שכ' עליו.</w:t>
      </w:r>
    </w:p>
    <w:p w:rsidR="00A312A4" w:rsidRDefault="00A312A4" w:rsidP="002A0E2D">
      <w:pPr>
        <w:pStyle w:val="ListParagraph"/>
        <w:numPr>
          <w:ilvl w:val="5"/>
          <w:numId w:val="8"/>
        </w:numPr>
        <w:rPr>
          <w:rFonts w:asciiTheme="majorBidi" w:hAnsiTheme="majorBidi" w:cstheme="majorBidi" w:hint="cs"/>
        </w:rPr>
      </w:pPr>
      <w:r>
        <w:rPr>
          <w:rFonts w:asciiTheme="majorBidi" w:hAnsiTheme="majorBidi" w:cstheme="majorBidi" w:hint="cs"/>
          <w:rtl/>
        </w:rPr>
        <w:t>אפשר לומר צכד שני שכ'.</w:t>
      </w:r>
    </w:p>
    <w:p w:rsidR="00A312A4" w:rsidRDefault="00A312A4" w:rsidP="002A0E2D">
      <w:pPr>
        <w:pStyle w:val="ListParagraph"/>
        <w:numPr>
          <w:ilvl w:val="5"/>
          <w:numId w:val="8"/>
        </w:numPr>
        <w:rPr>
          <w:rFonts w:asciiTheme="majorBidi" w:hAnsiTheme="majorBidi" w:cstheme="majorBidi"/>
        </w:rPr>
      </w:pPr>
      <w:r>
        <w:rPr>
          <w:rFonts w:asciiTheme="majorBidi" w:hAnsiTheme="majorBidi" w:cstheme="majorBidi" w:hint="cs"/>
          <w:rtl/>
        </w:rPr>
        <w:t>אפשר לומר כצד שלישי שכ'.</w:t>
      </w:r>
    </w:p>
    <w:p w:rsidR="0069642D" w:rsidRDefault="0069642D" w:rsidP="0069642D">
      <w:pPr>
        <w:pStyle w:val="ListParagraph"/>
        <w:numPr>
          <w:ilvl w:val="4"/>
          <w:numId w:val="8"/>
        </w:numPr>
        <w:rPr>
          <w:rFonts w:asciiTheme="majorBidi" w:hAnsiTheme="majorBidi" w:cstheme="majorBidi"/>
        </w:rPr>
      </w:pPr>
      <w:r>
        <w:rPr>
          <w:rFonts w:asciiTheme="majorBidi" w:hAnsiTheme="majorBidi" w:cstheme="majorBidi" w:hint="cs"/>
          <w:rtl/>
        </w:rPr>
        <w:t>לצד שני:</w:t>
      </w:r>
    </w:p>
    <w:p w:rsidR="0069642D" w:rsidRDefault="0069642D" w:rsidP="0069642D">
      <w:pPr>
        <w:pStyle w:val="ListParagraph"/>
        <w:numPr>
          <w:ilvl w:val="5"/>
          <w:numId w:val="8"/>
        </w:numPr>
        <w:rPr>
          <w:rFonts w:asciiTheme="majorBidi" w:hAnsiTheme="majorBidi" w:cstheme="majorBidi"/>
        </w:rPr>
      </w:pPr>
      <w:r>
        <w:rPr>
          <w:rFonts w:asciiTheme="majorBidi" w:hAnsiTheme="majorBidi" w:cstheme="majorBidi" w:hint="cs"/>
          <w:rtl/>
        </w:rPr>
        <w:t>יש לומר שמקשה איך יש כוח לזה לדחות איסור זה.</w:t>
      </w:r>
    </w:p>
    <w:p w:rsidR="00264357" w:rsidRDefault="00264357" w:rsidP="0069642D">
      <w:pPr>
        <w:pStyle w:val="ListParagraph"/>
        <w:numPr>
          <w:ilvl w:val="5"/>
          <w:numId w:val="8"/>
        </w:numPr>
        <w:rPr>
          <w:rFonts w:asciiTheme="majorBidi" w:hAnsiTheme="majorBidi" w:cstheme="majorBidi"/>
        </w:rPr>
      </w:pPr>
      <w:r>
        <w:rPr>
          <w:rFonts w:asciiTheme="majorBidi" w:hAnsiTheme="majorBidi" w:cstheme="majorBidi" w:hint="cs"/>
          <w:rtl/>
        </w:rPr>
        <w:t>יש לומר כצד שלישי שכ'.</w:t>
      </w:r>
    </w:p>
    <w:p w:rsidR="00EB47B9" w:rsidRDefault="00EB47B9" w:rsidP="00EB47B9">
      <w:pPr>
        <w:pStyle w:val="ListParagraph"/>
        <w:numPr>
          <w:ilvl w:val="3"/>
          <w:numId w:val="8"/>
        </w:numPr>
        <w:rPr>
          <w:rFonts w:asciiTheme="majorBidi" w:hAnsiTheme="majorBidi" w:cstheme="majorBidi" w:hint="cs"/>
        </w:rPr>
      </w:pPr>
      <w:r>
        <w:rPr>
          <w:rFonts w:asciiTheme="majorBidi" w:hAnsiTheme="majorBidi" w:cstheme="majorBidi" w:hint="cs"/>
          <w:rtl/>
        </w:rPr>
        <w:t>לצד שני</w:t>
      </w:r>
    </w:p>
    <w:p w:rsidR="00EB47B9" w:rsidRDefault="00EB47B9" w:rsidP="00EB47B9">
      <w:pPr>
        <w:pStyle w:val="ListParagraph"/>
        <w:numPr>
          <w:ilvl w:val="4"/>
          <w:numId w:val="8"/>
        </w:numPr>
        <w:rPr>
          <w:rFonts w:asciiTheme="majorBidi" w:hAnsiTheme="majorBidi" w:cstheme="majorBidi"/>
        </w:rPr>
      </w:pPr>
      <w:r>
        <w:rPr>
          <w:rFonts w:asciiTheme="majorBidi" w:hAnsiTheme="majorBidi" w:cstheme="majorBidi" w:hint="cs"/>
          <w:rtl/>
        </w:rPr>
        <w:t>לצד ראשון:</w:t>
      </w:r>
    </w:p>
    <w:p w:rsidR="00EB47B9" w:rsidRDefault="00F50878" w:rsidP="00EB47B9">
      <w:pPr>
        <w:pStyle w:val="ListParagraph"/>
        <w:numPr>
          <w:ilvl w:val="5"/>
          <w:numId w:val="8"/>
        </w:numPr>
        <w:rPr>
          <w:rFonts w:asciiTheme="majorBidi" w:hAnsiTheme="majorBidi" w:cstheme="majorBidi" w:hint="cs"/>
        </w:rPr>
      </w:pPr>
      <w:r>
        <w:rPr>
          <w:rFonts w:asciiTheme="majorBidi" w:hAnsiTheme="majorBidi" w:cstheme="majorBidi" w:hint="cs"/>
          <w:rtl/>
        </w:rPr>
        <w:t>לשני צדדים כאן, אפשר לומר שמקשה איך יהיה כוח לגט של זה להתיר איסור של חברו או להתיר נישואים של חברו.</w:t>
      </w:r>
    </w:p>
    <w:p w:rsidR="00F50878" w:rsidRDefault="00F50878" w:rsidP="00EB47B9">
      <w:pPr>
        <w:pStyle w:val="ListParagraph"/>
        <w:numPr>
          <w:ilvl w:val="5"/>
          <w:numId w:val="8"/>
        </w:numPr>
        <w:rPr>
          <w:rFonts w:asciiTheme="majorBidi" w:hAnsiTheme="majorBidi" w:cstheme="majorBidi" w:hint="cs"/>
        </w:rPr>
      </w:pPr>
      <w:r>
        <w:rPr>
          <w:rFonts w:asciiTheme="majorBidi" w:hAnsiTheme="majorBidi" w:cstheme="majorBidi" w:hint="cs"/>
          <w:rtl/>
        </w:rPr>
        <w:t>אפשר לפרש כצד שני שכ'.</w:t>
      </w:r>
    </w:p>
    <w:p w:rsidR="00F50878" w:rsidRDefault="00F50878" w:rsidP="00EB47B9">
      <w:pPr>
        <w:pStyle w:val="ListParagraph"/>
        <w:numPr>
          <w:ilvl w:val="5"/>
          <w:numId w:val="8"/>
        </w:numPr>
        <w:rPr>
          <w:rFonts w:asciiTheme="majorBidi" w:hAnsiTheme="majorBidi" w:cstheme="majorBidi"/>
        </w:rPr>
      </w:pPr>
      <w:r>
        <w:rPr>
          <w:rFonts w:asciiTheme="majorBidi" w:hAnsiTheme="majorBidi" w:cstheme="majorBidi" w:hint="cs"/>
          <w:rtl/>
        </w:rPr>
        <w:t>אפשר לפרש כצד שלישי שכ'.</w:t>
      </w:r>
    </w:p>
    <w:p w:rsidR="002F5F6B" w:rsidRDefault="006F101A" w:rsidP="002F5F6B">
      <w:pPr>
        <w:pStyle w:val="ListParagraph"/>
        <w:numPr>
          <w:ilvl w:val="4"/>
          <w:numId w:val="8"/>
        </w:numPr>
        <w:rPr>
          <w:rFonts w:asciiTheme="majorBidi" w:hAnsiTheme="majorBidi" w:cstheme="majorBidi"/>
        </w:rPr>
      </w:pPr>
      <w:r>
        <w:rPr>
          <w:rFonts w:asciiTheme="majorBidi" w:hAnsiTheme="majorBidi" w:cstheme="majorBidi" w:hint="cs"/>
          <w:rtl/>
        </w:rPr>
        <w:t>לצד שני. אפשר לפרש שמק' למה יהיה כן. אז, דיון גמ' הוא אם מצאנו מתיר שלא כל כך מסתבר. לא נראה כן, שצריך ביאור, אז, מהו מקורו של רבי אליעזר אם אינו מסברתו. ותחשב.</w:t>
      </w:r>
      <w:r w:rsidR="002F5F6B">
        <w:rPr>
          <w:rFonts w:asciiTheme="majorBidi" w:hAnsiTheme="majorBidi" w:cstheme="majorBidi" w:hint="cs"/>
          <w:rtl/>
        </w:rPr>
        <w:t xml:space="preserve"> גם אפשר לפרש כצד שני או שלישי.</w:t>
      </w:r>
    </w:p>
    <w:p w:rsidR="00754B27" w:rsidRDefault="003D1FA2" w:rsidP="003D1FA2">
      <w:pPr>
        <w:rPr>
          <w:rFonts w:asciiTheme="majorBidi" w:hAnsiTheme="majorBidi" w:cstheme="majorBidi"/>
          <w:rtl/>
        </w:rPr>
      </w:pPr>
      <w:r>
        <w:rPr>
          <w:rFonts w:asciiTheme="majorBidi" w:hAnsiTheme="majorBidi" w:cstheme="majorBidi" w:hint="cs"/>
          <w:rtl/>
        </w:rPr>
        <w:t>ותחשב על כל זה. יוצא שיש שני צדדים עיקרים:</w:t>
      </w:r>
    </w:p>
    <w:p w:rsidR="003D1FA2" w:rsidRDefault="003D1FA2" w:rsidP="003D1FA2">
      <w:pPr>
        <w:pStyle w:val="ListParagraph"/>
        <w:numPr>
          <w:ilvl w:val="0"/>
          <w:numId w:val="11"/>
        </w:numPr>
        <w:rPr>
          <w:rFonts w:asciiTheme="majorBidi" w:hAnsiTheme="majorBidi" w:cstheme="majorBidi"/>
        </w:rPr>
      </w:pPr>
      <w:r>
        <w:rPr>
          <w:rFonts w:asciiTheme="majorBidi" w:hAnsiTheme="majorBidi" w:cstheme="majorBidi" w:hint="cs"/>
          <w:rtl/>
        </w:rPr>
        <w:t>איך יש לו כוח לעשות כן.</w:t>
      </w:r>
    </w:p>
    <w:p w:rsidR="00BC1198" w:rsidRDefault="003D1FA2" w:rsidP="00A709AC">
      <w:pPr>
        <w:pStyle w:val="ListParagraph"/>
        <w:numPr>
          <w:ilvl w:val="0"/>
          <w:numId w:val="11"/>
        </w:numPr>
        <w:rPr>
          <w:rFonts w:asciiTheme="majorBidi" w:hAnsiTheme="majorBidi" w:cstheme="majorBidi"/>
        </w:rPr>
      </w:pPr>
      <w:r>
        <w:rPr>
          <w:rFonts w:asciiTheme="majorBidi" w:hAnsiTheme="majorBidi" w:cstheme="majorBidi" w:hint="cs"/>
          <w:rtl/>
        </w:rPr>
        <w:t>לא ירצה תורה שיעשה כן.</w:t>
      </w:r>
    </w:p>
    <w:p w:rsidR="00A709AC" w:rsidRDefault="00A709AC" w:rsidP="00A709AC">
      <w:pPr>
        <w:rPr>
          <w:rFonts w:asciiTheme="majorBidi" w:hAnsiTheme="majorBidi" w:cstheme="majorBidi"/>
          <w:rtl/>
        </w:rPr>
      </w:pPr>
      <w:r>
        <w:rPr>
          <w:rFonts w:asciiTheme="majorBidi" w:hAnsiTheme="majorBidi" w:cstheme="majorBidi" w:hint="cs"/>
          <w:rtl/>
        </w:rPr>
        <w:t>קושיית גמרא:</w:t>
      </w:r>
    </w:p>
    <w:p w:rsidR="00A709AC" w:rsidRDefault="00A709AC" w:rsidP="00A709AC">
      <w:pPr>
        <w:rPr>
          <w:rFonts w:asciiTheme="majorBidi" w:hAnsiTheme="majorBidi" w:cstheme="majorBidi"/>
          <w:rtl/>
        </w:rPr>
      </w:pPr>
      <w:r>
        <w:rPr>
          <w:rFonts w:asciiTheme="majorBidi" w:hAnsiTheme="majorBidi" w:cstheme="majorBidi" w:hint="cs"/>
          <w:rtl/>
        </w:rPr>
        <w:lastRenderedPageBreak/>
        <w:t>מקשה גמ' שמצאנו ציור שמי שאינו האוסר מתיר, והוא ייבום. שם, הבעל אוסר, ועדיין היבם מתיר.</w:t>
      </w:r>
    </w:p>
    <w:p w:rsidR="00483835" w:rsidRPr="00402336" w:rsidRDefault="00A709AC" w:rsidP="00402336">
      <w:pPr>
        <w:rPr>
          <w:rFonts w:asciiTheme="majorBidi" w:hAnsiTheme="majorBidi" w:cstheme="majorBidi"/>
        </w:rPr>
      </w:pPr>
      <w:r>
        <w:rPr>
          <w:rFonts w:asciiTheme="majorBidi" w:hAnsiTheme="majorBidi" w:cstheme="majorBidi" w:hint="cs"/>
          <w:rtl/>
        </w:rPr>
        <w:t xml:space="preserve">צריכים לבאר אותו הו"א. </w:t>
      </w:r>
      <w:bookmarkStart w:id="0" w:name="_GoBack"/>
      <w:bookmarkEnd w:id="0"/>
      <w:r w:rsidR="00CC2532" w:rsidRPr="00402336">
        <w:rPr>
          <w:rFonts w:asciiTheme="majorBidi" w:hAnsiTheme="majorBidi" w:cstheme="majorBidi" w:hint="cs"/>
          <w:rtl/>
        </w:rPr>
        <w:t xml:space="preserve"> </w:t>
      </w:r>
    </w:p>
    <w:sectPr w:rsidR="00483835" w:rsidRPr="00402336">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2C8D" w:rsidRDefault="003E2C8D">
      <w:pPr>
        <w:spacing w:after="0" w:line="240" w:lineRule="auto"/>
      </w:pPr>
      <w:r>
        <w:separator/>
      </w:r>
    </w:p>
  </w:endnote>
  <w:endnote w:type="continuationSeparator" w:id="0">
    <w:p w:rsidR="003E2C8D" w:rsidRDefault="003E2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Noto Serif Hebrew">
    <w:panose1 w:val="02020502060505020204"/>
    <w:charset w:val="01"/>
    <w:family w:val="roman"/>
    <w:pitch w:val="variable"/>
    <w:sig w:usb0="80000803" w:usb1="40002002" w:usb2="00000000" w:usb3="00000000" w:csb0="00000000" w:csb1="00000000"/>
  </w:font>
  <w:font w:name="Guttman Rashi">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2C8D" w:rsidRDefault="003E2C8D">
      <w:pPr>
        <w:rPr>
          <w:sz w:val="12"/>
        </w:rPr>
      </w:pPr>
      <w:r>
        <w:separator/>
      </w:r>
    </w:p>
  </w:footnote>
  <w:footnote w:type="continuationSeparator" w:id="0">
    <w:p w:rsidR="003E2C8D" w:rsidRDefault="003E2C8D">
      <w:pPr>
        <w:rPr>
          <w:sz w:val="12"/>
        </w:rPr>
      </w:pPr>
      <w:r>
        <w:continuationSeparator/>
      </w:r>
    </w:p>
  </w:footnote>
  <w:footnote w:id="1">
    <w:p w:rsidR="0018789F" w:rsidRPr="00CF65AF" w:rsidRDefault="00833438" w:rsidP="00CF65AF">
      <w:pPr>
        <w:pStyle w:val="FootnoteText"/>
        <w:rPr>
          <w:rStyle w:val="FootnoteCharacters"/>
          <w:rFonts w:ascii="Liberation Serif" w:hAnsi="Liberation Serif" w:cs="Times New Roman"/>
        </w:rPr>
      </w:pPr>
      <w:r w:rsidRPr="00CF65AF">
        <w:rPr>
          <w:rStyle w:val="FootnoteCharacters"/>
          <w:rFonts w:ascii="Liberation Serif" w:hAnsi="Liberation Serif" w:cs="Times New Roman"/>
        </w:rPr>
        <w:footnoteRef/>
      </w:r>
      <w:r w:rsidRPr="00CF65AF">
        <w:rPr>
          <w:rStyle w:val="FootnoteCharacters"/>
          <w:rFonts w:ascii="Liberation Serif" w:hAnsi="Liberation Serif" w:cs="Times New Roman"/>
        </w:rPr>
        <w:tab/>
        <w:t xml:space="preserve"> </w:t>
      </w:r>
      <w:r w:rsidRPr="00CF65AF">
        <w:rPr>
          <w:rStyle w:val="FootnoteCharacters"/>
          <w:rFonts w:ascii="Liberation Serif" w:hAnsi="Liberation Serif" w:cs="Times New Roman"/>
          <w:rtl/>
        </w:rPr>
        <w:t>ואם תאמר ל"ל נאמר כן, שפשוט הוא שאי אפשר להיות נשוי לאשה שהיא אשת איש. ויש לומר שזה רק עושה שאין קידושין חלים, אבל לא עושה שקידושין פקעי. מצאנו מושג כעין זה, שיותר קל לעשות שדבר לא חל מלעשות שפקע, גבי קל וחומר הידוע (בערכין) ש"אם מכורה כבר…." מושג זה הוא, לכאורה, שהסיבה להמשך של דבר הוא יותר חזק מן הסיבה לחלות דבר</w:t>
      </w:r>
      <w:r w:rsidRPr="00CF65AF">
        <w:rPr>
          <w:rStyle w:val="FootnoteCharacters"/>
          <w:rFonts w:ascii="Liberation Serif" w:hAnsi="Liberation Serif" w:cs="Times New Roman"/>
        </w:rPr>
        <w:t>.</w:t>
      </w:r>
    </w:p>
    <w:p w:rsidR="0018789F" w:rsidRPr="00CF65AF" w:rsidRDefault="00833438" w:rsidP="00CF65AF">
      <w:pPr>
        <w:pStyle w:val="FootnoteText"/>
        <w:rPr>
          <w:rStyle w:val="FootnoteCharacters"/>
          <w:rFonts w:ascii="Liberation Serif" w:hAnsi="Liberation Serif" w:cs="Times New Roman"/>
        </w:rPr>
      </w:pPr>
      <w:r w:rsidRPr="00CF65AF">
        <w:rPr>
          <w:rStyle w:val="FootnoteCharacters"/>
          <w:rFonts w:ascii="Liberation Serif" w:hAnsi="Liberation Serif" w:cs="Times New Roman"/>
        </w:rPr>
        <w:tab/>
      </w:r>
      <w:r w:rsidRPr="00CF65AF">
        <w:rPr>
          <w:rStyle w:val="FootnoteCharacters"/>
          <w:rFonts w:ascii="Liberation Serif" w:hAnsi="Liberation Serif" w:cs="Times New Roman"/>
          <w:rtl/>
        </w:rPr>
        <w:t>גם יש לומר שסיבה של המשך אינו נדחה כלל מפני אישות של אחר. ר"ל, אולי יש סיבה אחרת להמשכו (למשל, מה שחל לפני זמן), ואין סיבה זה נדחה מפני נישואין של אחר, שנישואין של אחר הוא רק סיבה שלא יחול החלות בתחילה (ר"ל, מפני  אותם דברים שעושים חלות נשואים מתחילה). (נראה שזה יכול להיות כוונת אותו קל וחומר שהזכרנו, שאומר שאם יכול להיות חל נגד שני הסיבות שיש בהמשכו- ואז מניח שלא רק יש סיבה חזקה בהמשכו, אלא שיש אותו סיבה של תחילתו עם סיבה אחרת- אז בודאי יכול להיות חל נגד סיבה אחת זה. ויש לדון, שאז אינו ממש קל וחומר, אלא שמצאנו שחל נגד סיבה זה, ומה שחל נגד סיבה אחרת לא כל כך שייך. ותחשב</w:t>
      </w:r>
      <w:r w:rsidRPr="00CF65AF">
        <w:rPr>
          <w:rStyle w:val="FootnoteCharacters"/>
          <w:rFonts w:ascii="Liberation Serif" w:hAnsi="Liberation Serif" w:cs="Times New Roman"/>
        </w:rPr>
        <w:t>.</w:t>
      </w:r>
    </w:p>
    <w:p w:rsidR="0018789F" w:rsidRPr="00CF65AF" w:rsidRDefault="00833438" w:rsidP="00CF65AF">
      <w:pPr>
        <w:pStyle w:val="FootnoteText"/>
        <w:rPr>
          <w:rStyle w:val="FootnoteCharacters"/>
          <w:rFonts w:ascii="Liberation Serif" w:hAnsi="Liberation Serif" w:cs="Times New Roman"/>
        </w:rPr>
      </w:pPr>
      <w:r w:rsidRPr="00CF65AF">
        <w:rPr>
          <w:rStyle w:val="FootnoteCharacters"/>
          <w:rFonts w:ascii="Liberation Serif" w:hAnsi="Liberation Serif" w:cs="Times New Roman"/>
        </w:rPr>
        <w:tab/>
      </w:r>
      <w:r w:rsidRPr="00CF65AF">
        <w:rPr>
          <w:rStyle w:val="FootnoteCharacters"/>
          <w:rFonts w:ascii="Liberation Serif" w:hAnsi="Liberation Serif" w:cs="Times New Roman"/>
          <w:rtl/>
        </w:rPr>
        <w:t>יש לומר פשט אחר, והוא שאולי כיון שזה רוצה שישאר נישואים שלו, לא התיר לחלות  נישואים שיעשה שנישואים שלו לא חלים. ויש לדון איך יעשה כן, ובפרט כיון שצריך להיות שחלים נגדו קידושי שני קצת. ועיין לקמן, שבע"ה ננסה לבאר את זה. ותחשב</w:t>
      </w:r>
      <w:r w:rsidRPr="00CF65AF">
        <w:rPr>
          <w:rStyle w:val="FootnoteCharacters"/>
          <w:rFonts w:ascii="Liberation Serif" w:hAnsi="Liberation Serif" w:cs="Times New Roman"/>
        </w:rPr>
        <w:t>.</w:t>
      </w:r>
    </w:p>
  </w:footnote>
  <w:footnote w:id="2">
    <w:p w:rsidR="0018789F" w:rsidRPr="00CF65AF" w:rsidRDefault="00833438" w:rsidP="00CF65AF">
      <w:pPr>
        <w:pStyle w:val="FootnoteText"/>
        <w:rPr>
          <w:rStyle w:val="FootnoteCharacters"/>
          <w:rFonts w:ascii="Liberation Serif" w:hAnsi="Liberation Serif" w:cs="Times New Roman"/>
        </w:rPr>
      </w:pPr>
      <w:r w:rsidRPr="00CF65AF">
        <w:rPr>
          <w:rStyle w:val="FootnoteCharacters"/>
          <w:rFonts w:ascii="Liberation Serif" w:hAnsi="Liberation Serif" w:cs="Times New Roman"/>
        </w:rPr>
        <w:footnoteRef/>
      </w:r>
      <w:r w:rsidRPr="00CF65AF">
        <w:rPr>
          <w:rStyle w:val="FootnoteCharacters"/>
          <w:rFonts w:ascii="Liberation Serif" w:hAnsi="Liberation Serif" w:cs="Times New Roman"/>
          <w:rtl/>
        </w:rPr>
        <w:tab/>
        <w:t>ויש לדון, שהרי פשוט הוא שלא יתיר איסור אשת אח. ויש לומר שרק עושה סימן שלא יהיו עליו איסורי אשת איש. ותחשב</w:t>
      </w:r>
      <w:r w:rsidRPr="00CF65AF">
        <w:rPr>
          <w:rStyle w:val="FootnoteCharacters"/>
          <w:rFonts w:ascii="Liberation Serif" w:hAnsi="Liberation Serif" w:cs="Times New Roman"/>
        </w:rPr>
        <w:t>.</w:t>
      </w:r>
    </w:p>
  </w:footnote>
  <w:footnote w:id="3">
    <w:p w:rsidR="00267536" w:rsidRPr="00CF65AF" w:rsidRDefault="00267536" w:rsidP="00CF65AF">
      <w:pPr>
        <w:pStyle w:val="FootnoteText"/>
        <w:rPr>
          <w:rStyle w:val="FootnoteCharacters"/>
          <w:rFonts w:ascii="Liberation Serif" w:hAnsi="Liberation Serif" w:cs="Times New Roman"/>
        </w:rPr>
      </w:pPr>
      <w:r w:rsidRPr="00CF65AF">
        <w:rPr>
          <w:rStyle w:val="FootnoteCharacters"/>
          <w:rFonts w:ascii="Liberation Serif" w:hAnsi="Liberation Serif" w:cs="Times New Roman"/>
        </w:rPr>
        <w:footnoteRef/>
      </w:r>
      <w:r w:rsidRPr="00CF65AF">
        <w:rPr>
          <w:rStyle w:val="FootnoteCharacters"/>
          <w:rFonts w:ascii="Liberation Serif" w:hAnsi="Liberation Serif" w:cs="Times New Roman"/>
          <w:rtl/>
        </w:rPr>
        <w:t xml:space="preserve"> </w:t>
      </w:r>
      <w:r w:rsidR="007845C5" w:rsidRPr="00CF65AF">
        <w:rPr>
          <w:rStyle w:val="FootnoteCharacters"/>
          <w:rFonts w:ascii="Liberation Serif" w:hAnsi="Liberation Serif" w:cs="Times New Roman"/>
          <w:rtl/>
        </w:rPr>
        <w:tab/>
      </w:r>
      <w:r w:rsidRPr="00CF65AF">
        <w:rPr>
          <w:rStyle w:val="FootnoteCharacters"/>
          <w:rFonts w:ascii="Liberation Serif" w:hAnsi="Liberation Serif" w:cs="Times New Roman" w:hint="cs"/>
          <w:rtl/>
        </w:rPr>
        <w:t>אולי לשנים אלו יש לומר סברה כעין מגו, והוא שמגו שמהני לנישואים של זה, אף מהני לנישואים של זה. ויש לדון מתי אומרים סברה זה.</w:t>
      </w:r>
    </w:p>
  </w:footnote>
  <w:footnote w:id="4">
    <w:p w:rsidR="00CF65AF" w:rsidRPr="00CF65AF" w:rsidRDefault="00CF65AF" w:rsidP="00CF65AF">
      <w:pPr>
        <w:pStyle w:val="FootnoteText"/>
      </w:pPr>
      <w:r w:rsidRPr="00CF65AF">
        <w:rPr>
          <w:rStyle w:val="FootnoteReference"/>
          <w:vertAlign w:val="baseline"/>
        </w:rPr>
        <w:footnoteRef/>
      </w:r>
      <w:r w:rsidRPr="00CF65AF">
        <w:rPr>
          <w:rtl/>
        </w:rPr>
        <w:t xml:space="preserve"> </w:t>
      </w:r>
      <w:r w:rsidRPr="00CF65AF">
        <w:rPr>
          <w:rtl/>
        </w:rPr>
        <w:tab/>
      </w:r>
      <w:r>
        <w:rPr>
          <w:rFonts w:hint="cs"/>
          <w:rtl/>
        </w:rPr>
        <w:t>נראה שיש לומר עוד צד, והוא שאפשר שבשעת נישואים לשני, אין נישואים לראשון אוסרים, שנישואי שני הם סיבה יותר חזקה (כיון שבאים מנישואים יותר חזקים). לא חוזר לאסור אחר הגט כיון שלא אפשר להיות הגט, שגורם היתירה, להיות גורם לאיסור שלה. (ויש לדון, שמצאנו בכ"מ שדבר מיתלא תלי, והוא, לכאורה, נגד זה.)</w:t>
      </w:r>
    </w:p>
  </w:footnote>
  <w:footnote w:id="5">
    <w:p w:rsidR="00C04F6B" w:rsidRDefault="00C04F6B">
      <w:pPr>
        <w:pStyle w:val="FootnoteText"/>
      </w:pPr>
      <w:r>
        <w:rPr>
          <w:rStyle w:val="FootnoteReference"/>
        </w:rPr>
        <w:footnoteRef/>
      </w:r>
      <w:r>
        <w:rPr>
          <w:rtl/>
        </w:rPr>
        <w:t xml:space="preserve"> </w:t>
      </w:r>
      <w:r>
        <w:rPr>
          <w:rtl/>
        </w:rPr>
        <w:tab/>
      </w:r>
      <w:r>
        <w:rPr>
          <w:rFonts w:hint="cs"/>
          <w:rtl/>
        </w:rPr>
        <w:t>בכל זמן שאומרים שדבר נראה רע, צריכים לדון אם חוששים לכבוד התורה (שבנ"א יזלזלו בדינים מוזרים שלו), לכבוד רבנן שאומרים אותו דין (בין אם מחדשים אותו בין אם אומרים שכן אומר תורה), או למי שעושה כן (שבנ"א יאמרו שעבר).</w:t>
      </w:r>
      <w:r w:rsidR="006E32B3">
        <w:rPr>
          <w:rFonts w:hint="cs"/>
          <w:rtl/>
        </w:rPr>
        <w:t xml:space="preserve"> לא נראה שהוא דין ראשון או שני כשהוא דין דאו', שלא חש תורה לזה בפרה אדומה וכדומה. ויש לדון, שאולי שם היה אותו בעיה נדחה.</w:t>
      </w:r>
    </w:p>
  </w:footnote>
  <w:footnote w:id="6">
    <w:p w:rsidR="00CE1577" w:rsidRDefault="00CE1577">
      <w:pPr>
        <w:pStyle w:val="FootnoteText"/>
      </w:pPr>
      <w:r>
        <w:rPr>
          <w:rStyle w:val="FootnoteReference"/>
        </w:rPr>
        <w:footnoteRef/>
      </w:r>
      <w:r>
        <w:rPr>
          <w:rtl/>
        </w:rPr>
        <w:t xml:space="preserve"> </w:t>
      </w:r>
      <w:r>
        <w:rPr>
          <w:rtl/>
        </w:rPr>
        <w:tab/>
      </w:r>
      <w:r>
        <w:rPr>
          <w:rFonts w:hint="cs"/>
          <w:rtl/>
        </w:rPr>
        <w:t xml:space="preserve">כמו"כ, יש לומר </w:t>
      </w:r>
      <w:r w:rsidR="00B6780F">
        <w:rPr>
          <w:rFonts w:hint="cs"/>
          <w:rtl/>
        </w:rPr>
        <w:t>שבא לומר שמקורו הוא ממה שלא מצאנו בכל התורה כולה שיש מי שיכול להתיר שאינו מי שאסר. לא מסתבר, אז, שיש סיבה לזה חוץ ממה שאינו המתיר.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92876"/>
    <w:multiLevelType w:val="multilevel"/>
    <w:tmpl w:val="00225AD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711243F"/>
    <w:multiLevelType w:val="multilevel"/>
    <w:tmpl w:val="00225AD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3C56FF4"/>
    <w:multiLevelType w:val="hybridMultilevel"/>
    <w:tmpl w:val="5AC4725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2E703009"/>
    <w:multiLevelType w:val="multilevel"/>
    <w:tmpl w:val="C62E85D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30F14F9F"/>
    <w:multiLevelType w:val="multilevel"/>
    <w:tmpl w:val="00225AD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450F1C01"/>
    <w:multiLevelType w:val="hybridMultilevel"/>
    <w:tmpl w:val="F63280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8A06E7C"/>
    <w:multiLevelType w:val="multilevel"/>
    <w:tmpl w:val="C62E85D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501277E1"/>
    <w:multiLevelType w:val="multilevel"/>
    <w:tmpl w:val="6ABE582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1F853EE"/>
    <w:multiLevelType w:val="hybridMultilevel"/>
    <w:tmpl w:val="12F00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66B54"/>
    <w:multiLevelType w:val="multilevel"/>
    <w:tmpl w:val="C62E85D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633D58C3"/>
    <w:multiLevelType w:val="hybridMultilevel"/>
    <w:tmpl w:val="146E000E"/>
    <w:lvl w:ilvl="0" w:tplc="0409000F">
      <w:start w:val="1"/>
      <w:numFmt w:val="decimal"/>
      <w:lvlText w:val="%1."/>
      <w:lvlJc w:val="left"/>
      <w:pPr>
        <w:ind w:left="2487" w:hanging="360"/>
      </w:p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1" w15:restartNumberingAfterBreak="0">
    <w:nsid w:val="79737BFA"/>
    <w:multiLevelType w:val="hybridMultilevel"/>
    <w:tmpl w:val="FC526AD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6"/>
  </w:num>
  <w:num w:numId="3">
    <w:abstractNumId w:val="0"/>
  </w:num>
  <w:num w:numId="4">
    <w:abstractNumId w:val="2"/>
  </w:num>
  <w:num w:numId="5">
    <w:abstractNumId w:val="11"/>
  </w:num>
  <w:num w:numId="6">
    <w:abstractNumId w:val="5"/>
  </w:num>
  <w:num w:numId="7">
    <w:abstractNumId w:val="8"/>
  </w:num>
  <w:num w:numId="8">
    <w:abstractNumId w:val="3"/>
  </w:num>
  <w:num w:numId="9">
    <w:abstractNumId w:val="9"/>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89F"/>
    <w:rsid w:val="00105AC6"/>
    <w:rsid w:val="00130D5F"/>
    <w:rsid w:val="0018789F"/>
    <w:rsid w:val="00264357"/>
    <w:rsid w:val="00267536"/>
    <w:rsid w:val="002814DF"/>
    <w:rsid w:val="002A0E2D"/>
    <w:rsid w:val="002F5F6B"/>
    <w:rsid w:val="003D1FA2"/>
    <w:rsid w:val="003E2C8D"/>
    <w:rsid w:val="00402336"/>
    <w:rsid w:val="00483835"/>
    <w:rsid w:val="0048794D"/>
    <w:rsid w:val="004E2A58"/>
    <w:rsid w:val="004E4B82"/>
    <w:rsid w:val="00571DC6"/>
    <w:rsid w:val="00656BE4"/>
    <w:rsid w:val="0069642D"/>
    <w:rsid w:val="006C3E19"/>
    <w:rsid w:val="006E32B3"/>
    <w:rsid w:val="006F101A"/>
    <w:rsid w:val="00734869"/>
    <w:rsid w:val="00754B27"/>
    <w:rsid w:val="007845C5"/>
    <w:rsid w:val="00833438"/>
    <w:rsid w:val="00897C9A"/>
    <w:rsid w:val="00A312A4"/>
    <w:rsid w:val="00A709AC"/>
    <w:rsid w:val="00A94116"/>
    <w:rsid w:val="00B43378"/>
    <w:rsid w:val="00B6780F"/>
    <w:rsid w:val="00BC1198"/>
    <w:rsid w:val="00C04F6B"/>
    <w:rsid w:val="00C97B9C"/>
    <w:rsid w:val="00CC2532"/>
    <w:rsid w:val="00CE1577"/>
    <w:rsid w:val="00CF65AF"/>
    <w:rsid w:val="00DA0DF9"/>
    <w:rsid w:val="00EB47B9"/>
    <w:rsid w:val="00F251E9"/>
    <w:rsid w:val="00F50878"/>
    <w:rsid w:val="00F561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7EC80"/>
  <w15:docId w15:val="{9060FD4C-7678-400C-9D68-A3B2C533A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DF9"/>
    <w:pPr>
      <w:bidi/>
      <w:spacing w:after="120" w:line="276" w:lineRule="auto"/>
    </w:pPr>
    <w:rPr>
      <w:rFonts w:cs="Times New Roma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Normal"/>
    <w:next w:val="Normal"/>
    <w:link w:val="Heading2Char"/>
    <w:uiPriority w:val="9"/>
    <w:unhideWhenUsed/>
    <w:qFormat/>
    <w:rsid w:val="00A709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basedOn w:val="DefaultParagraphFont"/>
    <w:qFormat/>
    <w:rsid w:val="007845C5"/>
    <w:rPr>
      <w:rFonts w:ascii="Noto Serif Hebrew" w:hAnsi="Noto Serif Hebrew" w:cs="Guttman Rashi"/>
      <w:bCs w:val="0"/>
      <w:iCs w:val="0"/>
      <w:sz w:val="20"/>
      <w:szCs w:val="20"/>
      <w:vertAlign w:val="baseline"/>
    </w:rPr>
  </w:style>
  <w:style w:type="character" w:styleId="FootnoteReference">
    <w:name w:val="footnote reference"/>
    <w:rPr>
      <w:vertAlign w:val="superscript"/>
    </w:rPr>
  </w:style>
  <w:style w:type="character" w:customStyle="1" w:styleId="NumberingSymbols">
    <w:name w:val="Numbering Symbols"/>
    <w:qFormat/>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pPr>
    <w:rPr>
      <w:rFonts w:ascii="Liberation Sans" w:eastAsia="Microsoft YaHei" w:hAnsi="Liberation Sans" w:cs="Shofar"/>
      <w:sz w:val="28"/>
      <w:szCs w:val="28"/>
    </w:rPr>
  </w:style>
  <w:style w:type="paragraph" w:styleId="BodyText">
    <w:name w:val="Body Text"/>
    <w:basedOn w:val="Normal"/>
    <w:pPr>
      <w:spacing w:after="140"/>
    </w:pPr>
  </w:style>
  <w:style w:type="paragraph" w:styleId="List">
    <w:name w:val="List"/>
    <w:basedOn w:val="BodyText"/>
    <w:rPr>
      <w:rFonts w:cs="Shofar"/>
    </w:rPr>
  </w:style>
  <w:style w:type="paragraph" w:styleId="Caption">
    <w:name w:val="caption"/>
    <w:basedOn w:val="Normal"/>
    <w:qFormat/>
    <w:pPr>
      <w:suppressLineNumbers/>
      <w:spacing w:before="120"/>
    </w:pPr>
    <w:rPr>
      <w:rFonts w:cs="Shofar"/>
      <w:i/>
      <w:iCs/>
    </w:rPr>
  </w:style>
  <w:style w:type="paragraph" w:customStyle="1" w:styleId="Index">
    <w:name w:val="Index"/>
    <w:basedOn w:val="Normal"/>
    <w:qFormat/>
    <w:pPr>
      <w:suppressLineNumbers/>
    </w:pPr>
    <w:rPr>
      <w:rFonts w:cs="Shofar"/>
    </w:rPr>
  </w:style>
  <w:style w:type="paragraph" w:styleId="FootnoteText">
    <w:name w:val="footnote text"/>
    <w:basedOn w:val="Normal"/>
    <w:rsid w:val="00CF65AF"/>
    <w:pPr>
      <w:suppressLineNumbers/>
      <w:ind w:left="340" w:hanging="340"/>
    </w:pPr>
    <w:rPr>
      <w:sz w:val="20"/>
      <w:szCs w:val="20"/>
    </w:rPr>
  </w:style>
  <w:style w:type="paragraph" w:styleId="ListParagraph">
    <w:name w:val="List Paragraph"/>
    <w:basedOn w:val="Normal"/>
    <w:uiPriority w:val="34"/>
    <w:qFormat/>
    <w:rsid w:val="00F5619E"/>
    <w:pPr>
      <w:ind w:left="720"/>
      <w:contextualSpacing/>
    </w:pPr>
  </w:style>
  <w:style w:type="character" w:customStyle="1" w:styleId="Heading2Char">
    <w:name w:val="Heading 2 Char"/>
    <w:basedOn w:val="DefaultParagraphFont"/>
    <w:link w:val="Heading2"/>
    <w:uiPriority w:val="9"/>
    <w:rsid w:val="00A709A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 חייט</dc:creator>
  <dc:description/>
  <cp:lastModifiedBy>שי הכהן</cp:lastModifiedBy>
  <cp:revision>35</cp:revision>
  <dcterms:created xsi:type="dcterms:W3CDTF">2023-05-29T16:31:00Z</dcterms:created>
  <dcterms:modified xsi:type="dcterms:W3CDTF">2023-05-30T21:02:00Z</dcterms:modified>
  <dc:language>en-US</dc:language>
</cp:coreProperties>
</file>