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AE13EE" w14:textId="2272E8FB" w:rsidR="008B2FB8" w:rsidRDefault="0011482E">
      <w:pPr>
        <w:rPr>
          <w:rFonts w:cs="Mekorot-Vilna"/>
        </w:rPr>
      </w:pPr>
      <w:r>
        <w:rPr>
          <w:rFonts w:cs="Mekorot-Vilna" w:hint="cs"/>
          <w:rtl/>
        </w:rPr>
        <w:t>[\</w:t>
      </w:r>
      <w:r w:rsidR="00176FE7">
        <w:rPr>
          <w:rFonts w:cs="Mekorot-Vilna"/>
          <w:rtl/>
        </w:rPr>
        <w:t xml:space="preserve">- יש לדון למה אדם נאמן לעשות חתיכת איסור. יש להעיר שפשוט שיהיה איסור עליו, אף אם בית דין אומרים שלא חושבים שקרה, כיון שהוא יודע שקרה ושבית דין טועין. (כמו כן מצאנו, לכאו', בתחילת הוריות.) אבל, מה שצריך ביאור הוא שבית דין מחייבים אותו להחמיר, ואף אם חזר </w:t>
      </w:r>
      <w:r w:rsidR="00176FE7">
        <w:rPr>
          <w:rFonts w:cs="Mekorot-Vilna"/>
          <w:rtl/>
        </w:rPr>
        <w:t>בו, וכדומה. (אני חושב שזהו הדין, שאי לאו הכי, פשוט הוא, ולא צריכים לומר אותו כלל.) ותחשב.</w:t>
      </w:r>
    </w:p>
    <w:p w14:paraId="0F3F915E" w14:textId="77777777" w:rsidR="008B2FB8" w:rsidRDefault="00176FE7">
      <w:pPr>
        <w:rPr>
          <w:rFonts w:cs="Mekorot-Vilna"/>
        </w:rPr>
      </w:pPr>
      <w:r>
        <w:rPr>
          <w:rFonts w:cs="Mekorot-Vilna"/>
          <w:rtl/>
        </w:rPr>
        <w:t>על כל פנים, יש לדון למה דין זה נכון:</w:t>
      </w:r>
    </w:p>
    <w:p w14:paraId="14B87906" w14:textId="77777777" w:rsidR="008B2FB8" w:rsidRDefault="00176FE7">
      <w:pPr>
        <w:pStyle w:val="ListParagraph"/>
        <w:numPr>
          <w:ilvl w:val="0"/>
          <w:numId w:val="2"/>
        </w:numPr>
        <w:rPr>
          <w:rFonts w:cs="Mekorot-Vilna"/>
        </w:rPr>
      </w:pPr>
      <w:r>
        <w:rPr>
          <w:rFonts w:cs="Mekorot-Vilna"/>
          <w:rtl/>
        </w:rPr>
        <w:t>יש בו נאמנות</w:t>
      </w:r>
      <w:r>
        <w:rPr>
          <w:rStyle w:val="FootnoteReference"/>
          <w:rFonts w:cs="Mekorot-Vilna"/>
          <w:rtl/>
        </w:rPr>
        <w:footnoteReference w:id="1"/>
      </w:r>
      <w:r>
        <w:rPr>
          <w:rFonts w:cs="Mekorot-Vilna"/>
          <w:rtl/>
        </w:rPr>
        <w:t>.</w:t>
      </w:r>
    </w:p>
    <w:p w14:paraId="0407A5AA" w14:textId="77777777" w:rsidR="008B2FB8" w:rsidRDefault="00176FE7">
      <w:pPr>
        <w:pStyle w:val="ListParagraph"/>
        <w:numPr>
          <w:ilvl w:val="1"/>
          <w:numId w:val="2"/>
        </w:numPr>
        <w:rPr>
          <w:rFonts w:cs="Mekorot-Vilna"/>
        </w:rPr>
      </w:pPr>
      <w:r>
        <w:rPr>
          <w:rFonts w:cs="Mekorot-Vilna"/>
          <w:rtl/>
        </w:rPr>
        <w:t xml:space="preserve">יש לאדם נאמנות מיוחדת על עצמו. אין זה ממש נאמנות- אין ראיה שמה שאומר הוא נכון- אבל אדם עושה סיבה לפסוק כן לעצמו. </w:t>
      </w:r>
      <w:r>
        <w:rPr>
          <w:rFonts w:cs="Mekorot-Vilna"/>
          <w:rtl/>
        </w:rPr>
        <w:t>יש לדמות דין זה להודאת בעל דין (אבל אולי יש פשט אחר בזה). לא פשוט למה יהיה דין זה לאדם, ואולי הוא מפני שטענה על עצמו הוא יותר חזק. אף זה לא פשוט, שכל מושג של טענה לא פשוט. אולי הענין הוא שנותן קצת שם למה שקורה, וכיון שעל עצמו מדבר, השם שנותן הוא חשוב די לק</w:t>
      </w:r>
      <w:r>
        <w:rPr>
          <w:rFonts w:cs="Mekorot-Vilna"/>
          <w:rtl/>
        </w:rPr>
        <w:t>בוע את הדין. דחוק.</w:t>
      </w:r>
    </w:p>
    <w:p w14:paraId="346B0D00" w14:textId="77777777" w:rsidR="008B2FB8" w:rsidRDefault="00176FE7">
      <w:pPr>
        <w:pStyle w:val="ListParagraph"/>
        <w:ind w:left="1440"/>
        <w:rPr>
          <w:rFonts w:cs="Mekorot-Vilna"/>
        </w:rPr>
      </w:pPr>
      <w:r>
        <w:rPr>
          <w:rFonts w:cs="Mekorot-Vilna"/>
          <w:rtl/>
        </w:rPr>
        <w:t>לא פשוט, אז, למה רק נאמן על איסורים של עצמו, ולא על היתירים. ותחשב.</w:t>
      </w:r>
    </w:p>
    <w:p w14:paraId="09DE9338" w14:textId="77777777" w:rsidR="008B2FB8" w:rsidRDefault="00176FE7">
      <w:pPr>
        <w:pStyle w:val="ListParagraph"/>
        <w:numPr>
          <w:ilvl w:val="1"/>
          <w:numId w:val="2"/>
        </w:numPr>
        <w:rPr>
          <w:rFonts w:cs="Mekorot-Vilna"/>
        </w:rPr>
      </w:pPr>
      <w:r>
        <w:rPr>
          <w:rFonts w:cs="Mekorot-Vilna"/>
          <w:rtl/>
        </w:rPr>
        <w:t>הוא טוען טענה, ואין אחר טוען כנגדו. זה אומר שכדי לטעון, צריך להיות לו נגיעות לענין ולדיון. אולי לענין עצמו, אין מי שיש לו נגיעות, ואז אין טענה נגדו. (זה אולי כמעט שווה ל</w:t>
      </w:r>
      <w:r>
        <w:rPr>
          <w:rFonts w:cs="Mekorot-Vilna"/>
          <w:rtl/>
        </w:rPr>
        <w:t>צד ראשון; תלוי מה הוא צד ראשון.)</w:t>
      </w:r>
    </w:p>
    <w:p w14:paraId="3AC27322" w14:textId="77777777" w:rsidR="008B2FB8" w:rsidRDefault="00176FE7">
      <w:pPr>
        <w:pStyle w:val="ListParagraph"/>
        <w:numPr>
          <w:ilvl w:val="1"/>
          <w:numId w:val="2"/>
        </w:numPr>
        <w:rPr>
          <w:rFonts w:cs="Mekorot-Vilna"/>
        </w:rPr>
      </w:pPr>
      <w:r>
        <w:rPr>
          <w:rFonts w:cs="Mekorot-Vilna"/>
          <w:rtl/>
        </w:rPr>
        <w:t xml:space="preserve">אולי יש כעין "מה לי לשקר" לומר שהוא אומר האמת. כיון שפשוט מאד שלא ייאמן לאסור את חברו, קשה למה מזכיר את זה לבית דין כלל, ולמה ישקר. אלא, צריך לומר שלא משקר, אלא אומר האמת. (ואם תאמר עדיין למה אומר אותו. ויש לומר שכיון שהוא </w:t>
      </w:r>
      <w:r>
        <w:rPr>
          <w:rFonts w:cs="Mekorot-Vilna"/>
          <w:rtl/>
        </w:rPr>
        <w:t>אמת, סובר שבית דין צריך לדעת אותו, שאולי ואולי יהיה נוגע. רק אם אדם חושש לאמת, יחוש גם לחשש זו. דחוק. גם יש לומר שרוצה שבית דאין יאסרו לו כדי שלא יבוא להורות היתר לעצמו להתיר איסורים. גם זה מובן רק אם באמת נאסר.)</w:t>
      </w:r>
    </w:p>
    <w:p w14:paraId="50C7A423" w14:textId="77777777" w:rsidR="008B2FB8" w:rsidRDefault="00176FE7">
      <w:pPr>
        <w:pStyle w:val="ListParagraph"/>
        <w:numPr>
          <w:ilvl w:val="0"/>
          <w:numId w:val="2"/>
        </w:numPr>
        <w:rPr>
          <w:rFonts w:cs="Mekorot-Vilna"/>
        </w:rPr>
      </w:pPr>
      <w:r>
        <w:rPr>
          <w:rFonts w:cs="Mekorot-Vilna"/>
          <w:rtl/>
        </w:rPr>
        <w:t>אין בו נאמנות. אז, צריך ביאור למה אסור:</w:t>
      </w:r>
    </w:p>
    <w:p w14:paraId="15F0A2D1" w14:textId="77777777" w:rsidR="008B2FB8" w:rsidRDefault="00176FE7">
      <w:pPr>
        <w:pStyle w:val="ListParagraph"/>
        <w:numPr>
          <w:ilvl w:val="1"/>
          <w:numId w:val="2"/>
        </w:numPr>
        <w:rPr>
          <w:rFonts w:cs="Mekorot-Vilna"/>
        </w:rPr>
      </w:pPr>
      <w:r>
        <w:rPr>
          <w:rFonts w:cs="Mekorot-Vilna"/>
          <w:rtl/>
        </w:rPr>
        <w:t>אול</w:t>
      </w:r>
      <w:r>
        <w:rPr>
          <w:rFonts w:cs="Mekorot-Vilna"/>
          <w:rtl/>
        </w:rPr>
        <w:t>י נראה רע, שהוא אמר שהוא אסור, ואחר כן הוא עושה כן. (ואם תאמר אם כן אף לאחרים יהיה אסור. ויש לומר שלא רוצים לתת כוח כזה לאיש, שאז יענש כל מי שרוצה על ידי טענה כזה. גם יש לומר שרק בו יש לחוש לזה, שרואים אותו בני אדם עושה כן, ומיד חושבים על דבריו, אבל באחרים</w:t>
      </w:r>
      <w:r>
        <w:rPr>
          <w:rFonts w:cs="Mekorot-Vilna"/>
          <w:rtl/>
        </w:rPr>
        <w:t>, לא חושבים על דבריו. ויש לדון.)</w:t>
      </w:r>
    </w:p>
    <w:p w14:paraId="4BA2E612" w14:textId="77777777" w:rsidR="008B2FB8" w:rsidRDefault="00176FE7">
      <w:pPr>
        <w:pStyle w:val="ListParagraph"/>
        <w:numPr>
          <w:ilvl w:val="1"/>
          <w:numId w:val="2"/>
        </w:numPr>
        <w:rPr>
          <w:rFonts w:cs="Mekorot-Vilna"/>
        </w:rPr>
      </w:pPr>
      <w:r>
        <w:rPr>
          <w:rFonts w:cs="Mekorot-Vilna"/>
          <w:rtl/>
        </w:rPr>
        <w:t>אולי דבריו הם כעין נדר. צריך ביאור למה יהיה נדר. נראה שמה שאמר כן לבית דין מוכיח שרוצה שהדין יהיה כן, שאל"ה למה יבוא לבית דין. (ואם תאמר אולי רק רוצה שהדין יהיה כן כיון שסובר שכן קרה. אבל, כיון שאנחנו לא מאמינים לו, נמצא שב</w:t>
      </w:r>
      <w:r>
        <w:rPr>
          <w:rFonts w:cs="Mekorot-Vilna"/>
          <w:rtl/>
        </w:rPr>
        <w:t>טעות נדר. ויש לומר שלא מסתבר שסובר שקרה, שאנחנו יודעים שהוא משקר, ואז לא קרה. לא מסתבר שלא קרה והוא סובר שקרה, ואז צריך לומר שיש סיבה אחרת שרוצה לאסור אותו. עדיין יש לדון ל"ל רק נודר.)</w:t>
      </w:r>
    </w:p>
    <w:p w14:paraId="43611894" w14:textId="77777777" w:rsidR="008B2FB8" w:rsidRDefault="00176FE7">
      <w:pPr>
        <w:pStyle w:val="ListParagraph"/>
        <w:numPr>
          <w:ilvl w:val="1"/>
          <w:numId w:val="2"/>
        </w:numPr>
        <w:rPr>
          <w:rFonts w:cs="Mekorot-Vilna"/>
        </w:rPr>
      </w:pPr>
      <w:r>
        <w:rPr>
          <w:rFonts w:cs="Mekorot-Vilna"/>
          <w:rtl/>
        </w:rPr>
        <w:t>אולי יש חיוב בוודאי שלא לעשות מה שהוא חושב שהוא אסור. (נראה שזה כעין מה</w:t>
      </w:r>
      <w:r>
        <w:rPr>
          <w:rFonts w:cs="Mekorot-Vilna"/>
          <w:rtl/>
        </w:rPr>
        <w:t xml:space="preserve"> שאמר ר"ע גבי אשה שלא יודעת שבעלה הפר את נדרה.) (ואם תאמר אם חוזר בו יהיה מותר. אולי אין הכי נמי. ויותר נראה לומר שלא מאמינים שבאמת חזר בו. ותו"ת.)</w:t>
      </w:r>
    </w:p>
    <w:p w14:paraId="7EF8D003" w14:textId="77777777" w:rsidR="008B2FB8" w:rsidRDefault="00176FE7">
      <w:pPr>
        <w:pStyle w:val="ListParagraph"/>
        <w:rPr>
          <w:rFonts w:cs="Mekorot-Vilna"/>
        </w:rPr>
      </w:pPr>
      <w:r>
        <w:rPr>
          <w:rFonts w:cs="Mekorot-Vilna"/>
          <w:rtl/>
        </w:rPr>
        <w:t>ויש להעיר שאפשר לומר שמחמת אחד מצדדים אלו, יש נאמנות (כמו צד שלישי שבראשון שכתבנו), שלא מסתבר שאדם יבוא לבית</w:t>
      </w:r>
      <w:r>
        <w:rPr>
          <w:rFonts w:cs="Mekorot-Vilna"/>
          <w:rtl/>
        </w:rPr>
        <w:t xml:space="preserve"> דין ויטעון מה שאוסר את עצמו. יותר נראה שהוא אמת.</w:t>
      </w:r>
    </w:p>
    <w:p w14:paraId="2A50F2A9" w14:textId="77777777" w:rsidR="008B2FB8" w:rsidRDefault="00176FE7">
      <w:pPr>
        <w:rPr>
          <w:rFonts w:cs="Mekorot-Vilna"/>
        </w:rPr>
      </w:pPr>
      <w:r>
        <w:rPr>
          <w:rFonts w:cs="Mekorot-Vilna"/>
          <w:rtl/>
        </w:rPr>
        <w:t>ההלכה הוא שלא נאמן הוא לכל. יש לדון מהו הגדרה (איפה הוא נאמן). אולי הוא שרק נאמן לענין דינים שלו או שרק נאמן לענין איסור שלו. (יש חילוק; יש לדון אחרים צריכים לחוש לאיסור שלו מפני לפני עוור. אם נאמר שנאמן לע</w:t>
      </w:r>
      <w:r>
        <w:rPr>
          <w:rFonts w:cs="Mekorot-Vilna"/>
          <w:rtl/>
        </w:rPr>
        <w:t>נין דינים שלו, לא צריכים לחוש. אם נאמר שנאמן לענין איסור שלו, צריכים לחוש.) אפשר שזה תלוי במה שכתבנו לעיל בביאור למה נאסר; ועיין שם.</w:t>
      </w:r>
    </w:p>
    <w:p w14:paraId="7E7A02B3" w14:textId="77777777" w:rsidR="008B2FB8" w:rsidRDefault="00176FE7">
      <w:pPr>
        <w:rPr>
          <w:rFonts w:cs="Mekorot-Vilna"/>
        </w:rPr>
      </w:pPr>
      <w:r>
        <w:rPr>
          <w:rFonts w:cs="Mekorot-Vilna"/>
          <w:rtl/>
        </w:rPr>
        <w:lastRenderedPageBreak/>
        <w:t xml:space="preserve">יש להעיר שלצד שלישי שבראשון, לא פשוט ל"ל נאמן לאחרים. צריך לומר שהוא מפני שאז יהיה גלגל החוזר, שיש לומר שמחמת זה משקר. ויש </w:t>
      </w:r>
      <w:r>
        <w:rPr>
          <w:rFonts w:cs="Mekorot-Vilna"/>
          <w:rtl/>
        </w:rPr>
        <w:t>להעיר שאף שיש גלגל החוזר, לא נראה שזה מקום טוב להפסיק אותו, שהרי נמצא, עכשיו, שמתירים איסור, שיש לנו ראיה שהיא אסורה, ועדיין מתירים אותה. ותו"ת.</w:t>
      </w:r>
      <w:r>
        <w:rPr>
          <w:rStyle w:val="FootnoteReference"/>
          <w:rFonts w:cs="Mekorot-Vilna"/>
          <w:rtl/>
        </w:rPr>
        <w:footnoteReference w:id="2"/>
      </w:r>
    </w:p>
    <w:p w14:paraId="29C68DE8" w14:textId="77777777" w:rsidR="008B2FB8" w:rsidRDefault="00176FE7">
      <w:pPr>
        <w:rPr>
          <w:rFonts w:cs="Mekorot-Vilna"/>
        </w:rPr>
      </w:pPr>
      <w:r>
        <w:rPr>
          <w:rFonts w:cs="Mekorot-Vilna"/>
          <w:rtl/>
        </w:rPr>
        <w:t>- יש לדון מה מקילים על פי ספק ספיקא:</w:t>
      </w:r>
    </w:p>
    <w:p w14:paraId="413EC0F1" w14:textId="77777777" w:rsidR="008B2FB8" w:rsidRDefault="00176FE7">
      <w:pPr>
        <w:pStyle w:val="ListParagraph"/>
        <w:numPr>
          <w:ilvl w:val="0"/>
          <w:numId w:val="3"/>
        </w:numPr>
        <w:rPr>
          <w:rFonts w:cs="Mekorot-Vilna"/>
        </w:rPr>
      </w:pPr>
      <w:r>
        <w:rPr>
          <w:rFonts w:cs="Mekorot-Vilna"/>
          <w:rtl/>
        </w:rPr>
        <w:t>אולי ספק דאו' לחומרא הוא דין דרבנן. אז, נמצא שכל ספק ספיקא הוא ספק אם יש</w:t>
      </w:r>
      <w:r>
        <w:rPr>
          <w:rFonts w:cs="Mekorot-Vilna"/>
          <w:rtl/>
        </w:rPr>
        <w:t xml:space="preserve"> ספק דאו', והוא ספק דרבנן. כיון שספק דרבנן לקולא, ספק ספיקא מותר.</w:t>
      </w:r>
    </w:p>
    <w:p w14:paraId="1F7CB837" w14:textId="77777777" w:rsidR="008B2FB8" w:rsidRDefault="00176FE7">
      <w:pPr>
        <w:pStyle w:val="ListParagraph"/>
        <w:rPr>
          <w:rFonts w:cs="Mekorot-Vilna"/>
        </w:rPr>
      </w:pPr>
      <w:r>
        <w:rPr>
          <w:rFonts w:cs="Mekorot-Vilna"/>
          <w:rtl/>
        </w:rPr>
        <w:t xml:space="preserve">יש להעיר שאז צריך לומר, לכאו', שרק אומרים ס"ס בספק השקול. ר"ן כ' (לתרץ לדברי רמב"ם מגמ' בסוף פ"ק דקידושין) שרק אומרים שספק דאו' </w:t>
      </w:r>
      <w:r w:rsidRPr="005B1C78">
        <w:rPr>
          <w:rFonts w:cs="Mekorot-Vilna"/>
          <w:rtl/>
        </w:rPr>
        <w:t>לקולא</w:t>
      </w:r>
      <w:r>
        <w:rPr>
          <w:rFonts w:cs="Mekorot-Vilna"/>
          <w:rtl/>
        </w:rPr>
        <w:t xml:space="preserve"> מדאו' בספק השקול, ולכאו' רק אומרים ספק דרבנן לקולא גבי ס</w:t>
      </w:r>
      <w:r>
        <w:rPr>
          <w:rFonts w:cs="Mekorot-Vilna"/>
          <w:rtl/>
        </w:rPr>
        <w:t>פק השקול. אם כן, ס"ס הוא רק בשני ספקות שקולים.</w:t>
      </w:r>
    </w:p>
    <w:p w14:paraId="0EB3E795" w14:textId="7B8424E5" w:rsidR="008B2FB8" w:rsidRDefault="00176FE7">
      <w:pPr>
        <w:pStyle w:val="ListParagraph"/>
        <w:numPr>
          <w:ilvl w:val="0"/>
          <w:numId w:val="3"/>
        </w:numPr>
        <w:rPr>
          <w:rFonts w:cs="Mekorot-Vilna"/>
        </w:rPr>
      </w:pPr>
      <w:r>
        <w:rPr>
          <w:rFonts w:cs="Mekorot-Vilna"/>
          <w:rtl/>
        </w:rPr>
        <w:t>ס"ס הוא רוב, שעל פי רוב, אינו אסור. ואם תאמר למה אינו ממש רוב. (אינו נראה שהוא ממש רוב, שאז היינו רק קוראים לו בשם רוב.) ויש לומר שברוב, חלק מן הסיבה שמניחים כצד הגדול הוא שהוא כל כך גדול. כאן, אין צד גדול. כמ</w:t>
      </w:r>
      <w:r>
        <w:rPr>
          <w:rFonts w:cs="Mekorot-Vilna"/>
          <w:rtl/>
        </w:rPr>
        <w:t>ו כן, יש לומר שהרוב הוא לומר שלא נכון צד ק</w:t>
      </w:r>
      <w:r w:rsidR="005B1C78">
        <w:rPr>
          <w:rFonts w:cs="Mekorot-Vilna" w:hint="cs"/>
          <w:rtl/>
        </w:rPr>
        <w:t>ט</w:t>
      </w:r>
      <w:r>
        <w:rPr>
          <w:rFonts w:cs="Mekorot-Vilna"/>
          <w:rtl/>
        </w:rPr>
        <w:t>ן. אבל, זה נתרע, שיש צד קטן שקרה. ותחשב.</w:t>
      </w:r>
    </w:p>
    <w:p w14:paraId="26C7EB30" w14:textId="7D7A409F" w:rsidR="008B2FB8" w:rsidRDefault="00176FE7">
      <w:pPr>
        <w:pStyle w:val="ListParagraph"/>
        <w:numPr>
          <w:ilvl w:val="0"/>
          <w:numId w:val="3"/>
        </w:numPr>
        <w:rPr>
          <w:rFonts w:cs="Mekorot-Vilna"/>
        </w:rPr>
      </w:pPr>
      <w:r>
        <w:rPr>
          <w:rFonts w:cs="Mekorot-Vilna"/>
          <w:rtl/>
        </w:rPr>
        <w:t>אולי הוא כעין רוב, והוא שרוב של היכולות הם של היתר. אז, אף אם יכולת אחד הוא יותר מצוי מיכולת אחר, עדיין יהיה מותר, שעדיין יש רו</w:t>
      </w:r>
      <w:r>
        <w:rPr>
          <w:rFonts w:cs="Mekorot-Vilna"/>
          <w:rtl/>
        </w:rPr>
        <w:t>כ זה.</w:t>
      </w:r>
    </w:p>
    <w:p w14:paraId="5E9662C8" w14:textId="77777777" w:rsidR="008B2FB8" w:rsidRDefault="00176FE7">
      <w:pPr>
        <w:pStyle w:val="ListParagraph"/>
        <w:numPr>
          <w:ilvl w:val="0"/>
          <w:numId w:val="3"/>
        </w:numPr>
        <w:rPr>
          <w:rFonts w:cs="Mekorot-Vilna"/>
        </w:rPr>
      </w:pPr>
      <w:r>
        <w:rPr>
          <w:rFonts w:cs="Mekorot-Vilna"/>
          <w:rtl/>
        </w:rPr>
        <w:t>אולי הוא תלוי במה שבני אדם מדרהרים (ור</w:t>
      </w:r>
      <w:r>
        <w:rPr>
          <w:rFonts w:cs="Mekorot-Vilna"/>
          <w:rtl/>
        </w:rPr>
        <w:t xml:space="preserve">וב, אולי, אינו כן). לכאו', בני אדם מדרהרים שלא מסתבר שנאסר, כיון שחושבים: אף אם זה, אולי זה. ותו"ת. </w:t>
      </w:r>
    </w:p>
    <w:p w14:paraId="4A588466" w14:textId="77777777" w:rsidR="008B2FB8" w:rsidRDefault="00176FE7">
      <w:pPr>
        <w:rPr>
          <w:rFonts w:cs="Mekorot-Vilna"/>
        </w:rPr>
      </w:pPr>
      <w:r>
        <w:rPr>
          <w:rFonts w:cs="Mekorot-Vilna"/>
          <w:rtl/>
        </w:rPr>
        <w:t xml:space="preserve">- יש לדון אם יש סיבות רעות בספק ספיקא או לא. יש לדון למה לא יהיו. נראה שצריך להיות מפני שמחשבתו על מה שעושה נשתנה. אז, יש ס"ר באכילת חזיר כשיודע שאוכל </w:t>
      </w:r>
      <w:r>
        <w:rPr>
          <w:rFonts w:cs="Mekorot-Vilna"/>
          <w:rtl/>
        </w:rPr>
        <w:t>חזיר, ולא על אכילת חזיר כשלא יודע שאוכל חזיר (או שחושב שאינו חזיר).</w:t>
      </w:r>
      <w:r>
        <w:rPr>
          <w:rStyle w:val="FootnoteReference"/>
          <w:rFonts w:cs="Mekorot-Vilna"/>
          <w:rtl/>
        </w:rPr>
        <w:footnoteReference w:id="3"/>
      </w:r>
    </w:p>
    <w:p w14:paraId="40DC0C8E" w14:textId="77777777" w:rsidR="008B2FB8" w:rsidRDefault="00176FE7">
      <w:pPr>
        <w:rPr>
          <w:rFonts w:cs="Mekorot-Vilna"/>
        </w:rPr>
      </w:pPr>
      <w:r>
        <w:rPr>
          <w:rFonts w:cs="Mekorot-Vilna"/>
          <w:rtl/>
        </w:rPr>
        <w:t xml:space="preserve">ואם תאמר אם כן אם אדם חושב שחלב הוא שומן, לא יהיה ס"ר. ויש לומר שצריך להיות בטוח שאינו חלב. ואם תאמר אם כן אם הוא בטוח, לא יהיה ס"ר. ויש לומר שאין הכי נמי, וכל ציור שבו חייב חטאת, מסתמא </w:t>
      </w:r>
      <w:r>
        <w:rPr>
          <w:rFonts w:cs="Mekorot-Vilna"/>
          <w:rtl/>
        </w:rPr>
        <w:t xml:space="preserve">לא היה ממש בטוח. כיון שחייב מן הדין לבדוק יותר, לא מסתבר שאותו הוכחה שעליו סומך אומר לו בברור שהוא מותר. גם יש לומר שצריך להיות שמחשבתו חשוב, והוא שהוא סומך על ראיות טובות. ותו"ת. </w:t>
      </w:r>
    </w:p>
    <w:p w14:paraId="54DA72B6" w14:textId="77777777" w:rsidR="008B2FB8" w:rsidRDefault="00176FE7">
      <w:pPr>
        <w:rPr>
          <w:rFonts w:cs="Mekorot-Vilna"/>
        </w:rPr>
      </w:pPr>
      <w:r>
        <w:rPr>
          <w:rFonts w:cs="Mekorot-Vilna"/>
          <w:rtl/>
        </w:rPr>
        <w:t xml:space="preserve">- צריך ביאור מהו המקור לספק ספיקא. עיין בחולין, שדן במקור לחזקה ולרוב, אבל </w:t>
      </w:r>
      <w:r>
        <w:rPr>
          <w:rFonts w:cs="Mekorot-Vilna"/>
          <w:rtl/>
        </w:rPr>
        <w:t>לא למקור לס"ס. אם הוא מין רוב, אז יש לומר שנלמד כמו רוב. גי"ל שלא צריך מקור. יש לדון, שרוב צריך מקור. (ודע שלא מוכרח מן הגמ' שלמסקנא רוב צריך מקור, אבל כן יוצא מרש"י שם בחולין.) אולי אחר שרוב נלמד, ס"ס לא צריך מקור. ותחשב.</w:t>
      </w:r>
    </w:p>
    <w:p w14:paraId="5B6F82C3" w14:textId="77777777" w:rsidR="008B2FB8" w:rsidRDefault="00176FE7">
      <w:pPr>
        <w:rPr>
          <w:rFonts w:cs="Mekorot-Vilna"/>
        </w:rPr>
      </w:pPr>
      <w:r>
        <w:rPr>
          <w:rFonts w:cs="Mekorot-Vilna"/>
          <w:rtl/>
        </w:rPr>
        <w:t>- בענין ספק דאו' לחומרא, נראה לבא</w:t>
      </w:r>
      <w:r>
        <w:rPr>
          <w:rFonts w:cs="Mekorot-Vilna"/>
          <w:rtl/>
        </w:rPr>
        <w:t>ר כן: לכאו', כל זמן שאדם עובר עבירה, עושה סיבות רעות, וגם עובר על ציווי ה'. כשאומרים שעובר על ציווי ה', נראה שיכולים להיות שני ענינים. מבזה את ה', במה שמראה שלא עושה כמו שה' מצווה, וגם חייב לשמוע לציווי ה' (אין זה כל כך פשוט לי.).</w:t>
      </w:r>
    </w:p>
    <w:p w14:paraId="5FF85A17" w14:textId="77777777" w:rsidR="008B2FB8" w:rsidRDefault="00176FE7">
      <w:pPr>
        <w:rPr>
          <w:rFonts w:cs="Mekorot-Vilna"/>
        </w:rPr>
      </w:pPr>
      <w:r>
        <w:rPr>
          <w:rFonts w:cs="Mekorot-Vilna"/>
          <w:rtl/>
        </w:rPr>
        <w:t>כשיש ספק, אז יש לדון מה ה</w:t>
      </w:r>
      <w:r>
        <w:rPr>
          <w:rFonts w:cs="Mekorot-Vilna"/>
          <w:rtl/>
        </w:rPr>
        <w:t>יה עובר על הצד שהוא אסור. אפשר שלא עובר כלום, שיש ס"ר רק במקום וודאי או קרוב לוודאי, ולא בספק. גם אפשר שעובר על ס"ר, אבל לא על ציווי ה'. נראה שפשוט שאינו מבזה ה' כל כך. נראה מסתבר שגם עובר על ציווי. ויש לדון בזה, שאולי ציווי מפורש להיות שלא לאכול וודאי חזי</w:t>
      </w:r>
      <w:r>
        <w:rPr>
          <w:rFonts w:cs="Mekorot-Vilna"/>
          <w:rtl/>
        </w:rPr>
        <w:t>ר. אולי כן נראה ממה שאין ציווי כמו שנאמר בתורה, שלא לאכול חזיר, נוגע לציור זה, שזה רק ספק. ותחשב. ולא פשוט שציווי צריך להיות נוגע לכל ציור באופן כזה. וצריך לחשוב על כל נקודה זאת.</w:t>
      </w:r>
    </w:p>
    <w:p w14:paraId="55A509BC" w14:textId="77777777" w:rsidR="008B2FB8" w:rsidRDefault="00176FE7">
      <w:pPr>
        <w:rPr>
          <w:rFonts w:cs="Mekorot-Vilna"/>
        </w:rPr>
      </w:pPr>
      <w:r>
        <w:rPr>
          <w:rFonts w:cs="Mekorot-Vilna"/>
          <w:rtl/>
        </w:rPr>
        <w:t>יש לדון אם צריך לחוש לספק. לכאו', יכול להליות שני מקורות לומר שצריכים לחוש לס</w:t>
      </w:r>
      <w:r>
        <w:rPr>
          <w:rFonts w:cs="Mekorot-Vilna"/>
          <w:rtl/>
        </w:rPr>
        <w:t>פק:</w:t>
      </w:r>
    </w:p>
    <w:p w14:paraId="377341EC" w14:textId="77777777" w:rsidR="008B2FB8" w:rsidRDefault="00176FE7">
      <w:pPr>
        <w:pStyle w:val="ListParagraph"/>
        <w:numPr>
          <w:ilvl w:val="0"/>
          <w:numId w:val="4"/>
        </w:numPr>
        <w:rPr>
          <w:rFonts w:cs="Mekorot-Vilna"/>
        </w:rPr>
      </w:pPr>
      <w:r>
        <w:rPr>
          <w:rFonts w:cs="Mekorot-Vilna"/>
          <w:rtl/>
        </w:rPr>
        <w:lastRenderedPageBreak/>
        <w:t>אולי כמו שציווי משמע שיש חיוב לשמוע אל הציווי, אולי גם משמע שיש חיוב לחוש לציווי.</w:t>
      </w:r>
    </w:p>
    <w:p w14:paraId="5BB4BF4B" w14:textId="77777777" w:rsidR="008B2FB8" w:rsidRDefault="00176FE7">
      <w:pPr>
        <w:pStyle w:val="ListParagraph"/>
        <w:numPr>
          <w:ilvl w:val="0"/>
          <w:numId w:val="4"/>
        </w:numPr>
        <w:rPr>
          <w:rFonts w:cs="Mekorot-Vilna"/>
        </w:rPr>
      </w:pPr>
      <w:r>
        <w:rPr>
          <w:rFonts w:cs="Mekorot-Vilna"/>
          <w:rtl/>
        </w:rPr>
        <w:t>אולי יש קרא אחר שאומר שצריך לחוש לספק. כן מפרשים מקצת ראשונים, ולומדים אותו מ"ובחרת בחיים."</w:t>
      </w:r>
    </w:p>
    <w:p w14:paraId="401B81CE" w14:textId="77777777" w:rsidR="008B2FB8" w:rsidRDefault="00176FE7">
      <w:pPr>
        <w:rPr>
          <w:rFonts w:cs="Mekorot-Vilna"/>
        </w:rPr>
      </w:pPr>
      <w:r>
        <w:rPr>
          <w:rFonts w:cs="Mekorot-Vilna"/>
          <w:rtl/>
        </w:rPr>
        <w:t>אז, יש לדון בהגדרות אלו. מה שצריכים קרא לרוב וכדומה משמע שאם דורשים אלו, רק לו</w:t>
      </w:r>
      <w:r>
        <w:rPr>
          <w:rFonts w:cs="Mekorot-Vilna"/>
          <w:rtl/>
        </w:rPr>
        <w:t>מדים מהם ספק, ולא רוב. ותחשב.</w:t>
      </w:r>
    </w:p>
    <w:p w14:paraId="7A4F8257" w14:textId="77777777" w:rsidR="008B2FB8" w:rsidRDefault="00176FE7">
      <w:pPr>
        <w:rPr>
          <w:rFonts w:cs="Mekorot-Vilna"/>
        </w:rPr>
      </w:pPr>
      <w:r>
        <w:rPr>
          <w:rFonts w:cs="Mekorot-Vilna"/>
          <w:rtl/>
        </w:rPr>
        <w:t>- כמו שכתבנו לעיל, יש לדון אם אומרים ס"ס בספק שאינו שקול. אם לא אומרים, אז מוכרח שיהיה ממש רוב בכל ס"ס, וצריך לבאר למה אינו רוב. (עיין לעיל, שכתבנו מקצת צדדים.)</w:t>
      </w:r>
      <w:r>
        <w:rPr>
          <w:rStyle w:val="FootnoteReference"/>
          <w:rFonts w:cs="Mekorot-Vilna"/>
          <w:rtl/>
        </w:rPr>
        <w:footnoteReference w:id="4"/>
      </w:r>
    </w:p>
    <w:p w14:paraId="574840E2" w14:textId="77777777" w:rsidR="008B2FB8" w:rsidRDefault="00176FE7">
      <w:pPr>
        <w:rPr>
          <w:rFonts w:cs="Mekorot-Vilna"/>
        </w:rPr>
      </w:pPr>
      <w:r>
        <w:rPr>
          <w:rFonts w:cs="Mekorot-Vilna"/>
          <w:rtl/>
        </w:rPr>
        <w:t>- יש להעיר שלכאו', יש עוד דיון כאן, והוא איזה מין אונס הוא, שנר</w:t>
      </w:r>
      <w:r>
        <w:rPr>
          <w:rFonts w:cs="Mekorot-Vilna"/>
          <w:rtl/>
        </w:rPr>
        <w:t xml:space="preserve">אה שיש שני מיני אונס- יש אונס המותרת (כשממש מכריח אותה, שקושר אותה וכדומה) ויש אונס האסורה (כשהיא בוחרת). אז, יש רוב יכולות להיתר, אף גבי מתארסת קודם בת שלש. כמו כן, יש ס"ס מזה, שאולי נאנסה באונס המותר, ואף אם לא, אולי נאנסה באונס האסור. נראה שני תירוצים. </w:t>
      </w:r>
      <w:r>
        <w:rPr>
          <w:rFonts w:cs="Mekorot-Vilna"/>
          <w:rtl/>
        </w:rPr>
        <w:t>אולי רוב יכולות אינו די, ובס"ס רק אומרים קרק' אחד בתוך "אולי." גם אפשר שז נחשב אותו דבר של אונס, ששניהם אונסים. ויש לדון, שיש חילוק חשוב ביניהם לענין דין. (ויש לדון אם באונס האסור באמת מותרת לבעל.)</w:t>
      </w:r>
    </w:p>
    <w:p w14:paraId="09EE12EB" w14:textId="77777777" w:rsidR="008B2FB8" w:rsidRDefault="00176FE7">
      <w:pPr>
        <w:rPr>
          <w:rFonts w:cs="Mekorot-Vilna"/>
        </w:rPr>
      </w:pPr>
      <w:r>
        <w:rPr>
          <w:rFonts w:cs="Mekorot-Vilna"/>
          <w:rtl/>
        </w:rPr>
        <w:t>- אשת כהן- קצת מעניין שלא מניחים שלא עשתה עבירה, שיותר מסת</w:t>
      </w:r>
      <w:r>
        <w:rPr>
          <w:rFonts w:cs="Mekorot-Vilna"/>
          <w:rtl/>
        </w:rPr>
        <w:t>בר שלא עברה משעברה. ותחשב.</w:t>
      </w:r>
    </w:p>
    <w:p w14:paraId="0D587BAB" w14:textId="77777777" w:rsidR="008B2FB8" w:rsidRDefault="00176FE7">
      <w:pPr>
        <w:rPr>
          <w:rFonts w:cs="Mekorot-Vilna"/>
        </w:rPr>
      </w:pPr>
      <w:r>
        <w:rPr>
          <w:rFonts w:cs="Mekorot-Vilna"/>
          <w:rtl/>
        </w:rPr>
        <w:t>- יש לדון למה מותרת לבעול כלל, ולא חוששים שפתחה פתוח ושנבעלת:</w:t>
      </w:r>
    </w:p>
    <w:p w14:paraId="168D0EBD" w14:textId="77777777" w:rsidR="008B2FB8" w:rsidRDefault="00176FE7">
      <w:pPr>
        <w:pStyle w:val="ListParagraph"/>
        <w:numPr>
          <w:ilvl w:val="0"/>
          <w:numId w:val="5"/>
        </w:numPr>
        <w:rPr>
          <w:rFonts w:cs="Mekorot-Vilna"/>
        </w:rPr>
      </w:pPr>
      <w:r>
        <w:rPr>
          <w:rFonts w:cs="Mekorot-Vilna"/>
          <w:rtl/>
        </w:rPr>
        <w:t>שלא מניחים שעברה עבירה. זה קשה מדין של אשת כהן.</w:t>
      </w:r>
    </w:p>
    <w:p w14:paraId="3C7B244E" w14:textId="77777777" w:rsidR="008B2FB8" w:rsidRDefault="00176FE7">
      <w:pPr>
        <w:pStyle w:val="ListParagraph"/>
        <w:numPr>
          <w:ilvl w:val="0"/>
          <w:numId w:val="5"/>
        </w:numPr>
        <w:rPr>
          <w:rFonts w:cs="Mekorot-Vilna"/>
        </w:rPr>
      </w:pPr>
      <w:r>
        <w:rPr>
          <w:rFonts w:cs="Mekorot-Vilna"/>
          <w:rtl/>
        </w:rPr>
        <w:t>שיש חזקה:</w:t>
      </w:r>
    </w:p>
    <w:p w14:paraId="5B2C8E4A" w14:textId="77777777" w:rsidR="008B2FB8" w:rsidRDefault="00176FE7">
      <w:pPr>
        <w:pStyle w:val="ListParagraph"/>
        <w:numPr>
          <w:ilvl w:val="1"/>
          <w:numId w:val="5"/>
        </w:numPr>
        <w:rPr>
          <w:rFonts w:cs="Mekorot-Vilna"/>
        </w:rPr>
      </w:pPr>
      <w:r>
        <w:rPr>
          <w:rFonts w:cs="Mekorot-Vilna"/>
          <w:rtl/>
        </w:rPr>
        <w:t xml:space="preserve">חזקת בתולה. קשה, שתאסר אחר ביאה ראשונה. </w:t>
      </w:r>
    </w:p>
    <w:p w14:paraId="575B916F" w14:textId="77777777" w:rsidR="008B2FB8" w:rsidRDefault="00176FE7">
      <w:pPr>
        <w:pStyle w:val="ListParagraph"/>
        <w:numPr>
          <w:ilvl w:val="1"/>
          <w:numId w:val="5"/>
        </w:numPr>
        <w:rPr>
          <w:rFonts w:cs="Mekorot-Vilna"/>
        </w:rPr>
      </w:pPr>
      <w:r>
        <w:rPr>
          <w:rFonts w:cs="Mekorot-Vilna"/>
          <w:rtl/>
        </w:rPr>
        <w:t>חזקת היתר.</w:t>
      </w:r>
    </w:p>
    <w:p w14:paraId="6EE74662" w14:textId="77777777" w:rsidR="008B2FB8" w:rsidRDefault="00176FE7">
      <w:pPr>
        <w:rPr>
          <w:rFonts w:cs="Mekorot-Vilna"/>
        </w:rPr>
      </w:pPr>
      <w:r>
        <w:rPr>
          <w:rFonts w:cs="Mekorot-Vilna"/>
          <w:rtl/>
        </w:rPr>
        <w:t>- יש לדון למה הולכים אחר חזקה. דבר ראשון, יש להעיר שלכאו'</w:t>
      </w:r>
      <w:r>
        <w:rPr>
          <w:rFonts w:cs="Mekorot-Vilna"/>
          <w:rtl/>
        </w:rPr>
        <w:t xml:space="preserve">, יש לדון אם צריכים חזקה להקל, להחמיר, או לעשות שניהם. לכאו', מצאנו בוודאי חומרות בספק, כמו חיוב אשם תלוי וטומאה ברשות היחיד. גם מצאנו קולות, כמו טומאה ברשות הרבים. גם מצאנו דין ממון, שיש בו הלכה שאין פוסקים כשיש ספק. (דנים אם חזקה שייכת שם, שדנים אם חזקת </w:t>
      </w:r>
      <w:r>
        <w:rPr>
          <w:rFonts w:cs="Mekorot-Vilna"/>
          <w:rtl/>
        </w:rPr>
        <w:t>מרי קמא הוא מדין חזקה או לא.)</w:t>
      </w:r>
    </w:p>
    <w:p w14:paraId="39840F7E" w14:textId="77777777" w:rsidR="008B2FB8" w:rsidRDefault="00176FE7">
      <w:pPr>
        <w:rPr>
          <w:rFonts w:cs="Mekorot-Vilna"/>
        </w:rPr>
      </w:pPr>
      <w:r>
        <w:rPr>
          <w:rFonts w:cs="Mekorot-Vilna"/>
          <w:rtl/>
        </w:rPr>
        <w:t>אז, לכאו', ייצא שצריך חזקה שיחמיר ושיקל. אבל, עדיין נוכל לומר שיש סיבה רק למין אחד של חזקה, וכל השאר באים אגבו. אז, נפרש ככה:</w:t>
      </w:r>
    </w:p>
    <w:p w14:paraId="1A533236" w14:textId="77777777" w:rsidR="008B2FB8" w:rsidRDefault="00176FE7">
      <w:pPr>
        <w:pStyle w:val="ListParagraph"/>
        <w:numPr>
          <w:ilvl w:val="0"/>
          <w:numId w:val="6"/>
        </w:numPr>
        <w:rPr>
          <w:rFonts w:cs="Mekorot-Vilna"/>
        </w:rPr>
      </w:pPr>
      <w:r>
        <w:rPr>
          <w:rFonts w:cs="Mekorot-Vilna"/>
          <w:rtl/>
        </w:rPr>
        <w:t>חזקה הוא סיבה להקל.</w:t>
      </w:r>
    </w:p>
    <w:p w14:paraId="04BA0881" w14:textId="77777777" w:rsidR="008B2FB8" w:rsidRDefault="00176FE7">
      <w:pPr>
        <w:pStyle w:val="ListParagraph"/>
        <w:numPr>
          <w:ilvl w:val="1"/>
          <w:numId w:val="6"/>
        </w:numPr>
        <w:rPr>
          <w:rFonts w:cs="Mekorot-Vilna"/>
        </w:rPr>
      </w:pPr>
      <w:r>
        <w:rPr>
          <w:rFonts w:cs="Mekorot-Vilna"/>
          <w:rtl/>
        </w:rPr>
        <w:t>יותר קשה להקל על מה שהיה כבר מותר. יש לדון למה:</w:t>
      </w:r>
    </w:p>
    <w:p w14:paraId="6FE4E9E5" w14:textId="77777777" w:rsidR="008B2FB8" w:rsidRDefault="00176FE7">
      <w:pPr>
        <w:pStyle w:val="ListParagraph"/>
        <w:numPr>
          <w:ilvl w:val="2"/>
          <w:numId w:val="6"/>
        </w:numPr>
        <w:rPr>
          <w:rFonts w:cs="Mekorot-Vilna"/>
        </w:rPr>
      </w:pPr>
      <w:r>
        <w:rPr>
          <w:rFonts w:cs="Mekorot-Vilna"/>
          <w:rtl/>
        </w:rPr>
        <w:t>אולי מפני שיותר רוצה אותו.</w:t>
      </w:r>
    </w:p>
    <w:p w14:paraId="3BEDD666" w14:textId="77777777" w:rsidR="008B2FB8" w:rsidRDefault="00176FE7">
      <w:pPr>
        <w:pStyle w:val="ListParagraph"/>
        <w:numPr>
          <w:ilvl w:val="2"/>
          <w:numId w:val="6"/>
        </w:numPr>
        <w:rPr>
          <w:rFonts w:cs="Mekorot-Vilna"/>
        </w:rPr>
      </w:pPr>
      <w:r>
        <w:rPr>
          <w:rFonts w:cs="Mekorot-Vilna"/>
          <w:rtl/>
        </w:rPr>
        <w:t>מפני שעוד עכשיו חושב עליו להיות מותר, וקשה לשנות את המחשבה שלו.</w:t>
      </w:r>
    </w:p>
    <w:p w14:paraId="2E46E996" w14:textId="77777777" w:rsidR="008B2FB8" w:rsidRDefault="00176FE7">
      <w:pPr>
        <w:pStyle w:val="ListParagraph"/>
        <w:ind w:left="2160"/>
        <w:rPr>
          <w:rFonts w:cs="Mekorot-Vilna"/>
        </w:rPr>
      </w:pPr>
      <w:r>
        <w:rPr>
          <w:rFonts w:cs="Mekorot-Vilna"/>
          <w:rtl/>
        </w:rPr>
        <w:t>זה מניח שבני אדם חושבים על דבר לעמוד בחזקתו. יש לדון למה עושים כן, אבל נראה שזה נכון.</w:t>
      </w:r>
    </w:p>
    <w:p w14:paraId="717BF3DC" w14:textId="77777777" w:rsidR="008B2FB8" w:rsidRDefault="00176FE7">
      <w:pPr>
        <w:pStyle w:val="ListParagraph"/>
        <w:numPr>
          <w:ilvl w:val="0"/>
          <w:numId w:val="6"/>
        </w:numPr>
        <w:rPr>
          <w:rFonts w:cs="Mekorot-Vilna"/>
        </w:rPr>
      </w:pPr>
      <w:r>
        <w:rPr>
          <w:rFonts w:cs="Mekorot-Vilna"/>
          <w:rtl/>
        </w:rPr>
        <w:t>חזקה הוא סיבה להחמיר.</w:t>
      </w:r>
    </w:p>
    <w:p w14:paraId="3B472CFE" w14:textId="77777777" w:rsidR="008B2FB8" w:rsidRDefault="00176FE7">
      <w:pPr>
        <w:pStyle w:val="ListParagraph"/>
        <w:numPr>
          <w:ilvl w:val="1"/>
          <w:numId w:val="6"/>
        </w:numPr>
        <w:rPr>
          <w:rFonts w:cs="Mekorot-Vilna"/>
        </w:rPr>
      </w:pPr>
      <w:r>
        <w:rPr>
          <w:rFonts w:cs="Mekorot-Vilna"/>
          <w:rtl/>
        </w:rPr>
        <w:t>יותר קל להחמיר על מה שהיה כבר אסור. (יש לומר כשני צדדים שכתבנו לעיל.)</w:t>
      </w:r>
    </w:p>
    <w:p w14:paraId="3495DFAB" w14:textId="77777777" w:rsidR="008B2FB8" w:rsidRDefault="00176FE7">
      <w:pPr>
        <w:pStyle w:val="ListParagraph"/>
        <w:numPr>
          <w:ilvl w:val="0"/>
          <w:numId w:val="6"/>
        </w:numPr>
        <w:rPr>
          <w:rFonts w:cs="Mekorot-Vilna"/>
        </w:rPr>
      </w:pPr>
      <w:r>
        <w:rPr>
          <w:rFonts w:cs="Mekorot-Vilna"/>
          <w:rtl/>
        </w:rPr>
        <w:t xml:space="preserve">חזקה הוא </w:t>
      </w:r>
      <w:r>
        <w:rPr>
          <w:rFonts w:cs="Mekorot-Vilna"/>
          <w:rtl/>
        </w:rPr>
        <w:t>סיבה להקל ולהחמיר.</w:t>
      </w:r>
    </w:p>
    <w:p w14:paraId="74B28353" w14:textId="77777777" w:rsidR="008B2FB8" w:rsidRDefault="00176FE7">
      <w:pPr>
        <w:pStyle w:val="ListParagraph"/>
        <w:numPr>
          <w:ilvl w:val="1"/>
          <w:numId w:val="6"/>
        </w:numPr>
        <w:rPr>
          <w:rFonts w:cs="Mekorot-Vilna"/>
        </w:rPr>
      </w:pPr>
      <w:r>
        <w:rPr>
          <w:rFonts w:cs="Mekorot-Vilna"/>
          <w:rtl/>
        </w:rPr>
        <w:t>עושים כמו שבני אדם מדרהרים. יש לדון למה יהיה כן.</w:t>
      </w:r>
    </w:p>
    <w:p w14:paraId="7F65100B" w14:textId="77777777" w:rsidR="008B2FB8" w:rsidRDefault="00176FE7">
      <w:pPr>
        <w:pStyle w:val="ListParagraph"/>
        <w:numPr>
          <w:ilvl w:val="1"/>
          <w:numId w:val="6"/>
        </w:numPr>
        <w:rPr>
          <w:rFonts w:cs="Mekorot-Vilna"/>
        </w:rPr>
      </w:pPr>
      <w:r>
        <w:rPr>
          <w:rFonts w:cs="Mekorot-Vilna"/>
          <w:rtl/>
        </w:rPr>
        <w:t>אולי מה שהיה דבר הוא סיבה קצת לתת לו אותו דין עכשיו. כיון שרק זה ידוע לנו בוודאי, כמו כן אנו עושים.</w:t>
      </w:r>
    </w:p>
    <w:p w14:paraId="632570CD" w14:textId="77777777" w:rsidR="008B2FB8" w:rsidRDefault="00176FE7">
      <w:pPr>
        <w:pStyle w:val="ListParagraph"/>
        <w:numPr>
          <w:ilvl w:val="1"/>
          <w:numId w:val="6"/>
        </w:numPr>
        <w:rPr>
          <w:rFonts w:cs="Mekorot-Vilna"/>
        </w:rPr>
      </w:pPr>
      <w:r>
        <w:rPr>
          <w:rFonts w:cs="Mekorot-Vilna"/>
          <w:rtl/>
        </w:rPr>
        <w:t>אולי יש להניח חזקה על פי רוב, שרוב פעמים, דברים לא משתנים. אז, על כל רגע ורגע, מניחים של</w:t>
      </w:r>
      <w:r>
        <w:rPr>
          <w:rFonts w:cs="Mekorot-Vilna"/>
          <w:rtl/>
        </w:rPr>
        <w:t>א נשתנה על פי ורב. ויש להעיר שרוב עדיף מחזקה. אז, צריך לבאר, לפי צד, זה, איך זה אפשר, ולמה אינם אותו דבר. אולי הוא מפני שכאן יכולים לצרף מיעוטים.</w:t>
      </w:r>
    </w:p>
    <w:p w14:paraId="2E655D96" w14:textId="77777777" w:rsidR="008B2FB8" w:rsidRDefault="00176FE7">
      <w:pPr>
        <w:rPr>
          <w:rFonts w:cs="Mekorot-Vilna"/>
        </w:rPr>
      </w:pPr>
      <w:r>
        <w:rPr>
          <w:rFonts w:cs="Mekorot-Vilna"/>
          <w:rtl/>
        </w:rPr>
        <w:lastRenderedPageBreak/>
        <w:t>גם אפשר שתורה לא רצה להחמיר על כל ספיקות, שזה היה קשה ביותר, ולא רצה להקל על כולם, שזה היה קל ביותר. אז, אמר ה</w:t>
      </w:r>
      <w:r>
        <w:rPr>
          <w:rFonts w:cs="Mekorot-Vilna"/>
          <w:rtl/>
        </w:rPr>
        <w:t>בחנה זה. ותחשב. גם אפשר שלא רצה להחמיר על כולם לא מפני שאז כל דיני תורה יהיו קשות ביותר, אלא מפני שנמצא עליהם צורך להחמיר- והוא אותו טירחא של כל מצווה- בלי אותו הנאה- שיש רק ספק שיש איסור. אז, כדי לקיים מה שיש רק ספק שיהיה איסור, גם אסר רק מקצת מהם. נקט שא</w:t>
      </w:r>
      <w:r>
        <w:rPr>
          <w:rFonts w:cs="Mekorot-Vilna"/>
          <w:rtl/>
        </w:rPr>
        <w:t>ותו מקצת הוא המקצת שיש בהם חזקה. ויש לדון, שאז יש ספק שאינו שקול, ועדיין יש אותו רישיא"ו בין טורח לשכר. ותחשב. ויש לדון, שאולי מה שיש יכולת יותר שיש שכר בכל אותו החצי הוא המשנה הדין. ותחשב.</w:t>
      </w:r>
    </w:p>
    <w:p w14:paraId="01C419AA" w14:textId="77777777" w:rsidR="008B2FB8" w:rsidRDefault="00176FE7">
      <w:pPr>
        <w:rPr>
          <w:rFonts w:cs="Mekorot-Vilna"/>
        </w:rPr>
      </w:pPr>
      <w:r>
        <w:rPr>
          <w:rFonts w:cs="Mekorot-Vilna"/>
          <w:rtl/>
        </w:rPr>
        <w:t xml:space="preserve">- בקושיית גמ' שס"ב הוא, יש לדון אם מקשה שאינו אומר שהוא אסור (ואז </w:t>
      </w:r>
      <w:r>
        <w:rPr>
          <w:rFonts w:cs="Mekorot-Vilna"/>
          <w:rtl/>
        </w:rPr>
        <w:t>אינו נאמן) או שנאמן, אבל אינו אומר שהוא אסור.</w:t>
      </w:r>
    </w:p>
    <w:p w14:paraId="5B193DE3" w14:textId="77777777" w:rsidR="008B2FB8" w:rsidRDefault="00176FE7">
      <w:pPr>
        <w:rPr>
          <w:rFonts w:cs="Mekorot-Vilna"/>
        </w:rPr>
      </w:pPr>
      <w:r>
        <w:rPr>
          <w:rFonts w:cs="Mekorot-Vilna"/>
          <w:rtl/>
        </w:rPr>
        <w:t>- לא כל כך פשוט, לצד שני, אם קושיה זה מוכרחת. היה אפשר לטעון שכיון שהוא אומר שהוא אסור, די לאסור. אולי מניחים שאף הוא ידע ס"ס. ויש לדון למה, אז, בא לבית דין. גם יש לדון אם הציור הוא שאמר לשון איסור בפירוש. ותחש</w:t>
      </w:r>
      <w:r>
        <w:rPr>
          <w:rFonts w:cs="Mekorot-Vilna"/>
          <w:rtl/>
        </w:rPr>
        <w:t>ב.</w:t>
      </w:r>
    </w:p>
    <w:p w14:paraId="726810F8" w14:textId="77777777" w:rsidR="008B2FB8" w:rsidRDefault="00176FE7">
      <w:pPr>
        <w:rPr>
          <w:rFonts w:cs="Mekorot-Vilna"/>
        </w:rPr>
      </w:pPr>
      <w:r>
        <w:rPr>
          <w:rFonts w:cs="Mekorot-Vilna"/>
          <w:rtl/>
        </w:rPr>
        <w:t>- נראה שאפשר שאילו אמר איסור היה נאמן, ודיון של ס"ס כאן הוא רק מה אמר, שאם בתוך דיבור שלו יוצא ס"ס, לא אמר איסור. אם לא יוצא ס"ס, אמר איסור, והיא נאסרת. אז, תלוי מה הוא חושב. אם יש ס"ס, אבל בוודאי לא חשוב עליו, יהיה מותר. ותחשב.</w:t>
      </w:r>
    </w:p>
    <w:p w14:paraId="1D5FF355" w14:textId="77777777" w:rsidR="008B2FB8" w:rsidRDefault="00176FE7">
      <w:pPr>
        <w:rPr>
          <w:rFonts w:cs="Mekorot-Vilna"/>
        </w:rPr>
      </w:pPr>
      <w:r>
        <w:rPr>
          <w:rtl/>
        </w:rPr>
        <w:t xml:space="preserve">- עיין בקצות הידוע (לד- </w:t>
      </w:r>
      <w:r>
        <w:rPr>
          <w:rtl/>
        </w:rPr>
        <w:t>ד). שם, מתחיל לדון אם פסול של עד שמקבל ממון כדי להעיד הוא מחמת חשש משקר או מחמת פסול דרבנן. לכאו’, על הצד שהוא חשש משקר, קשה למה לא פוסלים כל עד, שאולי נטל ממון, כדי להעיד בשקר. אלא, צריך לומר שלא חוששים שעדים יעשו כן (אולי בצירוף מה שלא חוששים שבעל דין יע</w:t>
      </w:r>
      <w:r>
        <w:rPr>
          <w:rtl/>
        </w:rPr>
        <w:t>שה כן, או שיאמינו זא“ז שירצו לעשות כן), ואז אף כאן לא נראה איך יהיה חשש. צריך לומר אחד משלש דברים. אפשר שמה שנתן ממון הוא קצת ראיה ששכר אותו להעיד בשקר, שלמה ישכר אותו להעיד באמת, כיון שהוא כבר חייב להעיד לו. ויש לדון בזה, שאם קשה לו מאד להעיד, מסתבר שישלם</w:t>
      </w:r>
      <w:r>
        <w:rPr>
          <w:rtl/>
        </w:rPr>
        <w:t xml:space="preserve"> לו מחמת טירחתו (ואולי אף חייב לו כפועל בטל). גם אפשר שמה שבית דין לא רואים את הממון הוא קצת ראיה שלא נתן ממון להם. לא נראה כן, שמסתמא מי שמשכיר עדים לשקר יעשה כיסוי טוב להשכרתו. ותחשב. גם אפשר שלא מניחים חששות על דברים שקרים. זה אומר שאם יודעים שיש ממון ש</w:t>
      </w:r>
      <w:r>
        <w:rPr>
          <w:rtl/>
        </w:rPr>
        <w:t>ניתן, אז יכולים לדון למה ניתן הממון. אבל, אם אין רואים ממון שניתן, לא נחוש לומר שאולי ממון ניתן. לא כל כך פשוט לי למה לא, אבל אולי כן הוא הדין. (ונראה שיש צד אחר, והוא שיש ספק ספיקא, שאולי לא קבל ממון, ואף אם קבל, אולי לא היה להעיד בשקר. זה קצת מעניין, שאי</w:t>
      </w:r>
      <w:r>
        <w:rPr>
          <w:rtl/>
        </w:rPr>
        <w:t>ן הנידון אם קבל ממון להעיד בשקר, אלא אם מעיד בשקר. ותחשב. על כל פנים, נראה שאין כל כך הוכחה לזה, כיון שאפשר להיות שלא קבל. ותחשב.)</w:t>
      </w:r>
    </w:p>
    <w:p w14:paraId="0506B376" w14:textId="77777777" w:rsidR="008B2FB8" w:rsidRDefault="00176FE7">
      <w:pPr>
        <w:rPr>
          <w:rFonts w:cs="Mekorot-Vilna"/>
        </w:rPr>
      </w:pPr>
      <w:r>
        <w:rPr>
          <w:rtl/>
        </w:rPr>
        <w:t>על הצד שהוא מדרבנן, לא מבאר קצות למה הוא כן מדרבנן. אפשר שהוא חשש משקר. (אם כן, אותו שקלא וטריא קיים.) גם אפשר שהוא מפני שנרא</w:t>
      </w:r>
      <w:r>
        <w:rPr>
          <w:rtl/>
        </w:rPr>
        <w:t>ה לבני אדם שהוא משקר, ויאמרו שבית דין מקבלים עדות שקר. אז, נראה שאולי רק כאן, שבני אדם רואים נתינת ממון, יחשבו כן. ותחשב.</w:t>
      </w:r>
    </w:p>
    <w:p w14:paraId="6D1F7674" w14:textId="77777777" w:rsidR="008B2FB8" w:rsidRDefault="00176FE7">
      <w:pPr>
        <w:rPr>
          <w:rFonts w:cs="Mekorot-Vilna"/>
        </w:rPr>
      </w:pPr>
      <w:r>
        <w:rPr>
          <w:rtl/>
        </w:rPr>
        <w:t>עיין בראייה שמביא מגמ’ בכתובות. היה אפשר לומר ש“אם אמת“ ר"ל אם לא שכר אותם. כמו כן, יש לומר שהוא אם באים עדים אחרים, שלא שכר. ותחשב.</w:t>
      </w:r>
    </w:p>
    <w:p w14:paraId="6B103002" w14:textId="77777777" w:rsidR="008B2FB8" w:rsidRDefault="00176FE7">
      <w:pPr>
        <w:rPr>
          <w:rFonts w:cs="Mekorot-Vilna"/>
        </w:rPr>
      </w:pPr>
      <w:r>
        <w:rPr>
          <w:rtl/>
        </w:rPr>
        <w:t>ג</w:t>
      </w:r>
      <w:r>
        <w:rPr>
          <w:rtl/>
        </w:rPr>
        <w:t>ם יש להעיר שנראה שיש הרבה אופנים של עדים ששכר. ראשון, אפשר שרק רואים שניסה לשכור עדים אחרים. אולי זה יפסול כל עדים שבאים לו, כמש"א גמ’ בכתובות (אבל, שם אינו לענין עדים). כמו כן, יש לחלק במה שאומרים העדים שאומר ששכר אותם, אם אומרים שהוא התחיל לדבר עמהם או ה</w:t>
      </w:r>
      <w:r>
        <w:rPr>
          <w:rtl/>
        </w:rPr>
        <w:t>ם התחילו עמו, וכן כל לשון של הדיבור. אולי, אז, היה אפשר לחלק בין גמ’ כתובות לציור זה עפ“ז.</w:t>
      </w:r>
    </w:p>
    <w:p w14:paraId="670E9DE8" w14:textId="77777777" w:rsidR="008B2FB8" w:rsidRDefault="00176FE7">
      <w:pPr>
        <w:rPr>
          <w:rFonts w:cs="Mekorot-Vilna"/>
        </w:rPr>
      </w:pPr>
      <w:r>
        <w:rPr>
          <w:rtl/>
        </w:rPr>
        <w:t>צריך ביאור למה מקשים כלל בביאור של הודאת בעל דין כמאה עדים, ולמה לא אומרים ביאור פשוט, והוא שאין טענה, והוא כמו מה שאין בית דין דנים בכל בית של כל אדם. וצריך לומר שז</w:t>
      </w:r>
      <w:r>
        <w:rPr>
          <w:rtl/>
        </w:rPr>
        <w:t>ה לא די לגמור דין תורה כיון שבית דין כבר דנו בו. כמו כן, יש לומר שזה לא די לדחות עדים. (ויש לדון, שאף מגו לא די, כמו שמעורר הקצות. אז, אם מביא המגו לתירוץ, אלא שמקשה עליו, צריך לומר שלא היה קושייתו רק איך ידחה עדים.)</w:t>
      </w:r>
    </w:p>
    <w:p w14:paraId="36CCBDC0" w14:textId="77777777" w:rsidR="008B2FB8" w:rsidRDefault="00176FE7">
      <w:pPr>
        <w:rPr>
          <w:rFonts w:cs="Mekorot-Vilna"/>
        </w:rPr>
      </w:pPr>
      <w:r>
        <w:rPr>
          <w:rtl/>
        </w:rPr>
        <w:lastRenderedPageBreak/>
        <w:t>נראה שאפשר שהכל דרשו אותו קרא של הקצות,</w:t>
      </w:r>
      <w:r>
        <w:rPr>
          <w:rtl/>
        </w:rPr>
        <w:t xml:space="preserve"> אלא שסברו (מסברתם) שדין זה נכון רק אם כבר יש לו קצת נאמנות. לא כל כך פשוט למה יהיה נאמנות כלל לאדם על עצמו; לכאו’ הוא מושג כעין כוח הטענה, והוא שמה שאומר על עצמו הוא יותר חשוב, וממילא הוא יותר עושה הדין. אם כן, לכאו’, יש צד לומר שצריך לטעון כן על עצמו, וה</w:t>
      </w:r>
      <w:r>
        <w:rPr>
          <w:rtl/>
        </w:rPr>
        <w:t>וא לומר כן באופן שהוא קצת נאמן. אז, היה אפשר לפרש שהכל ידעו ברש"י של הקצות, ורק סברו שצריך נאמנות אחר להתחיל את זה. על פי זה, אז, יכולים, אולי, לתרץ לקושיית הקצות עליהם. ותחשב.</w:t>
      </w:r>
    </w:p>
    <w:p w14:paraId="67983AE0" w14:textId="77777777" w:rsidR="008B2FB8" w:rsidRDefault="00176FE7">
      <w:pPr>
        <w:rPr>
          <w:rFonts w:cs="Mekorot-Vilna"/>
        </w:rPr>
      </w:pPr>
      <w:r>
        <w:rPr>
          <w:rtl/>
        </w:rPr>
        <w:t>בצד שמחייב מחמת התחייבות, צריך לדון אם הוא התחייבות או נדר. נראה שהגדרים יהיו ח</w:t>
      </w:r>
      <w:r>
        <w:rPr>
          <w:rtl/>
        </w:rPr>
        <w:t>לוקים. ותחשב. ויש להעיר שנראה שני דברים מכאן- שלא יעשה יותר ממה שהתחייבות או נדר יכול לעשות, ושיכול לעשות כל מה שהתחייבות או נדר יכול לעשות. (ונראה מסתבר שיכול להיות או כזה או כזה. ויש לדון מה קורה אם שניהם שייכים, ויש נפק"מ ביניהם. ותחשב.)</w:t>
      </w:r>
    </w:p>
    <w:p w14:paraId="56179231" w14:textId="77777777" w:rsidR="008B2FB8" w:rsidRDefault="00176FE7">
      <w:pPr>
        <w:rPr>
          <w:rFonts w:cs="Mekorot-Vilna"/>
        </w:rPr>
      </w:pPr>
      <w:r>
        <w:rPr>
          <w:rtl/>
        </w:rPr>
        <w:t>ויש לדון למה יה</w:t>
      </w:r>
      <w:r>
        <w:rPr>
          <w:rtl/>
        </w:rPr>
        <w:t>יה התחייבות, אם הוא שמניחים שבא לומר שזהו האמת, אלא שרואים שרוצה כן, ממה שחושב שהוא האמת (ולא נראה כן, שאז הוא בטעות. יותר מזה, אז רוצה התוצאה אבל לא החלות, כיון שסובר שאין צורך לחלות.) או שמניחים שכוונתו לומר שכן הוא עושה, ולא שכן הוא האמת, שיודע שלא נאמן</w:t>
      </w:r>
      <w:r>
        <w:rPr>
          <w:rtl/>
        </w:rPr>
        <w:t xml:space="preserve"> הוא. ותחשב.</w:t>
      </w:r>
    </w:p>
    <w:p w14:paraId="61505470" w14:textId="77777777" w:rsidR="008B2FB8" w:rsidRDefault="00176FE7">
      <w:pPr>
        <w:rPr>
          <w:rFonts w:cs="Mekorot-Vilna"/>
        </w:rPr>
      </w:pPr>
      <w:r>
        <w:rPr>
          <w:rtl/>
        </w:rPr>
        <w:t>במגו שמבאר, יש להעיר שבדרך כלל במגו, מניחים שאמר מה שאמר, ולא טענה אחרת, כיון שרוצה רק להגיד האמת, ולא שקר- ולכן הוא נאמן. אבל, כאן, לא היה צריך לטעון שקר. אז, לא פשוט למה בחר לעשות כן, ואולי אותו סיבה שבחר לעשות כן אפשר אף אם משקר. אולי מניחי</w:t>
      </w:r>
      <w:r>
        <w:rPr>
          <w:rtl/>
        </w:rPr>
        <w:t xml:space="preserve">ם שהוא מפני שהוא קצת כשקר לתת מתנה של דבר שאינו שלו. ותחשב. אם מגו הוא כוח הטענה, אינו כל כך קשה. אבל, אז יש להעיר שכאן אין לו כוח של טענה אחרת, אלא של דרך אחר לנצח. לכאו’, יש לדון אם יש כוח הטענה כיון שמה שאומר חשוב כיון שהוא יכול לפעול תוצאה של פסק דינו </w:t>
      </w:r>
      <w:r>
        <w:rPr>
          <w:rtl/>
        </w:rPr>
        <w:t>(ואף בזה, יש לדון, שכאן, התוצאה קצת חלוק, שיהיה, אז, מתנה) או כיון שיכול להיות נאמן בדבר אחר שיעשה אותו הדין. הרי, כאן, אין צד שני קיים, ואז אין לומר שטענתו יותר חזק. ותחשב.</w:t>
      </w:r>
    </w:p>
    <w:p w14:paraId="61C44971" w14:textId="77777777" w:rsidR="008B2FB8" w:rsidRDefault="00176FE7">
      <w:pPr>
        <w:rPr>
          <w:rFonts w:cs="Mekorot-Vilna"/>
        </w:rPr>
      </w:pPr>
      <w:r>
        <w:rPr>
          <w:rtl/>
        </w:rPr>
        <w:t xml:space="preserve">עיין בקושיית קצות. אולי יש להתחיל תי’ לומר שיש עדים, ועדים נאמנים. אז, נמצא שהוא, </w:t>
      </w:r>
      <w:r>
        <w:rPr>
          <w:rtl/>
        </w:rPr>
        <w:t>באמת, לווה ופרע. אז, קשה למה טען שלא לווה, כיון שידע שפרע, וידע (על כל פנים, חשש) שהיו עדים לזה. אז, אולי מזה רואים מתנה לכשימצא הוכחה שלווה. ותחשב.</w:t>
      </w:r>
    </w:p>
    <w:p w14:paraId="42425E73" w14:textId="77777777" w:rsidR="008B2FB8" w:rsidRDefault="00176FE7">
      <w:pPr>
        <w:rPr>
          <w:rFonts w:cs="Mekorot-Vilna"/>
        </w:rPr>
      </w:pPr>
      <w:r>
        <w:rPr>
          <w:rtl/>
        </w:rPr>
        <w:t xml:space="preserve">עיין בדרשה של ”כי הוא זה.“ מרש"י מבואר שהוא מפני שבלי זה לא היה הודאה. נמצא שאף אם מודה, כיון שלא נאמן, </w:t>
      </w:r>
      <w:r>
        <w:rPr>
          <w:rtl/>
        </w:rPr>
        <w:t>יהיה כמעיז פניו. ואם תאמר מה לו לעשות אז. ויש לומר שצריך לשלם מיד. מעניין, שאפשר שבהילך אין שבועה. אם זה מפני שיש בו העזאת פנים (ולא נראה כן), אז יהיה קשה, שאין דרך שלא להעזות פנים. ותחשב.</w:t>
      </w:r>
    </w:p>
    <w:p w14:paraId="072E38EC" w14:textId="77777777" w:rsidR="008B2FB8" w:rsidRDefault="00176FE7">
      <w:pPr>
        <w:rPr>
          <w:rFonts w:cs="Mekorot-Vilna"/>
        </w:rPr>
      </w:pPr>
      <w:r>
        <w:rPr>
          <w:rtl/>
        </w:rPr>
        <w:t>עיין במה שכ’ גבי נאמנות לזכות. לכאו’, קושייתו הוא ל"ל נלמד לזכות מל</w:t>
      </w:r>
      <w:r>
        <w:rPr>
          <w:rtl/>
        </w:rPr>
        <w:t>חוב. מת’ שאין זה דין שלו. צריך ביאור למה לא; לפעמים הוא דבר שיכול לעשות, וזה יותר דין אצלו. ותחשב. אולי צריך לומר שהוא שלו באופן אחר, ואז אי אפשר ללמדו מלחוב. אגב, צריך ביאור למה יכול ללמוד איסור מממון בזה. ותחשב.</w:t>
      </w:r>
    </w:p>
    <w:p w14:paraId="134A72BB" w14:textId="77777777" w:rsidR="008B2FB8" w:rsidRDefault="00176FE7">
      <w:pPr>
        <w:rPr>
          <w:rFonts w:cs="Mekorot-Vilna"/>
        </w:rPr>
      </w:pPr>
      <w:r>
        <w:rPr>
          <w:rtl/>
        </w:rPr>
        <w:t xml:space="preserve">עיין במה שמביא מן הש“ך. צריך ביאור למה לא </w:t>
      </w:r>
      <w:r>
        <w:rPr>
          <w:rtl/>
        </w:rPr>
        <w:t>יהיה קרוב אז, שהוא עדיין קרוב לעצמו. יש לומר שאז אינו בעל הדין, שאינו טוען. אז, אינו פסול. ותחשב.</w:t>
      </w:r>
    </w:p>
    <w:p w14:paraId="2A201DDE" w14:textId="77777777" w:rsidR="008B2FB8" w:rsidRDefault="00176FE7">
      <w:pPr>
        <w:rPr>
          <w:rFonts w:cs="Mekorot-Vilna"/>
        </w:rPr>
      </w:pPr>
      <w:r>
        <w:rPr>
          <w:rtl/>
        </w:rPr>
        <w:t>עיין בקושיית קצות על פשט שלו. אף אילו יש לנו סיבה לחשוב שהקרא מיותר, ואז לא רק מלמד מגו, עדיין יש לומר שנותן לו נאמנות כעדים, אבל לא נאמנות יותר מעדים. ותחשב.</w:t>
      </w:r>
    </w:p>
    <w:sectPr w:rsidR="008B2FB8">
      <w:pgSz w:w="12240" w:h="15840"/>
      <w:pgMar w:top="1440" w:right="1800" w:bottom="1440" w:left="1800" w:header="0" w:footer="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5081C3" w14:textId="77777777" w:rsidR="00176FE7" w:rsidRDefault="00176FE7">
      <w:pPr>
        <w:spacing w:after="0" w:line="240" w:lineRule="auto"/>
      </w:pPr>
      <w:r>
        <w:separator/>
      </w:r>
    </w:p>
  </w:endnote>
  <w:endnote w:type="continuationSeparator" w:id="0">
    <w:p w14:paraId="518F6742" w14:textId="77777777" w:rsidR="00176FE7" w:rsidRDefault="00176F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Microsoft YaHei">
    <w:panose1 w:val="020B0503020204020204"/>
    <w:charset w:val="86"/>
    <w:family w:val="swiss"/>
    <w:pitch w:val="variable"/>
    <w:sig w:usb0="80000287" w:usb1="2ACF3C50" w:usb2="00000016" w:usb3="00000000" w:csb0="0004001F" w:csb1="00000000"/>
  </w:font>
  <w:font w:name="Shofar">
    <w:panose1 w:val="02000000000000000000"/>
    <w:charset w:val="00"/>
    <w:family w:val="auto"/>
    <w:pitch w:val="variable"/>
    <w:sig w:usb0="8000086F" w:usb1="4000204A" w:usb2="00000000" w:usb3="00000000" w:csb0="00000021" w:csb1="00000000"/>
  </w:font>
  <w:font w:name="Mekorot-Vilna">
    <w:panose1 w:val="02000503000000000000"/>
    <w:charset w:val="B1"/>
    <w:family w:val="auto"/>
    <w:pitch w:val="variable"/>
    <w:sig w:usb0="80000801" w:usb1="50002800" w:usb2="00000000" w:usb3="00000000" w:csb0="0000002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B69088" w14:textId="77777777" w:rsidR="00176FE7" w:rsidRDefault="00176FE7">
      <w:pPr>
        <w:rPr>
          <w:sz w:val="12"/>
        </w:rPr>
      </w:pPr>
      <w:r>
        <w:separator/>
      </w:r>
    </w:p>
  </w:footnote>
  <w:footnote w:type="continuationSeparator" w:id="0">
    <w:p w14:paraId="498E5F28" w14:textId="77777777" w:rsidR="00176FE7" w:rsidRDefault="00176FE7">
      <w:pPr>
        <w:rPr>
          <w:sz w:val="12"/>
        </w:rPr>
      </w:pPr>
      <w:r>
        <w:continuationSeparator/>
      </w:r>
    </w:p>
  </w:footnote>
  <w:footnote w:id="1">
    <w:p w14:paraId="22DC127A" w14:textId="77777777" w:rsidR="008B2FB8" w:rsidRDefault="00176FE7">
      <w:pPr>
        <w:pStyle w:val="FootnoteText"/>
      </w:pPr>
      <w:r>
        <w:rPr>
          <w:rStyle w:val="FootnoteCharacters"/>
        </w:rPr>
        <w:footnoteRef/>
      </w:r>
      <w:r>
        <w:rPr>
          <w:rtl/>
        </w:rPr>
        <w:t xml:space="preserve"> כן נראה מלשון גמ', שאומר "נאמן לאוסרה עליו."</w:t>
      </w:r>
    </w:p>
  </w:footnote>
  <w:footnote w:id="2">
    <w:p w14:paraId="6FBD9B5F" w14:textId="77777777" w:rsidR="008B2FB8" w:rsidRDefault="00176FE7">
      <w:pPr>
        <w:pStyle w:val="FootnoteText"/>
      </w:pPr>
      <w:r>
        <w:rPr>
          <w:rStyle w:val="FootnoteCharacters"/>
        </w:rPr>
        <w:footnoteRef/>
      </w:r>
      <w:r>
        <w:rPr>
          <w:rtl/>
        </w:rPr>
        <w:t xml:space="preserve"> ויש להעיר שאפשר לומר צד שלישי שבראשון קצת חלוק. אולי מחמת זה אינו ממש נאמן, אלא נאמן בעיני בני אדם. זה סיבה להאמין אותו בבית דין, כמו בצד ראשון. אולי, אז, יותר קל לומר על כעין זה שאף שיש</w:t>
      </w:r>
      <w:r>
        <w:rPr>
          <w:rtl/>
        </w:rPr>
        <w:t xml:space="preserve"> סיבה להאמין, לא נאמן, מבציור שיש ראיה שהוא אומר האמת. ותחשב.</w:t>
      </w:r>
    </w:p>
  </w:footnote>
  <w:footnote w:id="3">
    <w:p w14:paraId="57FE8F89" w14:textId="77777777" w:rsidR="008B2FB8" w:rsidRDefault="00176FE7">
      <w:pPr>
        <w:pStyle w:val="FootnoteText"/>
      </w:pPr>
      <w:r>
        <w:rPr>
          <w:rStyle w:val="FootnoteCharacters"/>
        </w:rPr>
        <w:footnoteRef/>
      </w:r>
      <w:r>
        <w:rPr>
          <w:rtl/>
        </w:rPr>
        <w:t xml:space="preserve"> היה אפשר לתלות אותו במחשבה על החפץ או במחשבה על המעשה. נראה יותר כצד שני, שנראה שמחשבתו יותר ישנה מעשה, כיון שהוא מעשה שלו, משישנה את החפץ. ותחשב.</w:t>
      </w:r>
    </w:p>
  </w:footnote>
  <w:footnote w:id="4">
    <w:p w14:paraId="5BD556B5" w14:textId="77777777" w:rsidR="008B2FB8" w:rsidRDefault="00176FE7">
      <w:pPr>
        <w:pStyle w:val="FootnoteText"/>
      </w:pPr>
      <w:r>
        <w:rPr>
          <w:rStyle w:val="FootnoteCharacters"/>
        </w:rPr>
        <w:footnoteRef/>
      </w:r>
      <w:r>
        <w:rPr>
          <w:rtl/>
        </w:rPr>
        <w:t xml:space="preserve"> ויש לדון בזה, שיש להעיר שלא כל ספק הוא ממש </w:t>
      </w:r>
      <w:r>
        <w:rPr>
          <w:rtl/>
        </w:rPr>
        <w:t>חצי חצי, אלא אולי יש ספק שרק לא נודע, ואז אולי אף ס"ס מהם לא נודע. ותחשב על זה.</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21CD5"/>
    <w:multiLevelType w:val="multilevel"/>
    <w:tmpl w:val="BE4ACA7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109545AC"/>
    <w:multiLevelType w:val="multilevel"/>
    <w:tmpl w:val="1A44F0B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40511F55"/>
    <w:multiLevelType w:val="multilevel"/>
    <w:tmpl w:val="910279E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50410ACD"/>
    <w:multiLevelType w:val="multilevel"/>
    <w:tmpl w:val="11680E2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59113C6A"/>
    <w:multiLevelType w:val="multilevel"/>
    <w:tmpl w:val="E20A288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6B9E6476"/>
    <w:multiLevelType w:val="multilevel"/>
    <w:tmpl w:val="88685F9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abstractNumId w:val="3"/>
  </w:num>
  <w:num w:numId="2">
    <w:abstractNumId w:val="1"/>
  </w:num>
  <w:num w:numId="3">
    <w:abstractNumId w:val="5"/>
  </w:num>
  <w:num w:numId="4">
    <w:abstractNumId w:val="4"/>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2FB8"/>
    <w:rsid w:val="0011482E"/>
    <w:rsid w:val="00176FE7"/>
    <w:rsid w:val="005B1C78"/>
    <w:rsid w:val="008B2FB8"/>
    <w:rsid w:val="00B07E95"/>
  </w:rsids>
  <m:mathPr>
    <m:mathFont m:val="Cambria Math"/>
    <m:brkBin m:val="before"/>
    <m:brkBinSub m:val="--"/>
    <m:smallFrac m:val="0"/>
    <m:dispDef/>
    <m:lMargin m:val="0"/>
    <m:rMargin m:val="0"/>
    <m:defJc m:val="centerGroup"/>
    <m:wrapIndent m:val="1440"/>
    <m:intLim m:val="subSup"/>
    <m:naryLim m:val="undOvr"/>
  </m:mathPr>
  <w:themeFontLang w:val="en-US" w:eastAsi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E8853"/>
  <w15:docId w15:val="{09BE0E53-4EDD-4598-B2C1-6B6A187E6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7BEC"/>
    <w:pPr>
      <w:bidi/>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TextChar">
    <w:name w:val="Footnote Text Char"/>
    <w:basedOn w:val="DefaultParagraphFont"/>
    <w:link w:val="FootnoteText"/>
    <w:uiPriority w:val="99"/>
    <w:semiHidden/>
    <w:qFormat/>
    <w:rsid w:val="002647C9"/>
    <w:rPr>
      <w:sz w:val="20"/>
      <w:szCs w:val="20"/>
    </w:rPr>
  </w:style>
  <w:style w:type="character" w:customStyle="1" w:styleId="FootnoteCharacters">
    <w:name w:val="Footnote Characters"/>
    <w:basedOn w:val="DefaultParagraphFont"/>
    <w:uiPriority w:val="99"/>
    <w:semiHidden/>
    <w:unhideWhenUsed/>
    <w:qFormat/>
    <w:rsid w:val="002647C9"/>
    <w:rPr>
      <w:vertAlign w:val="superscript"/>
    </w:rPr>
  </w:style>
  <w:style w:type="character" w:styleId="FootnoteReference">
    <w:name w:val="footnote reference"/>
    <w:rPr>
      <w:vertAlign w:val="superscript"/>
    </w:rPr>
  </w:style>
  <w:style w:type="character" w:styleId="LineNumber">
    <w:name w:val="line number"/>
  </w:style>
  <w:style w:type="character" w:styleId="EndnoteReference">
    <w:name w:val="endnote reference"/>
    <w:rPr>
      <w:vertAlign w:val="superscript"/>
    </w:rPr>
  </w:style>
  <w:style w:type="character" w:customStyle="1" w:styleId="EndnoteCharacters">
    <w:name w:val="Endnote Characters"/>
    <w:qFormat/>
  </w:style>
  <w:style w:type="paragraph" w:customStyle="1" w:styleId="Heading">
    <w:name w:val="Heading"/>
    <w:basedOn w:val="Normal"/>
    <w:next w:val="BodyText"/>
    <w:qFormat/>
    <w:pPr>
      <w:keepNext/>
      <w:spacing w:before="240" w:after="120"/>
    </w:pPr>
    <w:rPr>
      <w:rFonts w:ascii="Liberation Sans" w:eastAsia="Microsoft YaHei" w:hAnsi="Liberation Sans" w:cs="Shofar"/>
      <w:sz w:val="28"/>
      <w:szCs w:val="28"/>
    </w:rPr>
  </w:style>
  <w:style w:type="paragraph" w:styleId="BodyText">
    <w:name w:val="Body Text"/>
    <w:basedOn w:val="Normal"/>
    <w:pPr>
      <w:spacing w:after="140" w:line="276" w:lineRule="auto"/>
    </w:pPr>
  </w:style>
  <w:style w:type="paragraph" w:styleId="List">
    <w:name w:val="List"/>
    <w:basedOn w:val="BodyText"/>
    <w:rPr>
      <w:rFonts w:cs="Shofar"/>
    </w:rPr>
  </w:style>
  <w:style w:type="paragraph" w:styleId="Caption">
    <w:name w:val="caption"/>
    <w:basedOn w:val="Normal"/>
    <w:qFormat/>
    <w:pPr>
      <w:suppressLineNumbers/>
      <w:spacing w:before="120" w:after="120"/>
    </w:pPr>
    <w:rPr>
      <w:rFonts w:cs="Shofar"/>
      <w:i/>
      <w:iCs/>
      <w:sz w:val="24"/>
      <w:szCs w:val="24"/>
    </w:rPr>
  </w:style>
  <w:style w:type="paragraph" w:customStyle="1" w:styleId="Index">
    <w:name w:val="Index"/>
    <w:basedOn w:val="Normal"/>
    <w:qFormat/>
    <w:pPr>
      <w:suppressLineNumbers/>
    </w:pPr>
    <w:rPr>
      <w:rFonts w:cs="Shofar"/>
    </w:rPr>
  </w:style>
  <w:style w:type="paragraph" w:styleId="ListParagraph">
    <w:name w:val="List Paragraph"/>
    <w:basedOn w:val="Normal"/>
    <w:uiPriority w:val="34"/>
    <w:qFormat/>
    <w:rsid w:val="009B72FC"/>
    <w:pPr>
      <w:ind w:left="720"/>
      <w:contextualSpacing/>
    </w:pPr>
  </w:style>
  <w:style w:type="paragraph" w:styleId="FootnoteText">
    <w:name w:val="footnote text"/>
    <w:basedOn w:val="Normal"/>
    <w:link w:val="FootnoteTextChar"/>
    <w:uiPriority w:val="99"/>
    <w:semiHidden/>
    <w:unhideWhenUsed/>
    <w:rsid w:val="002647C9"/>
    <w:pPr>
      <w:spacing w:after="0" w:line="240" w:lineRule="auto"/>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TotalTime>
  <Pages>5</Pages>
  <Words>2174</Words>
  <Characters>12396</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שי הכהן</dc:creator>
  <dc:description/>
  <cp:lastModifiedBy>Admin</cp:lastModifiedBy>
  <cp:revision>49</cp:revision>
  <dcterms:created xsi:type="dcterms:W3CDTF">2023-12-05T07:35:00Z</dcterms:created>
  <dcterms:modified xsi:type="dcterms:W3CDTF">2024-05-10T15:39:00Z</dcterms:modified>
  <dc:language>en-US</dc:language>
</cp:coreProperties>
</file>