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06F3CE" w14:textId="77777777" w:rsidR="00FA6ECB" w:rsidRDefault="009F7B0E">
      <w:r>
        <w:rPr>
          <w:b/>
          <w:rtl/>
        </w:rPr>
        <w:t>האומר פתח פתוח מצאתי</w:t>
      </w:r>
      <w:r>
        <w:rPr>
          <w:rtl/>
        </w:rPr>
        <w:t>. וטענת דמים אין לו</w:t>
      </w:r>
      <w:r>
        <w:rPr>
          <w:rStyle w:val="FootnoteReference"/>
          <w:rtl/>
        </w:rPr>
        <w:footnoteReference w:id="1"/>
      </w:r>
      <w:r>
        <w:rPr>
          <w:rtl/>
        </w:rPr>
        <w:t xml:space="preserve"> כגון שהיא ממשפחת דורקטי שאין להם דם בתולים כדלקמן (דף י:) או שנאבדה ממנו מפה ולא ידע אם היה דם אם לאו אבל זאת ברורה לו שפתח פתוח מצא:</w:t>
      </w:r>
      <w:r>
        <w:rPr>
          <w:b/>
          <w:rtl/>
        </w:rPr>
        <w:t xml:space="preserve"> </w:t>
      </w:r>
    </w:p>
    <w:p w14:paraId="50C3F928" w14:textId="77777777" w:rsidR="00FA6ECB" w:rsidRDefault="009F7B0E">
      <w:r>
        <w:rPr>
          <w:b/>
          <w:rtl/>
        </w:rPr>
        <w:t>נאמן לאוסרה עליו</w:t>
      </w:r>
      <w:r>
        <w:rPr>
          <w:rtl/>
        </w:rPr>
        <w:t>. ואע''פ שאין הדבר הזה יכול להתברר אלא על פיו</w:t>
      </w:r>
      <w:r>
        <w:rPr>
          <w:rStyle w:val="FootnoteReference"/>
          <w:rtl/>
        </w:rPr>
        <w:footnoteReference w:id="2"/>
      </w:r>
      <w:r>
        <w:rPr>
          <w:rtl/>
        </w:rPr>
        <w:t xml:space="preserve"> לגבי נפשיה הוי מהימן לשוייה עליה חתיכה דאיסורא אבל להפסידה כתובתה לא מהימן:</w:t>
      </w:r>
    </w:p>
    <w:p w14:paraId="093A4CC6" w14:textId="77777777" w:rsidR="00FA6ECB" w:rsidRDefault="009F7B0E">
      <w:r>
        <w:rPr>
          <w:b/>
          <w:rtl/>
        </w:rPr>
        <w:t>ואמאי</w:t>
      </w:r>
      <w:r>
        <w:rPr>
          <w:rtl/>
        </w:rPr>
        <w:t>. מיתסרא עליה אפי' אי מהימנת ליה דנבעלה</w:t>
      </w:r>
      <w:r>
        <w:rPr>
          <w:rStyle w:val="FootnoteReference"/>
          <w:rtl/>
        </w:rPr>
        <w:footnoteReference w:id="3"/>
      </w:r>
      <w:r>
        <w:rPr>
          <w:rtl/>
        </w:rPr>
        <w:t>:</w:t>
      </w:r>
      <w:r>
        <w:rPr>
          <w:b/>
          <w:rtl/>
        </w:rPr>
        <w:t xml:space="preserve"> </w:t>
      </w:r>
    </w:p>
    <w:p w14:paraId="1CA00838" w14:textId="77777777" w:rsidR="00FA6ECB" w:rsidRDefault="009F7B0E">
      <w:r>
        <w:rPr>
          <w:b/>
          <w:rtl/>
        </w:rPr>
        <w:t>ספק תחתיו</w:t>
      </w:r>
      <w:r>
        <w:rPr>
          <w:rtl/>
        </w:rPr>
        <w:t>. משנתארסה זינתה:</w:t>
      </w:r>
    </w:p>
    <w:p w14:paraId="42682057" w14:textId="77777777" w:rsidR="00FA6ECB" w:rsidRDefault="009F7B0E">
      <w:r>
        <w:rPr>
          <w:b/>
          <w:rtl/>
        </w:rPr>
        <w:t>ספק אין תחתיו</w:t>
      </w:r>
      <w:r>
        <w:rPr>
          <w:rtl/>
        </w:rPr>
        <w:t>. אלא קודם שנתארסה זינתה:</w:t>
      </w:r>
      <w:r>
        <w:rPr>
          <w:b/>
          <w:rtl/>
        </w:rPr>
        <w:t xml:space="preserve"> </w:t>
      </w:r>
    </w:p>
    <w:p w14:paraId="2FAD74D6" w14:textId="77777777" w:rsidR="00FA6ECB" w:rsidRDefault="009F7B0E">
      <w:r>
        <w:rPr>
          <w:b/>
          <w:rtl/>
        </w:rPr>
        <w:t>ספק באונס</w:t>
      </w:r>
      <w:r>
        <w:rPr>
          <w:rtl/>
        </w:rPr>
        <w:t>. ואנוסה שריא באשת ישראל כדלקמן (דף נא:) מוהיא לא נתפשה:</w:t>
      </w:r>
    </w:p>
    <w:p w14:paraId="2C67F74E" w14:textId="77777777" w:rsidR="00FA6ECB" w:rsidRDefault="009F7B0E">
      <w:r>
        <w:rPr>
          <w:b/>
          <w:rtl/>
        </w:rPr>
        <w:t>באשת כהן</w:t>
      </w:r>
      <w:r>
        <w:rPr>
          <w:rtl/>
        </w:rPr>
        <w:t>. שהאונס אסור בה הלכך חד ספק הוא:</w:t>
      </w:r>
    </w:p>
    <w:p w14:paraId="2B8742B4" w14:textId="77777777" w:rsidR="00FA6ECB" w:rsidRDefault="009F7B0E">
      <w:r>
        <w:rPr>
          <w:b/>
          <w:rtl/>
        </w:rPr>
        <w:t>פחותה מבת ג' שנים</w:t>
      </w:r>
      <w:r>
        <w:rPr>
          <w:rtl/>
        </w:rPr>
        <w:t>. ועכשיו היא גדולה ופיתויה פיתוי ואינו אונס הלכך חד ספק איכא ספק אונס ספק רצון אבל ספק תחתיו ספק אין תחתיו ליכא שאילו נבעלה קודם לכן היו בתוליה חוזרים כדתנן במסכת נדה (דף מד:) פחות מכאן כנותן אצבע בעין שהדמעה יוצאת וחוזרת:</w:t>
      </w:r>
    </w:p>
    <w:p w14:paraId="7F16C549" w14:textId="77777777" w:rsidR="00FA6ECB" w:rsidRDefault="009F7B0E">
      <w:r>
        <w:rPr>
          <w:b/>
          <w:rtl/>
        </w:rPr>
        <w:t>מאי קמ''ל תנינא</w:t>
      </w:r>
      <w:r>
        <w:rPr>
          <w:rtl/>
        </w:rPr>
        <w:t>. שאדם נאמן על עצמו</w:t>
      </w:r>
      <w:r>
        <w:rPr>
          <w:rStyle w:val="FootnoteReference"/>
          <w:rtl/>
        </w:rPr>
        <w:footnoteReference w:id="4"/>
      </w:r>
      <w:r>
        <w:rPr>
          <w:rtl/>
        </w:rPr>
        <w:t xml:space="preserve"> לאסור לו את המותר על פיו</w:t>
      </w:r>
      <w:r>
        <w:rPr>
          <w:rStyle w:val="FootnoteReference"/>
          <w:rtl/>
        </w:rPr>
        <w:footnoteReference w:id="5"/>
      </w:r>
      <w:r>
        <w:rPr>
          <w:rtl/>
        </w:rPr>
        <w:t>:</w:t>
      </w:r>
    </w:p>
    <w:p w14:paraId="279B6FD1" w14:textId="77777777" w:rsidR="00FA6ECB" w:rsidRDefault="009F7B0E">
      <w:r>
        <w:rPr>
          <w:b/>
          <w:rtl/>
        </w:rPr>
        <w:t>הוא אסור בקרובותיה</w:t>
      </w:r>
      <w:r>
        <w:rPr>
          <w:rtl/>
        </w:rPr>
        <w:t>. באמה ובתה ואחותה דשוינהו אנפשיה חתיכה דאיסורא:</w:t>
      </w:r>
    </w:p>
    <w:p w14:paraId="111D66CA" w14:textId="77777777" w:rsidR="00FA6ECB" w:rsidRDefault="009F7B0E">
      <w:r>
        <w:rPr>
          <w:b/>
          <w:rtl/>
        </w:rPr>
        <w:t>והיא מותרת בקרוביו</w:t>
      </w:r>
      <w:r>
        <w:rPr>
          <w:rtl/>
        </w:rPr>
        <w:t>. שהרי אינה מודה בקידושין ובמסכת קידושין מוקמינן לה באומר קידשתיה בפני עדים והלכו להם למדינת הים:</w:t>
      </w:r>
    </w:p>
    <w:p w14:paraId="2FFD2043" w14:textId="77777777" w:rsidR="00FA6ECB" w:rsidRDefault="009F7B0E">
      <w:r>
        <w:rPr>
          <w:b/>
          <w:rtl/>
        </w:rPr>
        <w:t>דודאי קים ליה</w:t>
      </w:r>
      <w:r>
        <w:rPr>
          <w:rtl/>
        </w:rPr>
        <w:t>. שקידשה</w:t>
      </w:r>
      <w:r>
        <w:rPr>
          <w:rStyle w:val="FootnoteReference"/>
          <w:rtl/>
        </w:rPr>
        <w:footnoteReference w:id="6"/>
      </w:r>
      <w:r>
        <w:rPr>
          <w:rtl/>
        </w:rPr>
        <w:t>:</w:t>
      </w:r>
    </w:p>
    <w:p w14:paraId="1CCB6BC1" w14:textId="77777777" w:rsidR="00FA6ECB" w:rsidRDefault="009F7B0E">
      <w:pPr>
        <w:rPr>
          <w:rFonts w:cs="Mangal"/>
        </w:rPr>
      </w:pPr>
      <w:r>
        <w:rPr>
          <w:b/>
          <w:rtl/>
        </w:rPr>
        <w:t>אבל הכא</w:t>
      </w:r>
      <w:r>
        <w:rPr>
          <w:rtl/>
        </w:rPr>
        <w:t>. אימא מתוך שפנוי היה</w:t>
      </w:r>
      <w:r>
        <w:rPr>
          <w:rStyle w:val="FootnoteReference"/>
          <w:rtl/>
        </w:rPr>
        <w:footnoteReference w:id="7"/>
      </w:r>
      <w:r>
        <w:rPr>
          <w:rtl/>
        </w:rPr>
        <w:t xml:space="preserve"> ואינו בקי מיקם הוא דלא קים ליה כסבור שמצא פתח פתוח ואינו כן</w:t>
      </w:r>
      <w:r>
        <w:rPr>
          <w:rStyle w:val="FootnoteReference"/>
          <w:rtl/>
        </w:rPr>
        <w:footnoteReference w:id="8"/>
      </w:r>
      <w:r>
        <w:rPr>
          <w:rtl/>
        </w:rPr>
        <w:t xml:space="preserve"> ולא תיאסר</w:t>
      </w:r>
      <w:r>
        <w:rPr>
          <w:rStyle w:val="FootnoteReference"/>
          <w:rtl/>
        </w:rPr>
        <w:footnoteReference w:id="9"/>
      </w:r>
      <w:r>
        <w:rPr>
          <w:rtl/>
        </w:rPr>
        <w:t xml:space="preserve"> קמשמע לן:</w:t>
      </w:r>
    </w:p>
    <w:p w14:paraId="42F1948B" w14:textId="4EB93570" w:rsidR="00FA6ECB" w:rsidRDefault="009F7B0E">
      <w:r>
        <w:rPr>
          <w:rtl/>
        </w:rPr>
        <w:t>ומי אמר רבי אלעזר הכי. דאשה מזנה</w:t>
      </w:r>
      <w:r>
        <w:rPr>
          <w:rStyle w:val="FootnoteReference"/>
          <w:rtl/>
        </w:rPr>
        <w:footnoteReference w:id="10"/>
      </w:r>
      <w:r>
        <w:rPr>
          <w:rtl/>
        </w:rPr>
        <w:t xml:space="preserve"> נאסרת על פי בעלה</w:t>
      </w:r>
      <w:r w:rsidR="001211E4">
        <w:rPr>
          <w:rStyle w:val="FootnoteReference"/>
          <w:rtl/>
        </w:rPr>
        <w:footnoteReference w:id="11"/>
      </w:r>
      <w:r>
        <w:rPr>
          <w:rtl/>
        </w:rPr>
        <w:t>:</w:t>
      </w:r>
    </w:p>
    <w:p w14:paraId="48DC72A2" w14:textId="77777777" w:rsidR="00FA6ECB" w:rsidRDefault="009F7B0E">
      <w:r>
        <w:rPr>
          <w:rtl/>
        </w:rPr>
        <w:lastRenderedPageBreak/>
        <w:t>קינוי. שאמר לה אל תסתרי עם פלוני:</w:t>
      </w:r>
    </w:p>
    <w:p w14:paraId="4C269E65" w14:textId="77777777" w:rsidR="00FA6ECB" w:rsidRDefault="009F7B0E">
      <w:r>
        <w:rPr>
          <w:rtl/>
        </w:rPr>
        <w:t>וסתירה. שבאו עדים</w:t>
      </w:r>
      <w:r>
        <w:rPr>
          <w:rStyle w:val="FootnoteReference"/>
          <w:rtl/>
        </w:rPr>
        <w:footnoteReference w:id="12"/>
      </w:r>
      <w:r>
        <w:rPr>
          <w:rtl/>
        </w:rPr>
        <w:t xml:space="preserve"> שנסתרה עמו אחר קינוי:</w:t>
      </w:r>
    </w:p>
    <w:p w14:paraId="009777F7" w14:textId="77777777" w:rsidR="00FA6ECB" w:rsidRDefault="009F7B0E">
      <w:r>
        <w:rPr>
          <w:rtl/>
        </w:rPr>
        <w:t>וכמעשה שהיה. דבת שבע:</w:t>
      </w:r>
    </w:p>
    <w:p w14:paraId="4DE1E817" w14:textId="77777777" w:rsidR="00FA6ECB" w:rsidRDefault="009F7B0E">
      <w:r>
        <w:rPr>
          <w:rtl/>
        </w:rPr>
        <w:t>ותסברא. דהכי א''ר אלעזר מעשה שהיה מי הוה ביה קינוי:</w:t>
      </w:r>
    </w:p>
    <w:p w14:paraId="6E919E62" w14:textId="77777777" w:rsidR="00FA6ECB" w:rsidRDefault="009F7B0E">
      <w:r>
        <w:rPr>
          <w:rtl/>
        </w:rPr>
        <w:t>ועוד מי אסרוה. על אוריה</w:t>
      </w:r>
      <w:r>
        <w:rPr>
          <w:rStyle w:val="FootnoteReference"/>
          <w:rtl/>
        </w:rPr>
        <w:footnoteReference w:id="13"/>
      </w:r>
      <w:r>
        <w:rPr>
          <w:rtl/>
        </w:rPr>
        <w:t xml:space="preserve"> דאילו נאסרה על אוריה נאסרה אף על דוד דקיימא לן (סוטה דף כז:) כשם</w:t>
      </w:r>
      <w:r>
        <w:rPr>
          <w:rStyle w:val="FootnoteReference"/>
          <w:rtl/>
        </w:rPr>
        <w:footnoteReference w:id="14"/>
      </w:r>
      <w:r>
        <w:rPr>
          <w:rtl/>
        </w:rPr>
        <w:t xml:space="preserve"> שאסורה לבעל כך אסורה לבועל</w:t>
      </w:r>
      <w:r>
        <w:rPr>
          <w:rStyle w:val="FootnoteReference"/>
          <w:rtl/>
        </w:rPr>
        <w:footnoteReference w:id="15"/>
      </w:r>
      <w:r>
        <w:rPr>
          <w:rtl/>
        </w:rPr>
        <w:t>:</w:t>
      </w:r>
    </w:p>
    <w:p w14:paraId="63760DB6" w14:textId="77777777" w:rsidR="00FA6ECB" w:rsidRDefault="009F7B0E">
      <w:r>
        <w:rPr>
          <w:rtl/>
        </w:rPr>
        <w:t>הא לא קשיא. כלומר משום הא קושיא לא תדחייה לרבי אלעזר:</w:t>
      </w:r>
    </w:p>
    <w:p w14:paraId="42F8DF8D" w14:textId="77777777" w:rsidR="00FA6ECB" w:rsidRDefault="009F7B0E">
      <w:r>
        <w:rPr>
          <w:rtl/>
        </w:rPr>
        <w:t>הכי קאמר אין האשה נאסרת על בעלה אלא על עסקי קינוי וסתירה ממעשה שהיה. ממעשה דבת שבע אנו למדין כן שלא היה שם קינוי וסתירה ולא אסרוה:</w:t>
      </w:r>
    </w:p>
    <w:p w14:paraId="60A4F54B" w14:textId="72337171" w:rsidR="00FA6ECB" w:rsidRDefault="009F7B0E">
      <w:r>
        <w:rPr>
          <w:rtl/>
        </w:rPr>
        <w:t>עדים לא. בתמיה אפי' יש עדים שזינתה שמא אינה נאסרת בלא קינוי והא כתיב (דברים כד) כי מצא בה ערות דבר</w:t>
      </w:r>
      <w:r>
        <w:rPr>
          <w:rStyle w:val="FootnoteReference"/>
          <w:rtl/>
        </w:rPr>
        <w:footnoteReference w:id="16"/>
      </w:r>
      <w:r w:rsidR="007412BA">
        <w:rPr>
          <w:rStyle w:val="FootnoteReference"/>
          <w:rtl/>
        </w:rPr>
        <w:footnoteReference w:id="17"/>
      </w:r>
      <w:r w:rsidR="00A90AB7">
        <w:rPr>
          <w:rStyle w:val="FootnoteReference"/>
          <w:rtl/>
        </w:rPr>
        <w:footnoteReference w:id="18"/>
      </w:r>
      <w:r>
        <w:rPr>
          <w:rtl/>
        </w:rPr>
        <w:t xml:space="preserve"> ועוד הא לא נתפשה אסורה</w:t>
      </w:r>
      <w:r>
        <w:rPr>
          <w:rStyle w:val="FootnoteReference"/>
          <w:rtl/>
        </w:rPr>
        <w:footnoteReference w:id="19"/>
      </w:r>
      <w:r>
        <w:rPr>
          <w:rtl/>
        </w:rPr>
        <w:t>:</w:t>
      </w:r>
    </w:p>
    <w:p w14:paraId="33632C9E" w14:textId="77777777" w:rsidR="00FA6ECB" w:rsidRDefault="009F7B0E">
      <w:r>
        <w:rPr>
          <w:rtl/>
        </w:rPr>
        <w:t>אין האשה נאסרת על בעלה בעד אחד. דיליף (סוטה דף ג:) דבר דבר מממון:</w:t>
      </w:r>
    </w:p>
    <w:p w14:paraId="7EB3723A" w14:textId="77777777" w:rsidR="00FA6ECB" w:rsidRDefault="009F7B0E">
      <w:r>
        <w:rPr>
          <w:rtl/>
        </w:rPr>
        <w:t>וקינוי וסתירה. אם יש עדים שקינא לה ויש עדים שנסתרה אחר קינוי</w:t>
      </w:r>
      <w:r>
        <w:rPr>
          <w:rStyle w:val="FootnoteReference"/>
          <w:rtl/>
        </w:rPr>
        <w:footnoteReference w:id="20"/>
      </w:r>
      <w:r>
        <w:rPr>
          <w:rtl/>
        </w:rPr>
        <w:t>:</w:t>
      </w:r>
    </w:p>
    <w:p w14:paraId="45320A30" w14:textId="781DF6CB" w:rsidR="00FA6ECB" w:rsidRDefault="009F7B0E">
      <w:r>
        <w:rPr>
          <w:rtl/>
        </w:rPr>
        <w:t>אפי' בעד אחד. אפי' אין בטומאה אלא עד אחד נאמן דכתיב (במדבר ה) ועד אין בה ואמר מר (סוטה ב:) כל מקום שנאמר עד הרי כאן שנים וקאמר רחמנא עד אין בה תרי אלא חד והיא לא נתפשה אסורה שרגלים לדבר שזינתה שהרי קינא לה ונסתרה ועד אחד מעידה שהיא טמאה ומהשתא לא תקשי</w:t>
      </w:r>
      <w:r>
        <w:rPr>
          <w:rStyle w:val="FootnoteReference"/>
          <w:rtl/>
        </w:rPr>
        <w:footnoteReference w:id="21"/>
      </w:r>
      <w:r>
        <w:rPr>
          <w:rtl/>
        </w:rPr>
        <w:t xml:space="preserve"> לך דרבי אלעזר דפתח פתוח לאוסרה על עצמו</w:t>
      </w:r>
      <w:r>
        <w:rPr>
          <w:rStyle w:val="FootnoteReference"/>
          <w:rtl/>
        </w:rPr>
        <w:footnoteReference w:id="22"/>
      </w:r>
      <w:r>
        <w:rPr>
          <w:rtl/>
        </w:rPr>
        <w:t xml:space="preserve"> כשני עדים דמי שהרי דבר ברור הוא לו</w:t>
      </w:r>
      <w:r w:rsidR="005D67C4">
        <w:rPr>
          <w:rStyle w:val="FootnoteReference"/>
          <w:rtl/>
        </w:rPr>
        <w:footnoteReference w:id="23"/>
      </w:r>
      <w:r>
        <w:rPr>
          <w:rtl/>
        </w:rPr>
        <w:t xml:space="preserve"> שנבעלה</w:t>
      </w:r>
      <w:r>
        <w:rPr>
          <w:rStyle w:val="FootnoteReference"/>
          <w:rtl/>
        </w:rPr>
        <w:footnoteReference w:id="24"/>
      </w:r>
      <w:r>
        <w:rPr>
          <w:rtl/>
        </w:rPr>
        <w:t>:</w:t>
      </w:r>
    </w:p>
    <w:p w14:paraId="2BBDBBAA" w14:textId="7F183302" w:rsidR="00FA6ECB" w:rsidRDefault="009F7B0E">
      <w:r>
        <w:rPr>
          <w:rtl/>
        </w:rPr>
        <w:t>מפני מה לא אסרוה. על דוד</w:t>
      </w:r>
      <w:r w:rsidR="002456B1">
        <w:rPr>
          <w:rStyle w:val="FootnoteReference"/>
          <w:rtl/>
        </w:rPr>
        <w:footnoteReference w:id="25"/>
      </w:r>
      <w:r>
        <w:rPr>
          <w:rtl/>
        </w:rPr>
        <w:t xml:space="preserve"> שהרי עדים הרבה ידעו</w:t>
      </w:r>
      <w:r w:rsidR="00C83F50">
        <w:rPr>
          <w:rStyle w:val="FootnoteReference"/>
          <w:rtl/>
        </w:rPr>
        <w:footnoteReference w:id="26"/>
      </w:r>
      <w:r w:rsidR="00F5121B">
        <w:rPr>
          <w:rStyle w:val="FootnoteReference"/>
          <w:rtl/>
        </w:rPr>
        <w:footnoteReference w:id="27"/>
      </w:r>
      <w:r>
        <w:rPr>
          <w:rtl/>
        </w:rPr>
        <w:t>:</w:t>
      </w:r>
    </w:p>
    <w:p w14:paraId="28D535A3" w14:textId="77777777" w:rsidR="00FA6ECB" w:rsidRDefault="009F7B0E">
      <w:r>
        <w:rPr>
          <w:rtl/>
        </w:rPr>
        <w:lastRenderedPageBreak/>
        <w:t>גט כריתות כותב לאשתו. שאם ימות במלחמה יהא גט מיום כתיבתו והרי מת אוריה במלחמה:</w:t>
      </w:r>
    </w:p>
    <w:p w14:paraId="16776FA1" w14:textId="77777777" w:rsidR="00FA6ECB" w:rsidRDefault="009F7B0E">
      <w:r>
        <w:rPr>
          <w:rtl/>
        </w:rPr>
        <w:t>דכתיב. במלחמת שאול ואת אחיך כו' ודוד למד מישי אביו להנהיג שאף היוצאין למלחמותיו עושין כן:</w:t>
      </w:r>
    </w:p>
    <w:p w14:paraId="7F023CEA" w14:textId="33D22775" w:rsidR="00FA6ECB" w:rsidRDefault="009F7B0E">
      <w:r>
        <w:rPr>
          <w:rtl/>
        </w:rPr>
        <w:t>דברים המעורבים בינו לבינה. אלו קדושין</w:t>
      </w:r>
      <w:r w:rsidR="002E148F">
        <w:rPr>
          <w:rStyle w:val="FootnoteReference"/>
          <w:rtl/>
        </w:rPr>
        <w:footnoteReference w:id="28"/>
      </w:r>
      <w:r>
        <w:rPr>
          <w:rtl/>
        </w:rPr>
        <w:t>:</w:t>
      </w:r>
    </w:p>
    <w:p w14:paraId="13E7DD83" w14:textId="0DFE920A" w:rsidR="00FA6ECB" w:rsidRDefault="009F7B0E">
      <w:pPr>
        <w:rPr>
          <w:rFonts w:cs="Mangal"/>
          <w:cs/>
        </w:rPr>
      </w:pPr>
      <w:r>
        <w:rPr>
          <w:rtl/>
        </w:rPr>
        <w:t>תקח. תטול מביניהם על ידי גט:</w:t>
      </w:r>
    </w:p>
    <w:p w14:paraId="285BA9DB" w14:textId="7C9468C7" w:rsidR="000E5E96" w:rsidRDefault="000E5E96">
      <w:pPr>
        <w:rPr>
          <w:rtl/>
          <w:lang w:bidi="he-IL"/>
        </w:rPr>
      </w:pPr>
      <w:r w:rsidRPr="000E5E96">
        <w:rPr>
          <w:rtl/>
          <w:lang w:bidi="he-IL"/>
        </w:rPr>
        <w:t>אף אנן נמי תנינא. דטוען פתח פתוח מצאתי אסרה</w:t>
      </w:r>
      <w:r w:rsidR="005E7AAF">
        <w:rPr>
          <w:rStyle w:val="FootnoteReference"/>
          <w:rtl/>
          <w:lang w:bidi="he-IL"/>
        </w:rPr>
        <w:footnoteReference w:id="29"/>
      </w:r>
      <w:r w:rsidRPr="000E5E96">
        <w:rPr>
          <w:rtl/>
          <w:lang w:bidi="he-IL"/>
        </w:rPr>
        <w:t xml:space="preserve"> עליו ולא אמרינן לא קים ליה</w:t>
      </w:r>
      <w:r w:rsidR="009F0D8E">
        <w:rPr>
          <w:rStyle w:val="FootnoteReference"/>
          <w:rtl/>
          <w:lang w:bidi="he-IL"/>
        </w:rPr>
        <w:footnoteReference w:id="30"/>
      </w:r>
      <w:r w:rsidRPr="000E5E96">
        <w:rPr>
          <w:rtl/>
          <w:lang w:bidi="he-IL"/>
        </w:rPr>
        <w:t xml:space="preserve">: </w:t>
      </w:r>
    </w:p>
    <w:p w14:paraId="071CA2D3" w14:textId="77777777" w:rsidR="00CE69F3" w:rsidRDefault="000E5E96">
      <w:pPr>
        <w:rPr>
          <w:rtl/>
          <w:lang w:bidi="he-IL"/>
        </w:rPr>
      </w:pPr>
      <w:r w:rsidRPr="000E5E96">
        <w:rPr>
          <w:rtl/>
          <w:lang w:bidi="he-IL"/>
        </w:rPr>
        <w:t xml:space="preserve">איקרורי דעתא. עד שני בשבת הבאה: </w:t>
      </w:r>
    </w:p>
    <w:p w14:paraId="338A3979" w14:textId="3DDDF569" w:rsidR="000E5E96" w:rsidRDefault="000E5E96">
      <w:pPr>
        <w:rPr>
          <w:rtl/>
          <w:lang w:bidi="he-IL"/>
        </w:rPr>
      </w:pPr>
      <w:r w:rsidRPr="000E5E96">
        <w:rPr>
          <w:rtl/>
          <w:lang w:bidi="he-IL"/>
        </w:rPr>
        <w:t xml:space="preserve">ולמאי. קפדי רבנן אי מקררא דעתיה: </w:t>
      </w:r>
    </w:p>
    <w:p w14:paraId="14E3867B" w14:textId="709F3EC8" w:rsidR="000E5E96" w:rsidRDefault="000E5E96">
      <w:pPr>
        <w:rPr>
          <w:rtl/>
          <w:lang w:bidi="he-IL"/>
        </w:rPr>
      </w:pPr>
      <w:r w:rsidRPr="000E5E96">
        <w:rPr>
          <w:rtl/>
          <w:lang w:bidi="he-IL"/>
        </w:rPr>
        <w:t>ניתיב לה. מה לנו להפסידה והרי הוא נותן מדעת</w:t>
      </w:r>
      <w:r w:rsidR="00CE69F3">
        <w:rPr>
          <w:rStyle w:val="FootnoteReference"/>
          <w:rtl/>
          <w:lang w:bidi="he-IL"/>
        </w:rPr>
        <w:footnoteReference w:id="31"/>
      </w:r>
      <w:r w:rsidRPr="000E5E96">
        <w:rPr>
          <w:rtl/>
          <w:lang w:bidi="he-IL"/>
        </w:rPr>
        <w:t xml:space="preserve">: </w:t>
      </w:r>
    </w:p>
    <w:p w14:paraId="6F904019" w14:textId="01A69DC5" w:rsidR="000E5E96" w:rsidRDefault="000E5E96">
      <w:pPr>
        <w:rPr>
          <w:rtl/>
          <w:lang w:bidi="he-IL"/>
        </w:rPr>
      </w:pPr>
      <w:r w:rsidRPr="000E5E96">
        <w:rPr>
          <w:rtl/>
          <w:lang w:bidi="he-IL"/>
        </w:rPr>
        <w:t>אלא לאו לאוסרה. הוא דקפדינן שלא יקרר דעתו ויקיים את האסורה לו אלמא כי אתי וטעין אסרינן לה עליה</w:t>
      </w:r>
      <w:r w:rsidR="001B5D76">
        <w:rPr>
          <w:rStyle w:val="FootnoteReference"/>
          <w:rtl/>
          <w:lang w:bidi="he-IL"/>
        </w:rPr>
        <w:footnoteReference w:id="32"/>
      </w:r>
      <w:r w:rsidRPr="000E5E96">
        <w:rPr>
          <w:rtl/>
          <w:lang w:bidi="he-IL"/>
        </w:rPr>
        <w:t xml:space="preserve">: </w:t>
      </w:r>
    </w:p>
    <w:p w14:paraId="7A355010" w14:textId="77AAD3E7" w:rsidR="000E5E96" w:rsidRPr="000E5E96" w:rsidRDefault="000E5E96">
      <w:pPr>
        <w:rPr>
          <w:cs/>
        </w:rPr>
      </w:pPr>
      <w:r w:rsidRPr="000E5E96">
        <w:rPr>
          <w:rtl/>
          <w:lang w:bidi="he-IL"/>
        </w:rPr>
        <w:t>טענת דמים. דטענה מבוררת היא וליכא למימר לא קים ליה אבל בפתח פתוח אימא לך לא קים ליה:</w:t>
      </w:r>
    </w:p>
    <w:sectPr w:rsidR="000E5E96" w:rsidRPr="000E5E96">
      <w:pgSz w:w="11906" w:h="16838"/>
      <w:pgMar w:top="1134" w:right="1134" w:bottom="1134" w:left="1134" w:header="0" w:footer="0" w:gutter="0"/>
      <w:cols w:space="720"/>
      <w:formProt w:val="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607BD1" w14:textId="77777777" w:rsidR="00A43898" w:rsidRDefault="00A43898">
      <w:r>
        <w:separator/>
      </w:r>
    </w:p>
  </w:endnote>
  <w:endnote w:type="continuationSeparator" w:id="0">
    <w:p w14:paraId="587A6841" w14:textId="77777777" w:rsidR="00A43898" w:rsidRDefault="00A438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SimSun">
    <w:panose1 w:val="02010609030101010101"/>
    <w:charset w:val="86"/>
    <w:family w:val="modern"/>
    <w:pitch w:val="fixed"/>
    <w:sig w:usb0="00000203" w:usb1="288F0000" w:usb2="00000016" w:usb3="00000000" w:csb0="00040001" w:csb1="00000000"/>
  </w:font>
  <w:font w:name="Narkisim">
    <w:panose1 w:val="020E0502050101010101"/>
    <w:charset w:val="00"/>
    <w:family w:val="swiss"/>
    <w:pitch w:val="variable"/>
    <w:sig w:usb0="00000803" w:usb1="00000000" w:usb2="00000000" w:usb3="00000000" w:csb0="00000021" w:csb1="00000000"/>
  </w:font>
  <w:font w:name="OpenSymbol">
    <w:altName w:val="Cambria"/>
    <w:charset w:val="01"/>
    <w:family w:val="auto"/>
    <w:pitch w:val="default"/>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CD8A05" w14:textId="77777777" w:rsidR="00A43898" w:rsidRDefault="00A43898">
      <w:pPr>
        <w:rPr>
          <w:sz w:val="12"/>
        </w:rPr>
      </w:pPr>
      <w:r>
        <w:separator/>
      </w:r>
    </w:p>
  </w:footnote>
  <w:footnote w:type="continuationSeparator" w:id="0">
    <w:p w14:paraId="7380342B" w14:textId="77777777" w:rsidR="00A43898" w:rsidRDefault="00A43898">
      <w:pPr>
        <w:rPr>
          <w:sz w:val="12"/>
        </w:rPr>
      </w:pPr>
      <w:r>
        <w:continuationSeparator/>
      </w:r>
    </w:p>
  </w:footnote>
  <w:footnote w:id="1">
    <w:p w14:paraId="4B881882" w14:textId="77777777" w:rsidR="00FA6ECB" w:rsidRDefault="009F7B0E">
      <w:pPr>
        <w:pStyle w:val="FootnoteText"/>
        <w:rPr>
          <w:lang w:bidi="he-IL"/>
        </w:rPr>
      </w:pPr>
      <w:r>
        <w:rPr>
          <w:rStyle w:val="FootnoteCharacters"/>
        </w:rPr>
        <w:footnoteRef/>
      </w:r>
      <w:r>
        <w:rPr>
          <w:rtl/>
          <w:lang w:bidi="he-IL"/>
        </w:rPr>
        <w:tab/>
        <w:t>יש לדון מהו כוונת רש"י:</w:t>
      </w:r>
    </w:p>
    <w:p w14:paraId="3F21233F" w14:textId="77777777" w:rsidR="00FA6ECB" w:rsidRDefault="009F7B0E">
      <w:pPr>
        <w:pStyle w:val="FootnoteText"/>
        <w:numPr>
          <w:ilvl w:val="0"/>
          <w:numId w:val="2"/>
        </w:numPr>
        <w:rPr>
          <w:lang w:bidi="he-IL"/>
        </w:rPr>
      </w:pPr>
      <w:r>
        <w:rPr>
          <w:rtl/>
          <w:lang w:bidi="he-IL"/>
        </w:rPr>
        <w:t>אולי רש"י מכוון לומר שצ"ל שאינו מודה שיש דמים. אם יש דמים, אז לא תיאסר עליו. יש לדון למה:</w:t>
      </w:r>
    </w:p>
    <w:p w14:paraId="7551F090" w14:textId="77777777" w:rsidR="00FA6ECB" w:rsidRDefault="009F7B0E">
      <w:pPr>
        <w:pStyle w:val="FootnoteText"/>
        <w:numPr>
          <w:ilvl w:val="1"/>
          <w:numId w:val="2"/>
        </w:numPr>
        <w:rPr>
          <w:lang w:bidi="he-IL"/>
        </w:rPr>
      </w:pPr>
      <w:r>
        <w:rPr>
          <w:rtl/>
          <w:lang w:bidi="he-IL"/>
        </w:rPr>
        <w:t>כיון שיש דמים, אף שפתחה פתוח, לא נניח שנבעלת.</w:t>
      </w:r>
    </w:p>
    <w:p w14:paraId="6386CBDB" w14:textId="77777777" w:rsidR="00FA6ECB" w:rsidRDefault="009F7B0E">
      <w:pPr>
        <w:pStyle w:val="FootnoteText"/>
        <w:numPr>
          <w:ilvl w:val="1"/>
          <w:numId w:val="2"/>
        </w:numPr>
        <w:rPr>
          <w:lang w:bidi="he-IL"/>
        </w:rPr>
      </w:pPr>
      <w:r>
        <w:rPr>
          <w:rtl/>
          <w:lang w:bidi="he-IL"/>
        </w:rPr>
        <w:t>כיון שיש דמים, לא נניח שפתחה פתוח. (לא כל כך פשוט אם זה יכול להיות, שאין שוי"א נאמנות רגילה. אבל, אפשר שלאיזה צד שהוא, צריך להיות אומר דבר שאפשר, ולא דבר שמוכרח- או כמעט מוכרח- שאינו נכון.)</w:t>
      </w:r>
    </w:p>
    <w:p w14:paraId="45478107" w14:textId="77777777" w:rsidR="00FA6ECB" w:rsidRDefault="009F7B0E">
      <w:pPr>
        <w:pStyle w:val="FootnoteText"/>
        <w:ind w:left="1080"/>
        <w:rPr>
          <w:lang w:bidi="he-IL"/>
        </w:rPr>
      </w:pPr>
      <w:r>
        <w:rPr>
          <w:rtl/>
          <w:lang w:bidi="he-IL"/>
        </w:rPr>
        <w:t>יש לדון אם מניחים שהוא משקר או שהוא טועה (או שלא קים ליה (כרוב בנ”א), או שבדר"כ קים ליה, אבל טעה).</w:t>
      </w:r>
    </w:p>
    <w:p w14:paraId="632DB5AB" w14:textId="77777777" w:rsidR="00FA6ECB" w:rsidRDefault="009F7B0E">
      <w:pPr>
        <w:pStyle w:val="FootnoteText"/>
        <w:ind w:left="720"/>
        <w:rPr>
          <w:lang w:bidi="he-IL"/>
        </w:rPr>
      </w:pPr>
      <w:r>
        <w:rPr>
          <w:rtl/>
          <w:lang w:bidi="he-IL"/>
        </w:rPr>
        <w:t>וא"ת למה לא מזכיר שהוא ציור שאין לו טענת דמים, שלא טען כן. ויש לומר:</w:t>
      </w:r>
    </w:p>
    <w:p w14:paraId="6B9F4FF0" w14:textId="77777777" w:rsidR="00FA6ECB" w:rsidRDefault="009F7B0E">
      <w:pPr>
        <w:pStyle w:val="FootnoteText"/>
        <w:numPr>
          <w:ilvl w:val="1"/>
          <w:numId w:val="3"/>
        </w:numPr>
        <w:rPr>
          <w:lang w:bidi="he-IL"/>
        </w:rPr>
      </w:pPr>
      <w:r>
        <w:rPr>
          <w:rtl/>
          <w:lang w:bidi="he-IL"/>
        </w:rPr>
        <w:t xml:space="preserve">לא מסתבר שלא יטעון כלום, שנשאל לו. אם אין דם, אז כבר יש טענת דמים. אם יש דם, נמצא כראשון. </w:t>
      </w:r>
    </w:p>
    <w:p w14:paraId="59CA9CD4" w14:textId="77777777" w:rsidR="00FA6ECB" w:rsidRDefault="009F7B0E">
      <w:pPr>
        <w:pStyle w:val="FootnoteText"/>
        <w:numPr>
          <w:ilvl w:val="1"/>
          <w:numId w:val="2"/>
        </w:numPr>
        <w:rPr>
          <w:lang w:bidi="he-IL"/>
        </w:rPr>
      </w:pPr>
      <w:r>
        <w:rPr>
          <w:rtl/>
          <w:lang w:bidi="he-IL"/>
        </w:rPr>
        <w:t>אם לא טוען, יש הוכחה שיש דם, שהיה לו לטעון. יש להעיר שלפי זה, נמצא שמניחים שאילו היה אומר האמת, היה לדם להיות שאינו שם, והיה לו לזכור להזכיר את הדם. אבל, אם הוא משקר, אולי יזכור להזכיר את הדם. זה לא כל כך פשוט, שאם יודע שהדם שייך, יטעון כן בתוך השקר שלו, ואם אינו יודע שהדם שייך (או שלא יודע שהוא סימן בכלל, או שחשב שכבר יש לו סימן של פ”פ, ולא צ’ יותר), לא קשה שבא לבית דין ולא הזכיר דם. ותחשב על זה. צריך לומר שכשבני אדם אומרים את האמת, אומרים כל דבר שהוא קצת ואולי נוגע, אבל כשמשקרים, רק אומרים מה שיודעים שהוא נוגע. יכולים לחשוב למה זה כן, אבל נ’ במציאות שהוא כן.</w:t>
      </w:r>
      <w:r>
        <w:rPr>
          <w:rtl/>
          <w:lang w:bidi="he-IL"/>
        </w:rPr>
        <w:tab/>
      </w:r>
    </w:p>
    <w:p w14:paraId="4CEF478F" w14:textId="77777777" w:rsidR="00FA6ECB" w:rsidRDefault="009F7B0E">
      <w:pPr>
        <w:pStyle w:val="FootnoteText"/>
        <w:numPr>
          <w:ilvl w:val="0"/>
          <w:numId w:val="2"/>
        </w:numPr>
        <w:rPr>
          <w:lang w:bidi="he-IL"/>
        </w:rPr>
      </w:pPr>
      <w:r>
        <w:rPr>
          <w:rtl/>
          <w:lang w:bidi="he-IL"/>
        </w:rPr>
        <w:t>אולי לא כל כך מצוי שיטעון שהיה דם ופתחה היה פתוח, ואז רש"י מבאר מה טוען כאן. יש לדון למה לא מצוי שיטעון כן:</w:t>
      </w:r>
    </w:p>
    <w:p w14:paraId="12990AED" w14:textId="77777777" w:rsidR="00FA6ECB" w:rsidRDefault="009F7B0E">
      <w:pPr>
        <w:pStyle w:val="FootnoteText"/>
        <w:numPr>
          <w:ilvl w:val="1"/>
          <w:numId w:val="2"/>
        </w:numPr>
        <w:rPr>
          <w:lang w:bidi="he-IL"/>
        </w:rPr>
      </w:pPr>
      <w:r>
        <w:rPr>
          <w:rtl/>
          <w:lang w:bidi="he-IL"/>
        </w:rPr>
        <w:t>שנ’ כמשקר, כיון שלא מצוי שקורה.</w:t>
      </w:r>
    </w:p>
    <w:p w14:paraId="1444CEA3" w14:textId="77777777" w:rsidR="00FA6ECB" w:rsidRDefault="009F7B0E">
      <w:pPr>
        <w:pStyle w:val="FootnoteText"/>
        <w:numPr>
          <w:ilvl w:val="1"/>
          <w:numId w:val="2"/>
        </w:numPr>
        <w:rPr>
          <w:lang w:bidi="he-IL"/>
        </w:rPr>
      </w:pPr>
      <w:r>
        <w:rPr>
          <w:rtl/>
          <w:lang w:bidi="he-IL"/>
        </w:rPr>
        <w:t>כיון שלא מצוי שקורה, והרי מניחים שאומר את האמת. ויש לדון, שזה מניח שאנו מניחים שאומר את האמת. כמו שנראה לקמן, זה לא כל כך מסתבר.</w:t>
      </w:r>
    </w:p>
  </w:footnote>
  <w:footnote w:id="2">
    <w:p w14:paraId="2EB800F5" w14:textId="77777777" w:rsidR="00FA6ECB" w:rsidRDefault="009F7B0E">
      <w:pPr>
        <w:pStyle w:val="FootnoteText"/>
        <w:rPr>
          <w:lang w:bidi="he-IL"/>
        </w:rPr>
      </w:pPr>
      <w:r>
        <w:rPr>
          <w:rStyle w:val="FootnoteCharacters"/>
        </w:rPr>
        <w:footnoteRef/>
      </w:r>
      <w:r>
        <w:rPr>
          <w:rtl/>
          <w:lang w:bidi="he-IL"/>
        </w:rPr>
        <w:tab/>
        <w:t>לשון זה מוזר. לכאו’, עיקר החידוש הוא שהוא נאמן. לכאו’, רש"י בא להוסיף שאף שאין סיבה להאמין לו כיון שהוא דבר שיתברר, ואז לא ישקר, עדיין הוא נאמן. גם אפשר שהו"א שרק אם יש דרך אחר לברר אותו, נאמין לו, שהנפק"מ הוא רק עד שנברר על ידי אחר.</w:t>
      </w:r>
    </w:p>
    <w:p w14:paraId="64098441" w14:textId="77777777" w:rsidR="00FA6ECB" w:rsidRDefault="009F7B0E">
      <w:pPr>
        <w:pStyle w:val="FootnoteText"/>
        <w:rPr>
          <w:lang w:bidi="he-IL"/>
        </w:rPr>
      </w:pPr>
      <w:r>
        <w:rPr>
          <w:rtl/>
          <w:lang w:bidi="he-IL"/>
        </w:rPr>
        <w:tab/>
        <w:t>יש להעיר שלכאו’ אפשר להתברר על ידי אחר, לשיטתו, בקידושין, ששם טוען שיש עדים. אולי כיון שהוא במדינת הים, אינו יכול להתברר על ידי אחר. גם לפי צד ראשון אין זה קשה, שאין מי שיכחיש אותו. ויש לדון, שאשתו מכחישה אותו. ויש לדון, שאולי באה ראשונה, ואז בוודאי אינו חושש לזה. גי"ל שלא חושש מלמה שאשתו אומרת, שאין סיבה להאמין לה יותר מלו.</w:t>
      </w:r>
    </w:p>
  </w:footnote>
  <w:footnote w:id="3">
    <w:p w14:paraId="5C2395DE" w14:textId="77777777" w:rsidR="00FA6ECB" w:rsidRDefault="009F7B0E">
      <w:pPr>
        <w:pStyle w:val="FootnoteText"/>
        <w:rPr>
          <w:lang w:bidi="he-IL"/>
        </w:rPr>
      </w:pPr>
      <w:r>
        <w:rPr>
          <w:rStyle w:val="FootnoteCharacters"/>
        </w:rPr>
        <w:footnoteRef/>
      </w:r>
      <w:r>
        <w:rPr>
          <w:rtl/>
          <w:lang w:bidi="he-IL"/>
        </w:rPr>
        <w:tab/>
        <w:t>עיין במה שדנינו על שאלה זו בגמ’. רש"י משמע כצד ראשון. יש לדחות שרש"י רצה לומר, “אמאי מיתסרא, שלא יהיה נאמן, שאף אילו היה נאמן, לא היה איסור, וא זנמצא שאינו טוען איסור.” אבל, כמובן, לא משמע כן.</w:t>
      </w:r>
      <w:r>
        <w:rPr>
          <w:rtl/>
          <w:lang w:bidi="he-IL"/>
        </w:rPr>
        <w:tab/>
      </w:r>
    </w:p>
  </w:footnote>
  <w:footnote w:id="4">
    <w:p w14:paraId="5C3940D6" w14:textId="77777777" w:rsidR="00FA6ECB" w:rsidRDefault="009F7B0E">
      <w:pPr>
        <w:pStyle w:val="FootnoteText"/>
        <w:rPr>
          <w:lang w:bidi="he-IL"/>
        </w:rPr>
      </w:pPr>
      <w:r>
        <w:rPr>
          <w:rStyle w:val="FootnoteCharacters"/>
        </w:rPr>
        <w:footnoteRef/>
      </w:r>
      <w:r>
        <w:rPr>
          <w:rtl/>
          <w:lang w:bidi="he-IL"/>
        </w:rPr>
        <w:tab/>
        <w:t>לשון "נאמן" משמע שהוא נאמנות (אף שרש"י רק מביא מגמ’, לפעמים כשראשון אומר דבר יותר קל לדייק ממנו מכשגמ’ אומר לשון, שראשון בא לבאר יותר). אבל, לאידך גיסא, “את המותר" משמע שמאמינים שהוא מותר, אלא שהוא אסר אותו. ויש לדון, שאולי "את המותר" רק אומר "מה שחשבנו שהוא מותר.”</w:t>
      </w:r>
    </w:p>
  </w:footnote>
  <w:footnote w:id="5">
    <w:p w14:paraId="1B792DC2" w14:textId="77777777" w:rsidR="00FA6ECB" w:rsidRDefault="009F7B0E">
      <w:pPr>
        <w:pStyle w:val="FootnoteText"/>
        <w:rPr>
          <w:lang w:bidi="he-IL"/>
        </w:rPr>
      </w:pPr>
      <w:r>
        <w:rPr>
          <w:rStyle w:val="FootnoteCharacters"/>
        </w:rPr>
        <w:footnoteRef/>
      </w:r>
      <w:r>
        <w:rPr>
          <w:rtl/>
          <w:lang w:bidi="he-IL"/>
        </w:rPr>
        <w:tab/>
        <w:t>לשון זה מוזר, שהיה לו לומר שנאמן לאסור על פיו. יותר מכך, לא היה לו לומר על פיו בכלל. לשונו קצת משמע שהוא מותר על פיו, אבל זה לא נכון. אפשר ש"על פיו" לא רצה לומר "על פי מה שאמר,” אלא מדבר על חתיכה של איסור, ואומר שיכול לאסור אותו על פיו, או יכול לאסור מה שמותר על פיו. אז, על פיו רצה לומר באכילה. אבל, המילים לא משמעים כן.</w:t>
      </w:r>
    </w:p>
  </w:footnote>
  <w:footnote w:id="6">
    <w:p w14:paraId="12DD210E" w14:textId="77777777" w:rsidR="00FA6ECB" w:rsidRDefault="009F7B0E">
      <w:pPr>
        <w:pStyle w:val="FootnoteText"/>
        <w:rPr>
          <w:lang w:bidi="he-IL"/>
        </w:rPr>
      </w:pPr>
      <w:r>
        <w:rPr>
          <w:rStyle w:val="FootnoteCharacters"/>
        </w:rPr>
        <w:footnoteRef/>
      </w:r>
      <w:r>
        <w:rPr>
          <w:rtl/>
          <w:lang w:bidi="he-IL"/>
        </w:rPr>
        <w:tab/>
        <w:t>יש לדון אם רש"י בא לפרש מה קים ליה (והוא שקים לה) או שבא לפרש איך קים ליה. ויש להעיר שלצד ראשון, ק"ק למה לא אומרים שקים ליה שהיא אסורה. אולי כן כוונת רש"י, אבל אולי היה נראה יותר לחדש שרש"י בא לומר שההו"א אינו שכיון שלא ברור לו האיסור לא תיאסר, שעל כל פנים ספק הוא לו. אלא, הוא שאם לא ברור לו דבריו, אינו נחשב כל כך שאמר אותו, שלא כל כך חושב כן. ותחשב.</w:t>
      </w:r>
    </w:p>
  </w:footnote>
  <w:footnote w:id="7">
    <w:p w14:paraId="4849C4B1" w14:textId="77777777" w:rsidR="00FA6ECB" w:rsidRDefault="009F7B0E">
      <w:pPr>
        <w:pStyle w:val="FootnoteText"/>
        <w:rPr>
          <w:lang w:bidi="he-IL"/>
        </w:rPr>
      </w:pPr>
      <w:r>
        <w:rPr>
          <w:rStyle w:val="FootnoteCharacters"/>
        </w:rPr>
        <w:footnoteRef/>
      </w:r>
      <w:r>
        <w:rPr>
          <w:rtl/>
          <w:lang w:bidi="he-IL"/>
        </w:rPr>
        <w:tab/>
        <w:t>ע’ בגמ’ לקמן, שמזכיר מחלקת אם נאמן אם הוא פנוי. נראה שרש"י מפרש (וכן יש הרבה ראשונים שמפרשים כןׂ) שזה רק לענין כתובה, אבל לענין איסור, אף בפנוי נאמן.</w:t>
      </w:r>
    </w:p>
  </w:footnote>
  <w:footnote w:id="8">
    <w:p w14:paraId="510B9364" w14:textId="77777777" w:rsidR="00FA6ECB" w:rsidRDefault="009F7B0E">
      <w:pPr>
        <w:pStyle w:val="FootnoteText"/>
        <w:rPr>
          <w:lang w:bidi="he-IL"/>
        </w:rPr>
      </w:pPr>
      <w:r>
        <w:rPr>
          <w:rStyle w:val="FootnoteCharacters"/>
        </w:rPr>
        <w:footnoteRef/>
      </w:r>
      <w:r>
        <w:rPr>
          <w:rtl/>
          <w:lang w:bidi="he-IL"/>
        </w:rPr>
        <w:tab/>
        <w:t>אם עושה איסור, לכאו’ הצד שלא יהני הוא שלא באר מצב איסור (שרק באר מצב שחושב כן) או שלא באר מצב אפשר (שלא יידע כן) או שלא כוון למה שאומר (שכוונתו ודיבורו אינם שווים). לשון רש"י לא משמע כן, שמשמע שהבעיה הוא שאינו כן, ולא שאומר דבר שאינו כן. ותחשב על זה.</w:t>
      </w:r>
      <w:r>
        <w:rPr>
          <w:rtl/>
          <w:lang w:bidi="he-IL"/>
        </w:rPr>
        <w:tab/>
      </w:r>
    </w:p>
  </w:footnote>
  <w:footnote w:id="9">
    <w:p w14:paraId="44223C0B" w14:textId="77777777" w:rsidR="00FA6ECB" w:rsidRDefault="009F7B0E">
      <w:pPr>
        <w:pStyle w:val="FootnoteText"/>
        <w:rPr>
          <w:lang w:bidi="he-IL"/>
        </w:rPr>
      </w:pPr>
      <w:r>
        <w:rPr>
          <w:rStyle w:val="FootnoteCharacters"/>
        </w:rPr>
        <w:footnoteRef/>
      </w:r>
      <w:r>
        <w:rPr>
          <w:rtl/>
          <w:lang w:bidi="he-IL"/>
        </w:rPr>
        <w:tab/>
        <w:t>אולי מה שרש"י מזכיר "ולא תיאסר" משמע שהדיון הוא אם נאסר או לא נאסר, ולא אם קים ליה. (יש להעיר שיש, באמת, שני דיוקים. הראשון הוא שממה שהזכיר אותו נקודה, משמע שבא לומר שעל זה קאי החזרה של הגמ’. לא נראה שזה נכון, שאולי הזכיר אותו להודיע מה יהיה הדין. אבל, יש דיוק אחר, והוא שברור שאותו הדין לא פשוט לרש"י. לא צריך להיות שלמס’ אינו נכון, אבל בוודאי נמצא שאינו פשוט לרש"י, ומה שאינו פשוט הוא כבר מעניין. ותחשב.)</w:t>
      </w:r>
    </w:p>
  </w:footnote>
  <w:footnote w:id="10">
    <w:p w14:paraId="70664E3B" w14:textId="77777777" w:rsidR="00FA6ECB" w:rsidRDefault="009F7B0E">
      <w:pPr>
        <w:pStyle w:val="FootnoteText"/>
        <w:rPr>
          <w:lang w:bidi="he-IL"/>
        </w:rPr>
      </w:pPr>
      <w:r>
        <w:rPr>
          <w:rStyle w:val="FootnoteCharacters"/>
        </w:rPr>
        <w:footnoteRef/>
      </w:r>
      <w:r>
        <w:rPr>
          <w:rtl/>
          <w:lang w:bidi="he-IL"/>
        </w:rPr>
        <w:tab/>
        <w:t>לשון רש"י משמע שידוע שהיא מזנה, ורק דנים אם היא אסורה או לא. לכאו’, יש שלש צדדים בביאור למה לא תיאסר- אולי אין נאמנות, אולי אין סיבה (או יש מניעה) לפסק בית דין, ואולי אין סיבה (או יש מניעה) לאיסור- ורש"י משמע כראשון או שני.</w:t>
      </w:r>
    </w:p>
  </w:footnote>
  <w:footnote w:id="11">
    <w:p w14:paraId="3243EFAB" w14:textId="5F739CFA" w:rsidR="001211E4" w:rsidRDefault="001211E4">
      <w:pPr>
        <w:pStyle w:val="FootnoteText"/>
      </w:pPr>
      <w:r>
        <w:rPr>
          <w:rStyle w:val="FootnoteReference"/>
        </w:rPr>
        <w:footnoteRef/>
      </w:r>
      <w:r>
        <w:rPr>
          <w:rtl/>
          <w:lang w:bidi="he-IL"/>
        </w:rPr>
        <w:t xml:space="preserve"> </w:t>
      </w:r>
      <w:r>
        <w:rPr>
          <w:rtl/>
          <w:lang w:bidi="he-IL"/>
        </w:rPr>
        <w:tab/>
      </w:r>
      <w:r>
        <w:rPr>
          <w:rFonts w:hint="cs"/>
          <w:rtl/>
          <w:lang w:bidi="he-IL"/>
        </w:rPr>
        <w:t>משמע שקושיית הגמ' הוא מחמת שוי"א, ולא שייך לפתח פתוח.</w:t>
      </w:r>
    </w:p>
  </w:footnote>
  <w:footnote w:id="12">
    <w:p w14:paraId="1FD41E47" w14:textId="77777777" w:rsidR="00FA6ECB" w:rsidRDefault="009F7B0E">
      <w:pPr>
        <w:pStyle w:val="FootnoteText"/>
        <w:rPr>
          <w:lang w:bidi="he-IL"/>
        </w:rPr>
      </w:pPr>
      <w:r>
        <w:rPr>
          <w:rStyle w:val="FootnoteCharacters"/>
        </w:rPr>
        <w:footnoteRef/>
      </w:r>
      <w:r>
        <w:rPr>
          <w:rtl/>
          <w:lang w:bidi="he-IL"/>
        </w:rPr>
        <w:tab/>
        <w:t>עיין בתחילת סוטה. שם, חלקו תנאים מה צריך ראיה ומה לא צריך ראיה. יוצא משם שלש שיטות:</w:t>
      </w:r>
    </w:p>
    <w:p w14:paraId="279A528D" w14:textId="77777777" w:rsidR="00FA6ECB" w:rsidRDefault="009F7B0E">
      <w:pPr>
        <w:pStyle w:val="FootnoteText"/>
        <w:numPr>
          <w:ilvl w:val="0"/>
          <w:numId w:val="4"/>
        </w:numPr>
        <w:rPr>
          <w:lang w:bidi="he-IL"/>
        </w:rPr>
      </w:pPr>
      <w:r>
        <w:rPr>
          <w:rtl/>
          <w:lang w:bidi="he-IL"/>
        </w:rPr>
        <w:t>רבי יהושע אומר שצריכים שני עדים בקינוי ושני עדים בסתירה.</w:t>
      </w:r>
    </w:p>
    <w:p w14:paraId="665DAD02" w14:textId="77777777" w:rsidR="00FA6ECB" w:rsidRDefault="009F7B0E">
      <w:pPr>
        <w:pStyle w:val="FootnoteText"/>
        <w:numPr>
          <w:ilvl w:val="0"/>
          <w:numId w:val="4"/>
        </w:numPr>
        <w:rPr>
          <w:lang w:bidi="he-IL"/>
        </w:rPr>
      </w:pPr>
      <w:r>
        <w:rPr>
          <w:rtl/>
          <w:lang w:bidi="he-IL"/>
        </w:rPr>
        <w:t>רבי אליעזר אומר שצריכים שני עדים בסתירה, ומספיק עד אחד או בעל לקינוי.</w:t>
      </w:r>
    </w:p>
    <w:p w14:paraId="32C31200" w14:textId="77777777" w:rsidR="00FA6ECB" w:rsidRDefault="009F7B0E">
      <w:pPr>
        <w:pStyle w:val="FootnoteText"/>
        <w:numPr>
          <w:ilvl w:val="0"/>
          <w:numId w:val="4"/>
        </w:numPr>
        <w:rPr>
          <w:lang w:bidi="he-IL"/>
        </w:rPr>
      </w:pPr>
      <w:r>
        <w:rPr>
          <w:rtl/>
          <w:lang w:bidi="he-IL"/>
        </w:rPr>
        <w:t>ריב"י אומר שצריכים שני עדים בקינוי, ומספיק ע"א או בעל לסתירה.</w:t>
      </w:r>
    </w:p>
    <w:p w14:paraId="00964F8A" w14:textId="77777777" w:rsidR="00FA6ECB" w:rsidRDefault="009F7B0E">
      <w:pPr>
        <w:pStyle w:val="FootnoteText"/>
        <w:rPr>
          <w:lang w:bidi="he-IL"/>
        </w:rPr>
      </w:pPr>
      <w:r>
        <w:rPr>
          <w:rtl/>
          <w:lang w:bidi="he-IL"/>
        </w:rPr>
        <w:tab/>
        <w:t>לשון רש"י משמע שבא לפרש לפי ר"א. יש לדון למה, שבדרך כלל, במחלקת רבי אליעזר ורבי יהושע הל’ כרבי יהושע, ולא כר"א. מה שסובר כאן רש"י הוא נוגע למה שנדון בע"ה בביאורים שלנו על הגמ’.</w:t>
      </w:r>
    </w:p>
    <w:p w14:paraId="217603D4" w14:textId="77777777" w:rsidR="00FA6ECB" w:rsidRDefault="009F7B0E">
      <w:pPr>
        <w:pStyle w:val="FootnoteText"/>
        <w:rPr>
          <w:lang w:bidi="he-IL"/>
        </w:rPr>
      </w:pPr>
      <w:r>
        <w:rPr>
          <w:rtl/>
        </w:rPr>
        <w:tab/>
      </w:r>
      <w:r>
        <w:rPr>
          <w:rtl/>
          <w:lang w:bidi="he-IL"/>
        </w:rPr>
        <w:t>וע’ רש"י לקמן, שמפרש שיש עדים לשניהם.</w:t>
      </w:r>
    </w:p>
  </w:footnote>
  <w:footnote w:id="13">
    <w:p w14:paraId="477D9350" w14:textId="77777777" w:rsidR="00FA6ECB" w:rsidRDefault="009F7B0E">
      <w:pPr>
        <w:pStyle w:val="FootnoteText"/>
        <w:rPr>
          <w:lang w:bidi="he-IL"/>
        </w:rPr>
      </w:pPr>
      <w:r>
        <w:rPr>
          <w:rStyle w:val="FootnoteCharacters"/>
        </w:rPr>
        <w:footnoteRef/>
      </w:r>
      <w:r>
        <w:rPr>
          <w:rtl/>
          <w:lang w:bidi="he-IL"/>
        </w:rPr>
        <w:tab/>
        <w:t>וא"ת למה לא רק למד ההיתר לאוריה ממה שדוד אמר לאוריה לבעול אותה. ויש לומר שאולי דוד היה מכוון לעבור. (אולי, יותר מזה, עשה אותו אנוס, שצריך לשמוע למלך (יש לדון, שלכאו’ לא צריך לשמוע לו אם אומר לך לעבור, כמו שאומר גמ’, אבל עדיין אולי הוא אנוס כיון שאין לו להניח שנבעלה.). יש לדון אם מותר לעשות אחר לאונס; לא נראה שיהיה מותר. יש להוסיף שהיה אפשר לטעון שמה שאוריה לא רצה לבעול אותה היה מחמת זה (ששמע), ומפני זה, אי אפשר ללמוד ממה ששלח אותה דוד.</w:t>
      </w:r>
    </w:p>
  </w:footnote>
  <w:footnote w:id="14">
    <w:p w14:paraId="37894B5A" w14:textId="77777777" w:rsidR="00FA6ECB" w:rsidRDefault="009F7B0E">
      <w:pPr>
        <w:pStyle w:val="FootnoteText"/>
        <w:rPr>
          <w:lang w:bidi="he-IL"/>
        </w:rPr>
      </w:pPr>
      <w:r>
        <w:rPr>
          <w:rStyle w:val="FootnoteCharacters"/>
        </w:rPr>
        <w:footnoteRef/>
      </w:r>
      <w:r>
        <w:rPr>
          <w:rtl/>
          <w:lang w:bidi="he-IL"/>
        </w:rPr>
        <w:tab/>
        <w:t>יש לדון למה תלויים זה בזה:</w:t>
      </w:r>
    </w:p>
    <w:p w14:paraId="291C916A" w14:textId="77777777" w:rsidR="00FA6ECB" w:rsidRDefault="009F7B0E">
      <w:pPr>
        <w:pStyle w:val="FootnoteText"/>
        <w:numPr>
          <w:ilvl w:val="0"/>
          <w:numId w:val="5"/>
        </w:numPr>
        <w:rPr>
          <w:lang w:bidi="he-IL"/>
        </w:rPr>
      </w:pPr>
      <w:r>
        <w:rPr>
          <w:rtl/>
          <w:lang w:bidi="he-IL"/>
        </w:rPr>
        <w:t>סיבת איסור בעל הוא איסור בועל. (נראה שהביאור יהיה ששינה שם המעשה או היחס להיות של איסור, ולכן יכול לגרום איסור אחר.)</w:t>
      </w:r>
    </w:p>
    <w:p w14:paraId="4803618E" w14:textId="77777777" w:rsidR="00FA6ECB" w:rsidRDefault="009F7B0E">
      <w:pPr>
        <w:pStyle w:val="FootnoteText"/>
        <w:numPr>
          <w:ilvl w:val="0"/>
          <w:numId w:val="5"/>
        </w:numPr>
        <w:rPr>
          <w:lang w:bidi="he-IL"/>
        </w:rPr>
      </w:pPr>
      <w:r>
        <w:rPr>
          <w:rtl/>
          <w:lang w:bidi="he-IL"/>
        </w:rPr>
        <w:t>סיבת איסור בועל הוא איסור בעל. (הביאור יהיה כעין ראשון, או יהיה כדי שלא יהיה חוטא נשכר.) (בשנים אלו, יש לדון אם בא ממה שגרם איסור או ממה שיש איסור. גיל"ד אם תלוי באיסור חברו או ס"ר של חברו.)</w:t>
      </w:r>
    </w:p>
    <w:p w14:paraId="44C25A74" w14:textId="77777777" w:rsidR="00FA6ECB" w:rsidRDefault="009F7B0E">
      <w:pPr>
        <w:pStyle w:val="FootnoteText"/>
        <w:numPr>
          <w:ilvl w:val="0"/>
          <w:numId w:val="5"/>
        </w:numPr>
        <w:rPr>
          <w:lang w:bidi="he-IL"/>
        </w:rPr>
      </w:pPr>
      <w:r>
        <w:rPr>
          <w:rtl/>
          <w:lang w:bidi="he-IL"/>
        </w:rPr>
        <w:t>אולי הם תלויים באותו דבר (לכאו’, יהיה שטומאה לזה הוא טומאה לזה).</w:t>
      </w:r>
    </w:p>
    <w:p w14:paraId="6F14F41F" w14:textId="51D69BE1" w:rsidR="00FA6ECB" w:rsidRDefault="009F7B0E">
      <w:pPr>
        <w:pStyle w:val="FootnoteText"/>
        <w:numPr>
          <w:ilvl w:val="0"/>
          <w:numId w:val="5"/>
        </w:numPr>
        <w:rPr>
          <w:lang w:bidi="he-IL"/>
        </w:rPr>
      </w:pPr>
      <w:r>
        <w:rPr>
          <w:rtl/>
          <w:lang w:bidi="he-IL"/>
        </w:rPr>
        <w:t>אולי תלויים בדברים תלויים. ותחשב מה יהיה.</w:t>
      </w:r>
    </w:p>
    <w:p w14:paraId="3126E560" w14:textId="5CC3EE03" w:rsidR="00B20304" w:rsidRDefault="00B20304">
      <w:pPr>
        <w:pStyle w:val="FootnoteText"/>
        <w:numPr>
          <w:ilvl w:val="0"/>
          <w:numId w:val="5"/>
        </w:numPr>
        <w:rPr>
          <w:lang w:bidi="he-IL"/>
        </w:rPr>
      </w:pPr>
      <w:r>
        <w:rPr>
          <w:rFonts w:hint="cs"/>
          <w:rtl/>
          <w:lang w:bidi="he-IL"/>
        </w:rPr>
        <w:t>אפשר להיות שתורה רצה לתלות אותם. תורה רצתה שיהיה להם דין שווה. (יש לדון למה תרצה תורה בזה. נראה שהוא כעין לא פלוג, שרצה שכל הדינים של ביאה יהיו שווים.)</w:t>
      </w:r>
    </w:p>
  </w:footnote>
  <w:footnote w:id="15">
    <w:p w14:paraId="11E63D41" w14:textId="77777777" w:rsidR="00FA6ECB" w:rsidRDefault="009F7B0E">
      <w:pPr>
        <w:pStyle w:val="FootnoteText"/>
        <w:rPr>
          <w:lang w:bidi="he-IL"/>
        </w:rPr>
      </w:pPr>
      <w:r>
        <w:rPr>
          <w:rStyle w:val="FootnoteCharacters"/>
        </w:rPr>
        <w:footnoteRef/>
      </w:r>
      <w:r>
        <w:rPr>
          <w:rtl/>
          <w:lang w:bidi="he-IL"/>
        </w:rPr>
        <w:tab/>
        <w:t>וא"ת מהיכי תיתי שלא נאסרה על דוד. וי"ל שהוא מפני שדוד המשיך לבעול אותה. וא"ת אולי עשה כן באיסור. וי"ל שלא מסתבר שעבר. (וא"ת הרי בעל אשת איש. וי"ל שאותו מעשה לא היה ראוי לו, כמו שאומר גמ’. גי"ל שהיה יצה"ר מיוחד, כמו שאומר גמ’.) גי"ל שה’ לא ירשה ששלמה המלך ושאר המלכים יבואו מביאה אסורה. גי"ל שבית דין היו מפרישים אותו.</w:t>
      </w:r>
    </w:p>
  </w:footnote>
  <w:footnote w:id="16">
    <w:p w14:paraId="48C8A0FB" w14:textId="77777777" w:rsidR="00FA6ECB" w:rsidRDefault="009F7B0E">
      <w:pPr>
        <w:pStyle w:val="FootnoteText"/>
        <w:rPr>
          <w:lang w:bidi="he-IL"/>
        </w:rPr>
      </w:pPr>
      <w:r>
        <w:rPr>
          <w:rStyle w:val="FootnoteCharacters"/>
        </w:rPr>
        <w:footnoteRef/>
      </w:r>
      <w:r>
        <w:rPr>
          <w:rtl/>
          <w:lang w:bidi="he-IL"/>
        </w:rPr>
        <w:tab/>
        <w:t>איני מבין כל כך דרשת הקרא, שהפסוק מדבר במי שמגרש את אשתו, מתי יכול לגרש אותה. וצריך לע’.</w:t>
      </w:r>
    </w:p>
  </w:footnote>
  <w:footnote w:id="17">
    <w:p w14:paraId="20AAAF14" w14:textId="1BE25ED3" w:rsidR="007412BA" w:rsidRDefault="007412BA">
      <w:pPr>
        <w:pStyle w:val="FootnoteText"/>
        <w:rPr>
          <w:rtl/>
          <w:lang w:bidi="he-IL"/>
        </w:rPr>
      </w:pPr>
      <w:r>
        <w:rPr>
          <w:rStyle w:val="FootnoteReference"/>
        </w:rPr>
        <w:footnoteRef/>
      </w:r>
      <w:r>
        <w:rPr>
          <w:rtl/>
          <w:lang w:bidi="he-IL"/>
        </w:rPr>
        <w:t xml:space="preserve"> </w:t>
      </w:r>
      <w:r>
        <w:rPr>
          <w:rtl/>
          <w:lang w:bidi="he-IL"/>
        </w:rPr>
        <w:tab/>
      </w:r>
      <w:r>
        <w:rPr>
          <w:rFonts w:hint="cs"/>
          <w:rtl/>
          <w:lang w:bidi="he-IL"/>
        </w:rPr>
        <w:t>ההוכחה לא כל כך פשוטה. הרי, זה רק מוכיח לנו שצריכים עדים להוכחה. אבל, אולי מה שעדים מוכיחים אינו הביאה, אלא מוכיחים הקינוי והסתירה, וזה מוכיח הביאה. (זה אף יותר קל לומר אם ההו"א הוא שקו"ס הם חלקים מן האוסרים.)</w:t>
      </w:r>
    </w:p>
    <w:p w14:paraId="565C77CA" w14:textId="58D027CC" w:rsidR="00BB3B1F" w:rsidRDefault="00BB3B1F">
      <w:pPr>
        <w:pStyle w:val="FootnoteText"/>
        <w:rPr>
          <w:lang w:bidi="he-IL"/>
        </w:rPr>
      </w:pPr>
      <w:r>
        <w:rPr>
          <w:rtl/>
          <w:lang w:bidi="he-IL"/>
        </w:rPr>
        <w:tab/>
      </w:r>
      <w:r>
        <w:rPr>
          <w:rFonts w:hint="cs"/>
          <w:rtl/>
          <w:lang w:bidi="he-IL"/>
        </w:rPr>
        <w:t>אפשר לומר שכוונת רש"י הוא שקרא רק אומר "דבר," ואז רק צריכים עדים, ולא יותר (לא צריכים קו"ס). זה בוודאי לא יהני אם ההו"א הוא שצריכים קו"ס לגרום את האיסור (כמו שצריכים ביאה), שעדים הוא הקיום או ההוכחה שצריך, ולא גורם האיסור (שהרי לכן לא הזכיר ביאה). אף בלי זה, יש לדון, שאין הדרשה כל כך פשוטה, ואולי נצטרך לומר שהוא קצת "אם אינו ענין." כיון שכן, קצת קשה ללמוד הרבה מן הפסוק. ותחשב.</w:t>
      </w:r>
    </w:p>
  </w:footnote>
  <w:footnote w:id="18">
    <w:p w14:paraId="3A93EC6F" w14:textId="439853D6" w:rsidR="00A90AB7" w:rsidRDefault="00A90AB7">
      <w:pPr>
        <w:pStyle w:val="FootnoteText"/>
      </w:pPr>
      <w:r>
        <w:rPr>
          <w:rStyle w:val="FootnoteReference"/>
        </w:rPr>
        <w:footnoteRef/>
      </w:r>
      <w:r>
        <w:rPr>
          <w:rtl/>
          <w:lang w:bidi="he-IL"/>
        </w:rPr>
        <w:t xml:space="preserve"> </w:t>
      </w:r>
      <w:r>
        <w:rPr>
          <w:rtl/>
          <w:lang w:bidi="he-IL"/>
        </w:rPr>
        <w:tab/>
      </w:r>
      <w:r>
        <w:rPr>
          <w:rFonts w:hint="cs"/>
          <w:rtl/>
          <w:lang w:bidi="he-IL"/>
        </w:rPr>
        <w:t>לכאו', גם אפשר ללמוד מ"בה." (צריך לע' בתחילת סוטה (ב:) בזה.)</w:t>
      </w:r>
    </w:p>
  </w:footnote>
  <w:footnote w:id="19">
    <w:p w14:paraId="53D4AA21" w14:textId="77777777" w:rsidR="00FA6ECB" w:rsidRDefault="009F7B0E">
      <w:pPr>
        <w:pStyle w:val="FootnoteText"/>
        <w:rPr>
          <w:lang w:bidi="he-IL"/>
        </w:rPr>
      </w:pPr>
      <w:r>
        <w:rPr>
          <w:rStyle w:val="FootnoteCharacters"/>
        </w:rPr>
        <w:footnoteRef/>
      </w:r>
      <w:r>
        <w:rPr>
          <w:rtl/>
          <w:lang w:bidi="he-IL"/>
        </w:rPr>
        <w:tab/>
        <w:t>צריך ביאור, שאותו קרא הוא בציור שיש קינוי וסתירה (שהרי צריך להיות רגלים לדבר). אז, אין שום ראיה משם.</w:t>
      </w:r>
    </w:p>
  </w:footnote>
  <w:footnote w:id="20">
    <w:p w14:paraId="208F91E0" w14:textId="77777777" w:rsidR="00FA6ECB" w:rsidRDefault="009F7B0E">
      <w:pPr>
        <w:pStyle w:val="FootnoteText"/>
        <w:rPr>
          <w:lang w:bidi="he-IL"/>
        </w:rPr>
      </w:pPr>
      <w:r>
        <w:rPr>
          <w:rStyle w:val="FootnoteCharacters"/>
        </w:rPr>
        <w:footnoteRef/>
      </w:r>
      <w:r>
        <w:rPr>
          <w:rtl/>
          <w:lang w:bidi="he-IL"/>
        </w:rPr>
        <w:tab/>
        <w:t>כאן, פרש"י עדים בשניהם. לעיל, לא היה משמע כן.</w:t>
      </w:r>
    </w:p>
  </w:footnote>
  <w:footnote w:id="21">
    <w:p w14:paraId="3EDC08B4" w14:textId="77777777" w:rsidR="00FA6ECB" w:rsidRDefault="009F7B0E">
      <w:pPr>
        <w:pStyle w:val="FootnoteText"/>
        <w:rPr>
          <w:lang w:bidi="he-IL"/>
        </w:rPr>
      </w:pPr>
      <w:r>
        <w:rPr>
          <w:rStyle w:val="FootnoteCharacters"/>
        </w:rPr>
        <w:footnoteRef/>
      </w:r>
      <w:r>
        <w:rPr>
          <w:rtl/>
          <w:lang w:bidi="he-IL"/>
        </w:rPr>
        <w:tab/>
        <w:t>מרש"י יוצא, לכאו’, שאין זה ממילים של רבי אלעזר, אלא הוא הסבר הגמ’.</w:t>
      </w:r>
    </w:p>
  </w:footnote>
  <w:footnote w:id="22">
    <w:p w14:paraId="1A46C26D" w14:textId="5A556943" w:rsidR="00FA6ECB" w:rsidRDefault="009F7B0E">
      <w:pPr>
        <w:pStyle w:val="FootnoteText"/>
        <w:rPr>
          <w:lang w:bidi="he-IL"/>
        </w:rPr>
      </w:pPr>
      <w:r>
        <w:rPr>
          <w:rStyle w:val="FootnoteCharacters"/>
        </w:rPr>
        <w:footnoteRef/>
      </w:r>
      <w:r>
        <w:rPr>
          <w:rtl/>
          <w:lang w:bidi="he-IL"/>
        </w:rPr>
        <w:tab/>
        <w:t>לשון זה "לאוסרה על עצמה" משמע שחלק מקושיית הגמ’ היה ממה שמשתמש בשוי"א. לשונו גם משמע שקאי על פ"פ. אז, נראה שאומר כצד שלישי שכתבנו בביאורים שלנו על הגמ’.</w:t>
      </w:r>
      <w:r w:rsidR="00ED592C">
        <w:rPr>
          <w:rFonts w:hint="cs"/>
          <w:rtl/>
          <w:lang w:bidi="he-IL"/>
        </w:rPr>
        <w:t xml:space="preserve"> (עיין לעיל, ברשי בתחילת הסוגיה, ששם הערנו שמשמע שהקושיה הוא מחמת שוי"א בפני עצמו.)</w:t>
      </w:r>
    </w:p>
  </w:footnote>
  <w:footnote w:id="23">
    <w:p w14:paraId="3091C860" w14:textId="0D4B49D3" w:rsidR="005D67C4" w:rsidRDefault="005D67C4">
      <w:pPr>
        <w:pStyle w:val="FootnoteText"/>
      </w:pPr>
      <w:r>
        <w:rPr>
          <w:rStyle w:val="FootnoteReference"/>
        </w:rPr>
        <w:footnoteRef/>
      </w:r>
      <w:r>
        <w:rPr>
          <w:rtl/>
          <w:lang w:bidi="he-IL"/>
        </w:rPr>
        <w:t xml:space="preserve"> </w:t>
      </w:r>
      <w:r>
        <w:rPr>
          <w:rtl/>
          <w:lang w:bidi="he-IL"/>
        </w:rPr>
        <w:tab/>
      </w:r>
      <w:r>
        <w:rPr>
          <w:rFonts w:hint="cs"/>
          <w:rtl/>
          <w:lang w:bidi="he-IL"/>
        </w:rPr>
        <w:t>ואם תאמר עדיין אינו כעדים, שאינו נאמן ממש. אולי רצה לומר שיש לו קרק' החשוב של עדים, והוא מה שהוא מאמין אותו</w:t>
      </w:r>
      <w:r w:rsidR="00D2464B">
        <w:rPr>
          <w:rFonts w:hint="cs"/>
          <w:rtl/>
          <w:lang w:bidi="he-IL"/>
        </w:rPr>
        <w:t>, או מה שזה גורם (שיש דין נאמנות).</w:t>
      </w:r>
      <w:r>
        <w:rPr>
          <w:rFonts w:hint="cs"/>
          <w:rtl/>
          <w:lang w:bidi="he-IL"/>
        </w:rPr>
        <w:t xml:space="preserve"> יותר מזה, נראה שרצה לומר שהוא נאמן בוודאי לעצמו, ואז יהיה איסור לעצמו.</w:t>
      </w:r>
    </w:p>
  </w:footnote>
  <w:footnote w:id="24">
    <w:p w14:paraId="279D8BB1" w14:textId="77777777" w:rsidR="00FA6ECB" w:rsidRDefault="009F7B0E">
      <w:pPr>
        <w:pStyle w:val="FootnoteText"/>
        <w:rPr>
          <w:lang w:bidi="he-IL"/>
        </w:rPr>
      </w:pPr>
      <w:r>
        <w:rPr>
          <w:rStyle w:val="FootnoteCharacters"/>
        </w:rPr>
        <w:footnoteRef/>
      </w:r>
      <w:r>
        <w:rPr>
          <w:rtl/>
          <w:lang w:bidi="he-IL"/>
        </w:rPr>
        <w:tab/>
        <w:t>נמצא שאף למסקנת גמ’ רש"י סובר שעל כל פנים לו ברור הוא.</w:t>
      </w:r>
    </w:p>
  </w:footnote>
  <w:footnote w:id="25">
    <w:p w14:paraId="5E69BDC0" w14:textId="458F76CF" w:rsidR="002456B1" w:rsidRDefault="002456B1">
      <w:pPr>
        <w:pStyle w:val="FootnoteText"/>
        <w:rPr>
          <w:rtl/>
          <w:lang w:bidi="he-IL"/>
        </w:rPr>
      </w:pPr>
      <w:r>
        <w:rPr>
          <w:rStyle w:val="FootnoteReference"/>
        </w:rPr>
        <w:footnoteRef/>
      </w:r>
      <w:r>
        <w:rPr>
          <w:rtl/>
          <w:lang w:bidi="he-IL"/>
        </w:rPr>
        <w:t xml:space="preserve"> </w:t>
      </w:r>
      <w:r>
        <w:rPr>
          <w:rtl/>
          <w:lang w:bidi="he-IL"/>
        </w:rPr>
        <w:tab/>
      </w:r>
      <w:r>
        <w:rPr>
          <w:rFonts w:hint="cs"/>
          <w:rtl/>
          <w:lang w:bidi="he-IL"/>
        </w:rPr>
        <w:t xml:space="preserve">מעניין שפעם דן על דוד ופעם דן על אוריה. </w:t>
      </w:r>
      <w:r w:rsidR="00AB2150">
        <w:rPr>
          <w:rFonts w:hint="cs"/>
          <w:rtl/>
          <w:lang w:bidi="he-IL"/>
        </w:rPr>
        <w:t xml:space="preserve">(תלויים זה על זה, ואז לכאו' אותו קושיה הוא, אבל עדיין מעניין הוא.) </w:t>
      </w:r>
      <w:r>
        <w:rPr>
          <w:rFonts w:hint="cs"/>
          <w:rtl/>
          <w:lang w:bidi="he-IL"/>
        </w:rPr>
        <w:t>נראה שפעם ראשונה דן על אוריה, כיון שאמר דין על הבעל. אחר זה, רק מקשה מן הדין שרואים מן הקרא. רואים דין דוד מן הקרא יותר קל ממה שרואים דין אוריה, ואז דן בו. ויש לדון, שאם נאמר שקושיה מדוד בא מתחילת המאמר (או שבא ממסקנת הגמ' או שנמשך מתחילת המאמר), אז עוד היה לו לנקוט בעל. אולי רצה לומר בעל, וגמ' ורש"י רק יודעים שתלויים זה על זה, ולכן נקט דוד. לעיל, נקטו אוריה לבאר את התלייה. ותחשב.</w:t>
      </w:r>
    </w:p>
    <w:p w14:paraId="2BCDC56F" w14:textId="12014F04" w:rsidR="00680A34" w:rsidRDefault="00680A34">
      <w:pPr>
        <w:pStyle w:val="FootnoteText"/>
      </w:pPr>
      <w:r>
        <w:rPr>
          <w:rtl/>
          <w:lang w:bidi="he-IL"/>
        </w:rPr>
        <w:tab/>
      </w:r>
      <w:r>
        <w:rPr>
          <w:rFonts w:hint="cs"/>
          <w:rtl/>
          <w:lang w:bidi="he-IL"/>
        </w:rPr>
        <w:t>אפשר שסובר כרשבא שלקושיית גמ' לא תלויים זה בזה</w:t>
      </w:r>
      <w:r w:rsidR="00646157">
        <w:rPr>
          <w:rFonts w:hint="cs"/>
          <w:rtl/>
          <w:lang w:bidi="he-IL"/>
        </w:rPr>
        <w:t>, ולכן רק יכול לנקוט דוד, ולא אוריה.</w:t>
      </w:r>
      <w:r w:rsidR="00DF78DA">
        <w:rPr>
          <w:rFonts w:hint="cs"/>
          <w:rtl/>
          <w:lang w:bidi="he-IL"/>
        </w:rPr>
        <w:t xml:space="preserve"> אבל, אז, צריך לומר שלא תלוי בתחילת הבריי', כמובן, שזה דיבר בבעל. ותחשב על זה.</w:t>
      </w:r>
    </w:p>
  </w:footnote>
  <w:footnote w:id="26">
    <w:p w14:paraId="7D28278C" w14:textId="28D01B35" w:rsidR="00C83F50" w:rsidRDefault="00C83F50">
      <w:pPr>
        <w:pStyle w:val="FootnoteText"/>
        <w:rPr>
          <w:rtl/>
          <w:lang w:bidi="he-IL"/>
        </w:rPr>
      </w:pPr>
      <w:r>
        <w:rPr>
          <w:rStyle w:val="FootnoteReference"/>
        </w:rPr>
        <w:footnoteRef/>
      </w:r>
      <w:r>
        <w:rPr>
          <w:rtl/>
          <w:lang w:bidi="he-IL"/>
        </w:rPr>
        <w:t xml:space="preserve"> </w:t>
      </w:r>
      <w:r>
        <w:rPr>
          <w:rtl/>
          <w:lang w:bidi="he-IL"/>
        </w:rPr>
        <w:tab/>
      </w:r>
      <w:r>
        <w:rPr>
          <w:rFonts w:hint="cs"/>
          <w:rtl/>
          <w:lang w:bidi="he-IL"/>
        </w:rPr>
        <w:t>יש לדון איך ידעו:</w:t>
      </w:r>
    </w:p>
    <w:p w14:paraId="52B07C0C" w14:textId="019786E3" w:rsidR="00C83F50" w:rsidRDefault="00C83F50" w:rsidP="00C83F50">
      <w:pPr>
        <w:pStyle w:val="FootnoteText"/>
        <w:numPr>
          <w:ilvl w:val="0"/>
          <w:numId w:val="8"/>
        </w:numPr>
      </w:pPr>
      <w:r>
        <w:rPr>
          <w:rFonts w:hint="cs"/>
          <w:rtl/>
          <w:lang w:bidi="he-IL"/>
        </w:rPr>
        <w:t>ראו. לא כל כך פשוט מהיכי תיתי שראו, אבל אולי מסתבר לגמ' כן, כיון שהיה דוד מלך.</w:t>
      </w:r>
    </w:p>
    <w:p w14:paraId="2D1E69B0" w14:textId="63549EC8" w:rsidR="00C83F50" w:rsidRDefault="00C83F50" w:rsidP="00C83F50">
      <w:pPr>
        <w:pStyle w:val="FootnoteText"/>
        <w:numPr>
          <w:ilvl w:val="0"/>
          <w:numId w:val="8"/>
        </w:numPr>
      </w:pPr>
      <w:r>
        <w:rPr>
          <w:rFonts w:hint="cs"/>
          <w:rtl/>
          <w:lang w:bidi="he-IL"/>
        </w:rPr>
        <w:t>ידעו. אולי אנן סהדי הוא. אם נאמר כן, יהיה משמע שענין של אנן סהדי אינו שדבר שהוא פשוט הוא כאילו יש עליו עדים, אלא יהיה שהרבה בני אדם יודעים, וידיעה כזה הוא כראייה.</w:t>
      </w:r>
      <w:r w:rsidR="00C703CA">
        <w:rPr>
          <w:rFonts w:hint="cs"/>
          <w:rtl/>
          <w:lang w:bidi="he-IL"/>
        </w:rPr>
        <w:t xml:space="preserve"> (אם נאמר כזה, צריך לומר שעדים אינו רק ראיה, שאז לא צריך מה שבני אדם יודעים, שמספיק מה שיש ראיה, אלא סיבה.)</w:t>
      </w:r>
    </w:p>
  </w:footnote>
  <w:footnote w:id="27">
    <w:p w14:paraId="5120ADE0" w14:textId="587AC243" w:rsidR="00F5121B" w:rsidRDefault="00F5121B">
      <w:pPr>
        <w:pStyle w:val="FootnoteText"/>
        <w:rPr>
          <w:lang w:bidi="he-IL"/>
        </w:rPr>
      </w:pPr>
      <w:r>
        <w:rPr>
          <w:rStyle w:val="FootnoteReference"/>
        </w:rPr>
        <w:footnoteRef/>
      </w:r>
      <w:r>
        <w:rPr>
          <w:rtl/>
          <w:lang w:bidi="he-IL"/>
        </w:rPr>
        <w:t xml:space="preserve"> </w:t>
      </w:r>
      <w:r>
        <w:rPr>
          <w:rtl/>
          <w:lang w:bidi="he-IL"/>
        </w:rPr>
        <w:tab/>
      </w:r>
      <w:r>
        <w:rPr>
          <w:rFonts w:hint="cs"/>
          <w:rtl/>
          <w:lang w:bidi="he-IL"/>
        </w:rPr>
        <w:t>אולי רש"י נוקט זה, ולא נוקט מה שדוד עצמו ידע, כיון שסובר שקושיית גמ' הוא שבית דין יפרישו אותו, ולא שהוא עצמו לא יחטא. יש לדון בזה, שאין דנים על מלך. אולי להפריש אותו מאיסור שאני. גם אפשר לומר שרש"י סובר שאין איסור בלי עדים או קו"ס, ואז לא יהיה איסור לדוד.</w:t>
      </w:r>
      <w:r w:rsidR="00604837">
        <w:rPr>
          <w:rFonts w:hint="cs"/>
          <w:rtl/>
          <w:lang w:bidi="he-IL"/>
        </w:rPr>
        <w:t xml:space="preserve"> אבל, יש לדון למה לא נחשב שוי"א, שלכאו' אמר כן בתהילים וכדומה. ותחשב.</w:t>
      </w:r>
    </w:p>
    <w:p w14:paraId="787B77BA" w14:textId="540B7865" w:rsidR="00680C83" w:rsidRPr="00680C83" w:rsidRDefault="00680C83">
      <w:pPr>
        <w:pStyle w:val="FootnoteText"/>
        <w:rPr>
          <w:rtl/>
          <w:lang w:val="en-US"/>
        </w:rPr>
      </w:pPr>
      <w:r>
        <w:rPr>
          <w:lang w:bidi="he-IL"/>
        </w:rPr>
        <w:tab/>
      </w:r>
      <w:r>
        <w:rPr>
          <w:rFonts w:hint="cs"/>
          <w:rtl/>
          <w:lang w:val="en-US" w:bidi="he-IL"/>
        </w:rPr>
        <w:t>צד שני צריך ביאור, שצריכים לבאר מה החילוק בין ציור זה לקמ"ל של גמ'. צריך לבאר, באמת, מהו קמ"ל של גמ'. נוכל לומר שהוא שלא צריכים עדי קיום  (אולי ידע זה אף בהו"א), ואז פתח פתוח הוא כשני עדים. גם אפשר שמחדש שצריך עדים לקיום, אבל שוי"א על ידי פ"פ מהני. יש לדון למה. אולי הוא מפני שיש, בזמן ביאה, הוכחה אל הביאה, ויהיה ראייה מן העתיד.</w:t>
      </w:r>
      <w:r w:rsidR="000E3D38">
        <w:rPr>
          <w:rFonts w:hint="cs"/>
          <w:rtl/>
          <w:lang w:val="en-US" w:bidi="he-IL"/>
        </w:rPr>
        <w:t xml:space="preserve"> אם כן, </w:t>
      </w:r>
      <w:r w:rsidR="002D4ABE">
        <w:rPr>
          <w:rFonts w:hint="cs"/>
          <w:rtl/>
          <w:lang w:val="en-US" w:bidi="he-IL"/>
        </w:rPr>
        <w:t>קל</w:t>
      </w:r>
      <w:r w:rsidR="000E3D38">
        <w:rPr>
          <w:rFonts w:hint="cs"/>
          <w:rtl/>
          <w:lang w:val="en-US" w:bidi="he-IL"/>
        </w:rPr>
        <w:t xml:space="preserve"> לומר שאין זה נוהג כאן, שאין רושם של ביאה זו לאחר זמן. (יש לדון, שנתעברה, והילד, אולי, יראה כדוד. צריך לומר שאין זה ראיה מספיק; כן נראה, שלא נראה שמוציאים אשה מבעלה מחמת זה. ויש לדון, שאולי יותר מזה אי אפשר לאוריה לבעול אותה באותו זמן. אולי עדיין נחוש שעובר נשתהה בתוכה.)</w:t>
      </w:r>
      <w:r w:rsidR="002D4ABE">
        <w:rPr>
          <w:rFonts w:hint="cs"/>
          <w:rtl/>
          <w:lang w:val="en-US" w:bidi="he-IL"/>
        </w:rPr>
        <w:t xml:space="preserve"> גם יש לומר שמה שיש מי שעושה שוי"א (אף שהוא אנו שם בשעת ביאה, שכל זמן שהוא בא, הוא מקיים אותה) יכול לגרום האיסור, מה שאין כן בדוד, שכיון שלא הודה (אם לא הודה), אין מי שיגרום את האיסור.</w:t>
      </w:r>
      <w:r w:rsidR="009E0E9D">
        <w:rPr>
          <w:rFonts w:hint="cs"/>
          <w:rtl/>
          <w:lang w:val="en-US" w:bidi="he-IL"/>
        </w:rPr>
        <w:t xml:space="preserve"> (מה שאוסר, אז, אולי הוא מה שמגיד הבעל לכולם או מה שיודע מי שיגלה את זה לכולם.)</w:t>
      </w:r>
    </w:p>
  </w:footnote>
  <w:footnote w:id="28">
    <w:p w14:paraId="20408002" w14:textId="35842723" w:rsidR="002E148F" w:rsidRDefault="002E148F">
      <w:pPr>
        <w:pStyle w:val="FootnoteText"/>
      </w:pPr>
      <w:r>
        <w:rPr>
          <w:rStyle w:val="FootnoteReference"/>
        </w:rPr>
        <w:footnoteRef/>
      </w:r>
      <w:r>
        <w:rPr>
          <w:rtl/>
          <w:lang w:bidi="he-IL"/>
        </w:rPr>
        <w:t xml:space="preserve"> </w:t>
      </w:r>
      <w:r>
        <w:rPr>
          <w:rtl/>
          <w:lang w:bidi="he-IL"/>
        </w:rPr>
        <w:tab/>
      </w:r>
      <w:r>
        <w:rPr>
          <w:rFonts w:hint="cs"/>
          <w:rtl/>
          <w:lang w:bidi="he-IL"/>
        </w:rPr>
        <w:t>לכאו', נקרא דבר שמעורב ביניהם כיון שהוא יחס בין שניהם; אז, הוא יחס של זה ושל זה.</w:t>
      </w:r>
      <w:r w:rsidR="00EC00DC">
        <w:rPr>
          <w:rFonts w:hint="cs"/>
          <w:rtl/>
          <w:lang w:bidi="he-IL"/>
        </w:rPr>
        <w:t xml:space="preserve"> גם יש לומר שהוא מעורב ביניהם כיון שזה וזה הם העושים את היחס (שצרפו לעשות אותו).</w:t>
      </w:r>
      <w:r w:rsidR="0068082C">
        <w:rPr>
          <w:rFonts w:hint="cs"/>
          <w:rtl/>
          <w:lang w:bidi="he-IL"/>
        </w:rPr>
        <w:t xml:space="preserve"> ביותר נראה לומר שקידושין נחשב דבר שמערב אותם כיון שגורם להם יחס קחזק עד שהם מעורבים כאחד. ותחשב.</w:t>
      </w:r>
      <w:r w:rsidR="00EC00DC">
        <w:rPr>
          <w:rFonts w:hint="cs"/>
          <w:rtl/>
          <w:lang w:bidi="he-IL"/>
        </w:rPr>
        <w:t xml:space="preserve"> יש להעיר שגם אפשר לומר שהוא מכוון לגט, והיו שולחים את הגט ביד דוד, ונקרא דבר שמערב אותם כצד שני שכתבנו.</w:t>
      </w:r>
    </w:p>
  </w:footnote>
  <w:footnote w:id="29">
    <w:p w14:paraId="6484A475" w14:textId="74A64101" w:rsidR="005E7AAF" w:rsidRDefault="005E7AAF">
      <w:pPr>
        <w:pStyle w:val="FootnoteText"/>
        <w:rPr>
          <w:rFonts w:hint="cs"/>
        </w:rPr>
      </w:pPr>
      <w:r>
        <w:rPr>
          <w:rStyle w:val="FootnoteReference"/>
        </w:rPr>
        <w:footnoteRef/>
      </w:r>
      <w:r>
        <w:rPr>
          <w:rtl/>
          <w:lang w:bidi="he-IL"/>
        </w:rPr>
        <w:t xml:space="preserve"> </w:t>
      </w:r>
      <w:r>
        <w:rPr>
          <w:rtl/>
          <w:lang w:bidi="he-IL"/>
        </w:rPr>
        <w:tab/>
      </w:r>
      <w:r>
        <w:rPr>
          <w:rFonts w:hint="cs"/>
          <w:rtl/>
          <w:lang w:bidi="he-IL"/>
        </w:rPr>
        <w:t>לשונו מעניין, שאומר ש"אסרה," ולא ש"נאמן לאוסרה." קצת משמע שנדר הוא, ולא נאמנות.</w:t>
      </w:r>
    </w:p>
  </w:footnote>
  <w:footnote w:id="30">
    <w:p w14:paraId="3FFB63A0" w14:textId="5949F8A7" w:rsidR="009F0D8E" w:rsidRDefault="009F0D8E">
      <w:pPr>
        <w:pStyle w:val="FootnoteText"/>
      </w:pPr>
      <w:r>
        <w:rPr>
          <w:rStyle w:val="FootnoteReference"/>
        </w:rPr>
        <w:footnoteRef/>
      </w:r>
      <w:r>
        <w:rPr>
          <w:rtl/>
          <w:lang w:bidi="he-IL"/>
        </w:rPr>
        <w:t xml:space="preserve"> </w:t>
      </w:r>
      <w:r>
        <w:rPr>
          <w:rtl/>
          <w:lang w:bidi="he-IL"/>
        </w:rPr>
        <w:tab/>
      </w:r>
      <w:r>
        <w:rPr>
          <w:rFonts w:hint="cs"/>
          <w:rtl/>
          <w:lang w:bidi="he-IL"/>
        </w:rPr>
        <w:t>משמע שהקא משמע לן הוא שקים ליה. יש לדון, שאולי רצה לומר שלא אומרים שלא קים ליה, אלא לא אומרים זה, שלא נוגע, ואין זה משנה את הדין. אז, הקקא משמע לן הוא שאין לפוסלו מחמת שלא קים ליה.</w:t>
      </w:r>
    </w:p>
  </w:footnote>
  <w:footnote w:id="31">
    <w:p w14:paraId="28387F76" w14:textId="12639109" w:rsidR="00CE69F3" w:rsidRDefault="00CE69F3">
      <w:pPr>
        <w:pStyle w:val="FootnoteText"/>
      </w:pPr>
      <w:r>
        <w:rPr>
          <w:rStyle w:val="FootnoteReference"/>
        </w:rPr>
        <w:footnoteRef/>
      </w:r>
      <w:r>
        <w:rPr>
          <w:rtl/>
          <w:lang w:bidi="he-IL"/>
        </w:rPr>
        <w:t xml:space="preserve"> </w:t>
      </w:r>
      <w:r>
        <w:rPr>
          <w:rtl/>
          <w:lang w:bidi="he-IL"/>
        </w:rPr>
        <w:tab/>
      </w:r>
      <w:r>
        <w:rPr>
          <w:rFonts w:hint="cs"/>
          <w:rtl/>
          <w:lang w:bidi="he-IL"/>
        </w:rPr>
        <w:t>עיין במה שבארנו על הגמ' בביאור קושיית הגמ'. נראה שמקשה שהוא מוחל את הכסף, ואז אין צורך לגזי' על זה. אפשר לדחות שרצה לומר שכיון שאין איסור אלא איבוד ממון, וקל לשמור מאיבוד הממון בדרך אחר, לא יתקנו רבנן.</w:t>
      </w:r>
    </w:p>
  </w:footnote>
  <w:footnote w:id="32">
    <w:p w14:paraId="6FFF34C7" w14:textId="3C16207F" w:rsidR="001B5D76" w:rsidRDefault="001B5D76">
      <w:pPr>
        <w:pStyle w:val="FootnoteText"/>
      </w:pPr>
      <w:r>
        <w:rPr>
          <w:rStyle w:val="FootnoteReference"/>
        </w:rPr>
        <w:footnoteRef/>
      </w:r>
      <w:r>
        <w:rPr>
          <w:rtl/>
          <w:lang w:bidi="he-IL"/>
        </w:rPr>
        <w:t xml:space="preserve"> </w:t>
      </w:r>
      <w:r>
        <w:rPr>
          <w:rtl/>
          <w:lang w:bidi="he-IL"/>
        </w:rPr>
        <w:tab/>
      </w:r>
      <w:r>
        <w:rPr>
          <w:rFonts w:hint="cs"/>
          <w:rtl/>
          <w:lang w:bidi="he-IL"/>
        </w:rPr>
        <w:t>עיין במה שכ' רש"י על המשנה, וע' בתוס' שם. עיין במה שבארנו בזה בביאורים שלנו על הגמ'.</w:t>
      </w:r>
      <w:r w:rsidR="00E51B8F">
        <w:rPr>
          <w:rFonts w:hint="cs"/>
          <w:rtl/>
          <w:lang w:bidi="he-IL"/>
        </w:rPr>
        <w:t xml:space="preserve"> לפי 'ש ני של תוס', בוודאי לא קשה. אף לפי' ראשון, נוכל לומר שנקרא אסורה כיון שצ' לברר ס"ס. אבל, דחוק, שיש לו חיוב לברר, אבל לכאו' אין איסור עד שנתברר. (יש לדון, שנוכל לומר שכן קבעו חז"ל או תורה, כדי שיברר.)</w:t>
      </w:r>
      <w:r w:rsidR="008108A1">
        <w:rPr>
          <w:rFonts w:hint="cs"/>
          <w:rtl/>
          <w:lang w:bidi="he-IL"/>
        </w:rPr>
        <w:t xml:space="preserve"> גם יש לומר שמה שעשוה קול אינו מה שקים ליה, אלא מה שלפעמים בטענה כזה עושה איסור (אולי זה עושה קול או אולי מגלה לבני אדם שקים ליה, וזה עושה קול).</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51F3C"/>
    <w:multiLevelType w:val="hybridMultilevel"/>
    <w:tmpl w:val="E4D683E6"/>
    <w:lvl w:ilvl="0" w:tplc="0409000F">
      <w:start w:val="1"/>
      <w:numFmt w:val="decimal"/>
      <w:lvlText w:val="%1."/>
      <w:lvlJc w:val="left"/>
      <w:pPr>
        <w:ind w:left="1079" w:hanging="360"/>
      </w:p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1" w15:restartNumberingAfterBreak="0">
    <w:nsid w:val="0EB15501"/>
    <w:multiLevelType w:val="multilevel"/>
    <w:tmpl w:val="A776DBCE"/>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2" w15:restartNumberingAfterBreak="0">
    <w:nsid w:val="477F179F"/>
    <w:multiLevelType w:val="multilevel"/>
    <w:tmpl w:val="DE0E596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48470E7B"/>
    <w:multiLevelType w:val="multilevel"/>
    <w:tmpl w:val="4E545A8C"/>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4" w15:restartNumberingAfterBreak="0">
    <w:nsid w:val="4C1F0577"/>
    <w:multiLevelType w:val="hybridMultilevel"/>
    <w:tmpl w:val="A168C0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4115206"/>
    <w:multiLevelType w:val="multilevel"/>
    <w:tmpl w:val="EAEA9604"/>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6" w15:restartNumberingAfterBreak="0">
    <w:nsid w:val="579357DC"/>
    <w:multiLevelType w:val="hybridMultilevel"/>
    <w:tmpl w:val="C680B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7053F75"/>
    <w:multiLevelType w:val="multilevel"/>
    <w:tmpl w:val="675A63AE"/>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num w:numId="1">
    <w:abstractNumId w:val="2"/>
  </w:num>
  <w:num w:numId="2">
    <w:abstractNumId w:val="5"/>
  </w:num>
  <w:num w:numId="3">
    <w:abstractNumId w:val="3"/>
  </w:num>
  <w:num w:numId="4">
    <w:abstractNumId w:val="1"/>
  </w:num>
  <w:num w:numId="5">
    <w:abstractNumId w:val="7"/>
  </w:num>
  <w:num w:numId="6">
    <w:abstractNumId w:val="6"/>
  </w:num>
  <w:num w:numId="7">
    <w:abstractNumId w:val="0"/>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A6ECB"/>
    <w:rsid w:val="000E3D38"/>
    <w:rsid w:val="000E5E96"/>
    <w:rsid w:val="001211E4"/>
    <w:rsid w:val="001B5D76"/>
    <w:rsid w:val="002456B1"/>
    <w:rsid w:val="002D4ABE"/>
    <w:rsid w:val="002E148F"/>
    <w:rsid w:val="005D67C4"/>
    <w:rsid w:val="005E7AAF"/>
    <w:rsid w:val="00604837"/>
    <w:rsid w:val="00646157"/>
    <w:rsid w:val="0068082C"/>
    <w:rsid w:val="00680A34"/>
    <w:rsid w:val="00680C83"/>
    <w:rsid w:val="007136DC"/>
    <w:rsid w:val="007412BA"/>
    <w:rsid w:val="008108A1"/>
    <w:rsid w:val="009E0E9D"/>
    <w:rsid w:val="009F0D8E"/>
    <w:rsid w:val="009F7B0E"/>
    <w:rsid w:val="00A43898"/>
    <w:rsid w:val="00A73867"/>
    <w:rsid w:val="00A90AB7"/>
    <w:rsid w:val="00AB2150"/>
    <w:rsid w:val="00AF263F"/>
    <w:rsid w:val="00AF30D2"/>
    <w:rsid w:val="00B20304"/>
    <w:rsid w:val="00BB3B1F"/>
    <w:rsid w:val="00C703CA"/>
    <w:rsid w:val="00C83F50"/>
    <w:rsid w:val="00CE69F3"/>
    <w:rsid w:val="00D2464B"/>
    <w:rsid w:val="00DF78DA"/>
    <w:rsid w:val="00E51B8F"/>
    <w:rsid w:val="00EC00DC"/>
    <w:rsid w:val="00ED592C"/>
    <w:rsid w:val="00F5121B"/>
    <w:rsid w:val="00FA6ECB"/>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8AA4B"/>
  <w15:docId w15:val="{69B542E9-941F-4053-9164-8ECC3049B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NSimSun" w:hAnsi="Times New Roman" w:cs="Narkisim"/>
        <w:kern w:val="2"/>
        <w:sz w:val="24"/>
        <w:szCs w:val="22"/>
        <w:lang w:val="en-GB"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style>
  <w:style w:type="character" w:customStyle="1" w:styleId="CITE">
    <w:name w:val="CITE"/>
    <w:qFormat/>
    <w:rPr>
      <w:i/>
    </w:rPr>
  </w:style>
  <w:style w:type="character" w:customStyle="1" w:styleId="CODE">
    <w:name w:val="CODE"/>
    <w:qFormat/>
    <w:rPr>
      <w:rFonts w:ascii="Courier New" w:hAnsi="Courier New"/>
      <w:sz w:val="20"/>
    </w:rPr>
  </w:style>
  <w:style w:type="character" w:customStyle="1" w:styleId="Keyboard">
    <w:name w:val="Keyboard"/>
    <w:qFormat/>
    <w:rPr>
      <w:rFonts w:ascii="Courier New" w:hAnsi="Courier New"/>
      <w:b/>
      <w:sz w:val="20"/>
    </w:rPr>
  </w:style>
  <w:style w:type="character" w:customStyle="1" w:styleId="Sample">
    <w:name w:val="Sample"/>
    <w:qFormat/>
    <w:rPr>
      <w:rFonts w:ascii="Courier New" w:hAnsi="Courier New"/>
    </w:rPr>
  </w:style>
  <w:style w:type="character" w:styleId="Strong">
    <w:name w:val="Strong"/>
    <w:qFormat/>
    <w:rPr>
      <w:b/>
    </w:rPr>
  </w:style>
  <w:style w:type="character" w:customStyle="1" w:styleId="Typewriter">
    <w:name w:val="Typewriter"/>
    <w:qFormat/>
    <w:rPr>
      <w:rFonts w:ascii="Courier New" w:hAnsi="Courier New"/>
      <w:sz w:val="20"/>
    </w:rPr>
  </w:style>
  <w:style w:type="character" w:customStyle="1" w:styleId="HTMLMarkup">
    <w:name w:val="HTML Markup"/>
    <w:qFormat/>
    <w:rPr>
      <w:vanish/>
      <w:color w:val="FF0000"/>
    </w:rPr>
  </w:style>
  <w:style w:type="character" w:customStyle="1" w:styleId="Comment">
    <w:name w:val="Comment"/>
    <w:qFormat/>
    <w:rPr>
      <w:vanish/>
    </w:rP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customStyle="1" w:styleId="NumberingSymbols">
    <w:name w:val="Numbering Symbols"/>
    <w:qFormat/>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Arial" w:eastAsia="Microsoft YaHei" w:hAnsi="Arial"/>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DefinitionTerm">
    <w:name w:val="Definition Term"/>
    <w:basedOn w:val="Normal"/>
    <w:qFormat/>
  </w:style>
  <w:style w:type="paragraph" w:customStyle="1" w:styleId="DefinitionList">
    <w:name w:val="Definition List"/>
    <w:basedOn w:val="Normal"/>
    <w:next w:val="DefinitionTerm"/>
    <w:qFormat/>
    <w:pPr>
      <w:ind w:left="360"/>
    </w:pPr>
  </w:style>
  <w:style w:type="paragraph" w:customStyle="1" w:styleId="H1">
    <w:name w:val="H1"/>
    <w:basedOn w:val="Normal"/>
    <w:next w:val="Normal"/>
    <w:qFormat/>
    <w:pPr>
      <w:keepNext/>
      <w:spacing w:before="100" w:after="100"/>
      <w:outlineLvl w:val="1"/>
    </w:pPr>
    <w:rPr>
      <w:b/>
      <w:sz w:val="48"/>
    </w:rPr>
  </w:style>
  <w:style w:type="paragraph" w:customStyle="1" w:styleId="H2">
    <w:name w:val="H2"/>
    <w:basedOn w:val="Normal"/>
    <w:next w:val="Normal"/>
    <w:qFormat/>
    <w:pPr>
      <w:keepNext/>
      <w:spacing w:before="100" w:after="100"/>
      <w:outlineLvl w:val="2"/>
    </w:pPr>
    <w:rPr>
      <w:b/>
      <w:sz w:val="36"/>
    </w:rPr>
  </w:style>
  <w:style w:type="paragraph" w:customStyle="1" w:styleId="H3">
    <w:name w:val="H3"/>
    <w:basedOn w:val="Normal"/>
    <w:next w:val="Normal"/>
    <w:qFormat/>
    <w:pPr>
      <w:keepNext/>
      <w:spacing w:before="100" w:after="100"/>
      <w:outlineLvl w:val="3"/>
    </w:pPr>
    <w:rPr>
      <w:b/>
      <w:sz w:val="28"/>
    </w:rPr>
  </w:style>
  <w:style w:type="paragraph" w:customStyle="1" w:styleId="H4">
    <w:name w:val="H4"/>
    <w:basedOn w:val="Normal"/>
    <w:next w:val="Normal"/>
    <w:qFormat/>
    <w:pPr>
      <w:keepNext/>
      <w:spacing w:before="100" w:after="100"/>
      <w:outlineLvl w:val="4"/>
    </w:pPr>
    <w:rPr>
      <w:b/>
    </w:rPr>
  </w:style>
  <w:style w:type="paragraph" w:customStyle="1" w:styleId="H5">
    <w:name w:val="H5"/>
    <w:basedOn w:val="Normal"/>
    <w:next w:val="Normal"/>
    <w:qFormat/>
    <w:pPr>
      <w:keepNext/>
      <w:spacing w:before="100" w:after="100"/>
      <w:outlineLvl w:val="5"/>
    </w:pPr>
    <w:rPr>
      <w:b/>
      <w:sz w:val="20"/>
    </w:rPr>
  </w:style>
  <w:style w:type="paragraph" w:customStyle="1" w:styleId="H6">
    <w:name w:val="H6"/>
    <w:basedOn w:val="Normal"/>
    <w:next w:val="Normal"/>
    <w:qFormat/>
    <w:pPr>
      <w:keepNext/>
      <w:spacing w:before="100" w:after="100"/>
      <w:outlineLvl w:val="6"/>
    </w:pPr>
    <w:rPr>
      <w:b/>
      <w:sz w:val="16"/>
    </w:rPr>
  </w:style>
  <w:style w:type="paragraph" w:customStyle="1" w:styleId="Address">
    <w:name w:val="Address"/>
    <w:basedOn w:val="Normal"/>
    <w:next w:val="Normal"/>
    <w:qFormat/>
    <w:rPr>
      <w:i/>
    </w:rPr>
  </w:style>
  <w:style w:type="paragraph" w:customStyle="1" w:styleId="Blockquote">
    <w:name w:val="Blockquote"/>
    <w:basedOn w:val="Normal"/>
    <w:qFormat/>
    <w:pPr>
      <w:spacing w:before="100" w:after="100"/>
      <w:ind w:left="360" w:right="360"/>
    </w:pPr>
  </w:style>
  <w:style w:type="paragraph" w:customStyle="1" w:styleId="Preformatted">
    <w:name w:val="Preformatted"/>
    <w:basedOn w:val="Normal"/>
    <w:qFormat/>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sz w:val="20"/>
    </w:rPr>
  </w:style>
  <w:style w:type="paragraph" w:styleId="z-BottomofForm">
    <w:name w:val="HTML Bottom of Form"/>
    <w:next w:val="Normal"/>
    <w:qFormat/>
    <w:pPr>
      <w:pBdr>
        <w:top w:val="double" w:sz="2" w:space="0" w:color="000000"/>
      </w:pBdr>
      <w:jc w:val="center"/>
    </w:pPr>
    <w:rPr>
      <w:rFonts w:ascii="Arial" w:eastAsia="Arial" w:hAnsi="Arial" w:cs="Courier New"/>
      <w:vanish/>
      <w:sz w:val="16"/>
      <w:szCs w:val="24"/>
    </w:rPr>
  </w:style>
  <w:style w:type="paragraph" w:styleId="z-TopofForm">
    <w:name w:val="HTML Top of Form"/>
    <w:next w:val="Normal"/>
    <w:qFormat/>
    <w:pPr>
      <w:pBdr>
        <w:bottom w:val="double" w:sz="2" w:space="0" w:color="000000"/>
      </w:pBdr>
      <w:jc w:val="center"/>
    </w:pPr>
    <w:rPr>
      <w:rFonts w:ascii="Arial" w:eastAsia="Arial" w:hAnsi="Arial" w:cs="Courier New"/>
      <w:vanish/>
      <w:sz w:val="16"/>
      <w:szCs w:val="24"/>
    </w:rPr>
  </w:style>
  <w:style w:type="paragraph" w:styleId="FootnoteText">
    <w:name w:val="footnote text"/>
    <w:basedOn w:val="Normal"/>
    <w:pPr>
      <w:suppressLineNumbers/>
      <w:ind w:left="340" w:hanging="34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672</TotalTime>
  <Pages>3</Pages>
  <Words>435</Words>
  <Characters>2485</Characters>
  <Application>Microsoft Office Word</Application>
  <DocSecurity>0</DocSecurity>
  <Lines>20</Lines>
  <Paragraphs>5</Paragraphs>
  <ScaleCrop>false</ScaleCrop>
  <Company/>
  <LinksUpToDate>false</LinksUpToDate>
  <CharactersWithSpaces>2915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Admin</cp:lastModifiedBy>
  <cp:revision>76</cp:revision>
  <dcterms:created xsi:type="dcterms:W3CDTF">2024-05-23T10:14:00Z</dcterms:created>
  <dcterms:modified xsi:type="dcterms:W3CDTF">2024-07-02T13:38:00Z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Encoding">
    <vt:lpwstr>utf-8</vt:lpwstr>
  </property>
  <property fmtid="{D5CDD505-2E9C-101B-9397-08002B2CF9AE}" pid="3" name="HTML">
    <vt:bool>true</vt:bool>
  </property>
</Properties>
</file>