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907C33" w14:textId="77777777" w:rsidR="003D64E0" w:rsidRDefault="00F44ABC">
      <w:r>
        <w:rPr>
          <w:b/>
          <w:rtl/>
        </w:rPr>
        <w:t>האומר</w:t>
      </w:r>
      <w:r>
        <w:rPr>
          <w:rtl/>
        </w:rPr>
        <w:t xml:space="preserve"> פתח פתוח מצאתי כו'. פירש בקונטרס דטענת דמים לא קאמר כגון שנאבדה המפה או שהיא ממשפחת דורקטי שאין להם דמים ור''ח מפרש דבוגרת ומוכח עץ אין להם דמים אבל אין פתחן פתוח ויכול לטעון טענת פתח פתוח וקשה לפר''ח דאמרי' באלו נערות (לקמן לו. ושם) ובוגרת אין לה טענת בתולים והאמר רב בוגרת נותנים לה לילה ראשונה</w:t>
      </w:r>
      <w:r>
        <w:rPr>
          <w:rStyle w:val="FootnoteReference"/>
          <w:rtl/>
        </w:rPr>
        <w:footnoteReference w:id="1"/>
      </w:r>
      <w:r>
        <w:rPr>
          <w:rtl/>
        </w:rPr>
        <w:t xml:space="preserve"> ומשני אי דקא טעין טענת דמים ה''נ הב''ע דקטעין טענת פתח פתוח משמע דפתחה פתוח ויש לה דמים וי''ל דר''ח גריס כגירסא ראשונה שהיתה בספרים אי דקא טעין טענת פתח פתוח הכי נמי הב''ע דקא טעין טענת דמים וה''פ והאמר רב בוגרת נותנין לה לילה הראשונה ומדתלינן כל הלילה בדם בתולים משמע דאיכא בוגרת דאית לה דם בתולים טובא אם כן אי אפשר לשום בוגרת</w:t>
      </w:r>
      <w:r>
        <w:rPr>
          <w:rStyle w:val="FootnoteReference"/>
          <w:rtl/>
        </w:rPr>
        <w:footnoteReference w:id="2"/>
      </w:r>
      <w:r>
        <w:rPr>
          <w:rtl/>
        </w:rPr>
        <w:t xml:space="preserve"> שלא יהא פתחה סתום אפילו אין לה דמים וא''כ יש לה טענת בתולים בפתח פתוח ומשני אי דקטעין פתח פתוח ה''נ דיש לה טענת בתולים הב''ע דלית לה טענת בתולים בטענת דמים משום דאיכא בוגרת דדמיה כלין ומיהו בירושלמי משמע לא כפר''ח דקאמר התם ר' יונה בשם ר' קריספא בוגרת כחבית פתוחה של יין</w:t>
      </w:r>
      <w:r>
        <w:rPr>
          <w:rStyle w:val="FootnoteReference"/>
          <w:rtl/>
        </w:rPr>
        <w:footnoteReference w:id="3"/>
      </w:r>
      <w:r>
        <w:rPr>
          <w:rStyle w:val="FootnoteReference"/>
          <w:rtl/>
        </w:rPr>
        <w:footnoteReference w:id="4"/>
      </w:r>
      <w:r>
        <w:rPr>
          <w:rtl/>
        </w:rPr>
        <w:t xml:space="preserve"> ויש ליישב דלענין דמים קאמר משום דסתם חבית סתומה לעולם יש בה יין שאין דרך לסתום חבית ריקנית אבל חבית פתוחה פעמים יש בה יין פעמים אין בה יין כך בוגרת פעמים אין לה דמים פעמים יש לה</w:t>
      </w:r>
      <w:r>
        <w:rPr>
          <w:rStyle w:val="FootnoteReference"/>
          <w:rtl/>
        </w:rPr>
        <w:footnoteReference w:id="5"/>
      </w:r>
      <w:r>
        <w:rPr>
          <w:rtl/>
        </w:rPr>
        <w:t xml:space="preserve"> ומשום הכי אין לה טענת דמים כדפר''ח וכדאמר בפרק הבא על יבמתו (יבמות נט. ושם) פרט לבוגרת שכלו בתוליה</w:t>
      </w:r>
      <w:r>
        <w:rPr>
          <w:rStyle w:val="FootnoteReference"/>
          <w:rtl/>
        </w:rPr>
        <w:footnoteReference w:id="6"/>
      </w:r>
      <w:r>
        <w:rPr>
          <w:rtl/>
        </w:rPr>
        <w:t>:</w:t>
      </w:r>
    </w:p>
    <w:p w14:paraId="4DF9BBE5" w14:textId="77777777" w:rsidR="003D64E0" w:rsidRDefault="00F44ABC">
      <w:r>
        <w:rPr>
          <w:b/>
          <w:rtl/>
        </w:rPr>
        <w:t xml:space="preserve"> לא</w:t>
      </w:r>
      <w:r>
        <w:rPr>
          <w:rtl/>
        </w:rPr>
        <w:t xml:space="preserve"> צריכא באשת כהן. וא''ת ונוקמה אחזקתה</w:t>
      </w:r>
      <w:r>
        <w:rPr>
          <w:rStyle w:val="FootnoteReference"/>
          <w:rtl/>
        </w:rPr>
        <w:footnoteReference w:id="7"/>
      </w:r>
      <w:r>
        <w:rPr>
          <w:rStyle w:val="FootnoteReference"/>
          <w:rtl/>
        </w:rPr>
        <w:footnoteReference w:id="8"/>
      </w:r>
      <w:r>
        <w:rPr>
          <w:rtl/>
        </w:rPr>
        <w:t xml:space="preserve"> שהיא כשרה לכהונה</w:t>
      </w:r>
      <w:r>
        <w:rPr>
          <w:rStyle w:val="FootnoteReference"/>
          <w:rtl/>
        </w:rPr>
        <w:footnoteReference w:id="9"/>
      </w:r>
      <w:r>
        <w:rPr>
          <w:rtl/>
        </w:rPr>
        <w:t xml:space="preserve"> ונימא דלאו תחתיו זינתה</w:t>
      </w:r>
      <w:r>
        <w:rPr>
          <w:rStyle w:val="FootnoteReference"/>
          <w:rtl/>
        </w:rPr>
        <w:footnoteReference w:id="10"/>
      </w:r>
      <w:r>
        <w:rPr>
          <w:rtl/>
        </w:rPr>
        <w:t xml:space="preserve"> וי''ל דאדרבה אית לן למימר דהשתא נבעלה</w:t>
      </w:r>
      <w:r>
        <w:rPr>
          <w:rStyle w:val="FootnoteReference"/>
          <w:rtl/>
        </w:rPr>
        <w:footnoteReference w:id="11"/>
      </w:r>
      <w:r>
        <w:rPr>
          <w:rtl/>
        </w:rPr>
        <w:t xml:space="preserve"> דאוקמה אחזקת הגוף שהיתה בתולה</w:t>
      </w:r>
      <w:r>
        <w:rPr>
          <w:rStyle w:val="FootnoteReference"/>
          <w:rtl/>
        </w:rPr>
        <w:footnoteReference w:id="12"/>
      </w:r>
      <w:r>
        <w:rPr>
          <w:rtl/>
        </w:rPr>
        <w:t>:</w:t>
      </w:r>
    </w:p>
    <w:p w14:paraId="00AA1457" w14:textId="0B0163DB" w:rsidR="003D64E0" w:rsidRPr="001F47DB" w:rsidRDefault="00F44ABC">
      <w:pPr>
        <w:rPr>
          <w:cs/>
        </w:rPr>
      </w:pPr>
      <w:r>
        <w:rPr>
          <w:rtl/>
        </w:rPr>
        <w:lastRenderedPageBreak/>
        <w:t>ואי בעית אימא באשת ישראל דקביל בה אביה קידושין פחותה מבת ג' שנים. וא''ת אכתי איכא ספק ספיקא ספק באונס ספק ברצון ואת''ל ברצון ספק כשהיא קטנה ופתוי קטנה אונס הוא כדאמרינן בהבא על יבמתו (שם סא) וי''ל דשם אונס</w:t>
      </w:r>
      <w:r>
        <w:rPr>
          <w:rStyle w:val="FootnoteReference"/>
          <w:rtl/>
        </w:rPr>
        <w:footnoteReference w:id="13"/>
      </w:r>
      <w:r>
        <w:rPr>
          <w:rtl/>
        </w:rPr>
        <w:t xml:space="preserve"> </w:t>
      </w:r>
      <w:r>
        <w:rPr>
          <w:rtl/>
        </w:rPr>
        <w:lastRenderedPageBreak/>
        <w:t>חד הוא</w:t>
      </w:r>
      <w:r>
        <w:rPr>
          <w:rStyle w:val="FootnoteReference"/>
          <w:rtl/>
        </w:rPr>
        <w:footnoteReference w:id="14"/>
      </w:r>
      <w:r>
        <w:rPr>
          <w:rStyle w:val="FootnoteReference"/>
          <w:rtl/>
        </w:rPr>
        <w:footnoteReference w:id="15"/>
      </w:r>
      <w:r>
        <w:rPr>
          <w:rtl/>
        </w:rPr>
        <w:t xml:space="preserve"> וא''ת ונוקמה בחזקת היתר</w:t>
      </w:r>
      <w:r>
        <w:rPr>
          <w:rStyle w:val="FootnoteReference"/>
          <w:rtl/>
        </w:rPr>
        <w:footnoteReference w:id="16"/>
      </w:r>
      <w:r>
        <w:rPr>
          <w:rtl/>
        </w:rPr>
        <w:t xml:space="preserve"> לבעלה וי''ל דאונסא קלא אית לה</w:t>
      </w:r>
      <w:r>
        <w:rPr>
          <w:rStyle w:val="FootnoteReference"/>
          <w:rtl/>
        </w:rPr>
        <w:footnoteReference w:id="17"/>
      </w:r>
      <w:r>
        <w:rPr>
          <w:rStyle w:val="FootnoteReference"/>
          <w:rtl/>
        </w:rPr>
        <w:footnoteReference w:id="18"/>
      </w:r>
      <w:r>
        <w:rPr>
          <w:rtl/>
        </w:rPr>
        <w:t xml:space="preserve"> כדאמרינן בירושלמי [אונסא יש לו קול] והשתא דליכא קלא הוי ליה רצון רובא ומיעוט אונס ורובא וחזקה רובא עדיף</w:t>
      </w:r>
      <w:r>
        <w:rPr>
          <w:rStyle w:val="FootnoteReference"/>
          <w:rtl/>
        </w:rPr>
        <w:footnoteReference w:id="19"/>
      </w:r>
      <w:r>
        <w:rPr>
          <w:rtl/>
        </w:rPr>
        <w:t xml:space="preserve"> וא''ת א''כ בספק ספיקא נמי תיאסר דספק אונס כמאן דליתיה דמי</w:t>
      </w:r>
      <w:r>
        <w:rPr>
          <w:rStyle w:val="FootnoteReference"/>
          <w:rtl/>
        </w:rPr>
        <w:footnoteReference w:id="20"/>
      </w:r>
      <w:r>
        <w:rPr>
          <w:rtl/>
        </w:rPr>
        <w:t xml:space="preserve"> ולא נשאר אלא חד ספק</w:t>
      </w:r>
      <w:r>
        <w:rPr>
          <w:rStyle w:val="FootnoteReference"/>
          <w:rtl/>
        </w:rPr>
        <w:footnoteReference w:id="21"/>
      </w:r>
      <w:r>
        <w:rPr>
          <w:rtl/>
        </w:rPr>
        <w:t xml:space="preserve"> ספק תחתיו ובהא לא שייך לאוקמה בחזקת היתר כדפי' ואומר ר''י דהאי רובא דברצון אינו רוב גמור אלא הוי מדרבנן</w:t>
      </w:r>
      <w:r>
        <w:rPr>
          <w:rStyle w:val="FootnoteReference"/>
          <w:rtl/>
        </w:rPr>
        <w:footnoteReference w:id="22"/>
      </w:r>
      <w:r>
        <w:rPr>
          <w:rStyle w:val="FootnoteReference"/>
          <w:rtl/>
        </w:rPr>
        <w:footnoteReference w:id="23"/>
      </w:r>
      <w:r>
        <w:rPr>
          <w:rtl/>
        </w:rPr>
        <w:t xml:space="preserve"> והלכך במקום ספק ספיקא שרי</w:t>
      </w:r>
      <w:r>
        <w:rPr>
          <w:rStyle w:val="FootnoteReference"/>
          <w:rtl/>
        </w:rPr>
        <w:footnoteReference w:id="24"/>
      </w:r>
      <w:r>
        <w:rPr>
          <w:rtl/>
        </w:rPr>
        <w:t xml:space="preserve"> ובמקום חד ספיקא חשבי רבנן רצון לגבי </w:t>
      </w:r>
      <w:r>
        <w:rPr>
          <w:rtl/>
        </w:rPr>
        <w:lastRenderedPageBreak/>
        <w:t>אונס רובא ואשכחן כי האי גוונא גבי תינוק שנמצא בצד העיסה (קדושין דף פ.) דלא הוי רובא אלא מדרבנן ולהכי קאמר ר' יוחנן התם דאין שורפין עליו את התרומה וא''ת אכתי באשת כהן ובקיבל אביה קדושין פחותה מבת שלש לישראל איכא ספק ספיקא דספק מוכת עץ</w:t>
      </w:r>
      <w:r>
        <w:rPr>
          <w:rStyle w:val="FootnoteReference"/>
          <w:rtl/>
        </w:rPr>
        <w:footnoteReference w:id="25"/>
      </w:r>
      <w:r>
        <w:rPr>
          <w:rtl/>
        </w:rPr>
        <w:t xml:space="preserve"> ספק דרוסת איש [באשת כהן אית לן למימר את''ל דאינה מוכת עץ מ''מ ספק תחתיו ספק אין תחתיו אשת ישראל את''ל דאינה מוכת עץ ספק באונס ספק ברצון] ואין לומר דמוכת עץ לא שכיח דהא אמרינן באלו נערות (לקמן לו) גבי סומא שאין לה טענת בתולין מפני שנחבטה על גבי קרקע ופריך כולהו נמי חבוטי מיחבטן</w:t>
      </w:r>
      <w:r w:rsidRPr="001F47DB">
        <w:rPr>
          <w:rtl/>
        </w:rPr>
        <w:footnoteReference w:id="26"/>
      </w:r>
      <w:r>
        <w:rPr>
          <w:rtl/>
        </w:rPr>
        <w:t xml:space="preserve"> א''כ שכיח ולפירוש ר''ח דמוכת עץ פתחה סתום אתי שפיר וי''ל דאם איתא דמוכת עץ היא הויא טוענת</w:t>
      </w:r>
      <w:r w:rsidRPr="001F47DB">
        <w:rPr>
          <w:rtl/>
        </w:rPr>
        <w:footnoteReference w:id="27"/>
      </w:r>
      <w:r>
        <w:rPr>
          <w:rtl/>
        </w:rPr>
        <w:t xml:space="preserve"> דאין גנאי בכך כמו בביאת אונס ומדלא טענה אין להסתפק בכך:</w:t>
      </w:r>
    </w:p>
    <w:p w14:paraId="12F5C55C" w14:textId="46DB9B97" w:rsidR="001F47DB" w:rsidRPr="001F47DB" w:rsidRDefault="001F47DB">
      <w:pPr>
        <w:rPr>
          <w:rtl/>
          <w:lang w:bidi="he-IL"/>
        </w:rPr>
      </w:pPr>
      <w:r w:rsidRPr="001F47DB">
        <w:rPr>
          <w:rtl/>
          <w:lang w:bidi="he-IL"/>
        </w:rPr>
        <w:t>ומי אמר ר' אלעזר הכי והאמר ר''א כו'. תימה השתא דבעי למימר דלא מהימן אפי' לשוייה עליה חתיכה דאיסורא תיקשי ליה מתני' דהאומר לאשה קידשתיך אסור בקרובותיה</w:t>
      </w:r>
      <w:r w:rsidR="00C36FAD">
        <w:rPr>
          <w:rStyle w:val="FootnoteReference"/>
          <w:rtl/>
          <w:lang w:bidi="he-IL"/>
        </w:rPr>
        <w:footnoteReference w:id="28"/>
      </w:r>
      <w:r w:rsidRPr="001F47DB">
        <w:rPr>
          <w:rtl/>
          <w:lang w:bidi="he-IL"/>
        </w:rPr>
        <w:t xml:space="preserve"> וי''ל דסבירא ליה למקשן דאין דבר שבערוה פחות משנים ואפי' ראה אדם שזינתה אשתו רק שלא היה שם עדים לא היתה נאסרת עליו</w:t>
      </w:r>
      <w:r w:rsidR="005F0452">
        <w:rPr>
          <w:rStyle w:val="FootnoteReference"/>
          <w:rtl/>
          <w:lang w:bidi="he-IL"/>
        </w:rPr>
        <w:footnoteReference w:id="29"/>
      </w:r>
      <w:r w:rsidRPr="001F47DB">
        <w:rPr>
          <w:rtl/>
          <w:lang w:bidi="he-IL"/>
        </w:rPr>
        <w:t xml:space="preserve"> והלכך ממתני' לא קשיא ליה מידי דקדשתיך בעדים</w:t>
      </w:r>
      <w:r w:rsidR="00FD4528">
        <w:rPr>
          <w:rStyle w:val="FootnoteReference"/>
          <w:rtl/>
          <w:lang w:bidi="he-IL"/>
        </w:rPr>
        <w:footnoteReference w:id="30"/>
      </w:r>
      <w:r w:rsidRPr="001F47DB">
        <w:rPr>
          <w:rtl/>
          <w:lang w:bidi="he-IL"/>
        </w:rPr>
        <w:t xml:space="preserve"> קאמר דמקדש אפי' בעד אחד אין חוששין לקדושיו אבל אהא דאמר ר' אלעזר דנאמן בלא עדים לומר דמצא פתח פתוח פריך שפיר</w:t>
      </w:r>
      <w:r w:rsidR="00C10475">
        <w:rPr>
          <w:rStyle w:val="FootnoteReference"/>
          <w:rtl/>
          <w:lang w:bidi="he-IL"/>
        </w:rPr>
        <w:footnoteReference w:id="31"/>
      </w:r>
      <w:r w:rsidRPr="001F47DB">
        <w:rPr>
          <w:rtl/>
          <w:lang w:bidi="he-IL"/>
        </w:rPr>
        <w:t xml:space="preserve">: </w:t>
      </w:r>
    </w:p>
    <w:p w14:paraId="314FE14B" w14:textId="62A953AF" w:rsidR="001F47DB" w:rsidRPr="001F47DB" w:rsidRDefault="001F47DB">
      <w:pPr>
        <w:rPr>
          <w:rtl/>
          <w:lang w:bidi="he-IL"/>
        </w:rPr>
      </w:pPr>
      <w:r w:rsidRPr="001F47DB">
        <w:rPr>
          <w:rtl/>
          <w:lang w:bidi="he-IL"/>
        </w:rPr>
        <w:t>קינוי וסתירה אין עדים לא. הכי נמי דלא אתא למעוטי על פי עצמו דכעדים דמי</w:t>
      </w:r>
      <w:r w:rsidR="00F80E63">
        <w:rPr>
          <w:rStyle w:val="FootnoteReference"/>
          <w:rtl/>
          <w:lang w:bidi="he-IL"/>
        </w:rPr>
        <w:footnoteReference w:id="32"/>
      </w:r>
      <w:r w:rsidRPr="001F47DB">
        <w:rPr>
          <w:rtl/>
          <w:lang w:bidi="he-IL"/>
        </w:rPr>
        <w:t xml:space="preserve"> כיון דקים ליה</w:t>
      </w:r>
      <w:r w:rsidR="0079719B">
        <w:rPr>
          <w:rStyle w:val="FootnoteReference"/>
          <w:rtl/>
          <w:lang w:bidi="he-IL"/>
        </w:rPr>
        <w:footnoteReference w:id="33"/>
      </w:r>
      <w:r w:rsidRPr="001F47DB">
        <w:rPr>
          <w:rtl/>
          <w:lang w:bidi="he-IL"/>
        </w:rPr>
        <w:t xml:space="preserve">: </w:t>
      </w:r>
    </w:p>
    <w:p w14:paraId="47AB7577" w14:textId="21FE9138" w:rsidR="003D64E0" w:rsidRDefault="001F47DB">
      <w:pPr>
        <w:rPr>
          <w:rtl/>
          <w:lang w:bidi="he-IL"/>
        </w:rPr>
      </w:pPr>
      <w:r w:rsidRPr="001F47DB">
        <w:rPr>
          <w:rtl/>
          <w:lang w:bidi="he-IL"/>
        </w:rPr>
        <w:t>מפני מה לא אסרוה. פירש הקונטרס והלא אותו מעשה בעדים הוה ואין נראה דנהי דידוע לרבים הוה שהביאה לביתו</w:t>
      </w:r>
      <w:r w:rsidR="00021F34">
        <w:rPr>
          <w:rStyle w:val="FootnoteReference"/>
          <w:rtl/>
          <w:lang w:bidi="he-IL"/>
        </w:rPr>
        <w:footnoteReference w:id="34"/>
      </w:r>
      <w:r w:rsidRPr="001F47DB">
        <w:rPr>
          <w:rtl/>
          <w:lang w:bidi="he-IL"/>
        </w:rPr>
        <w:t xml:space="preserve"> מ''מ לא ראו כמכחול בשפופרת</w:t>
      </w:r>
      <w:r w:rsidR="008D4E5F">
        <w:rPr>
          <w:rStyle w:val="FootnoteReference"/>
          <w:rtl/>
          <w:lang w:bidi="he-IL"/>
        </w:rPr>
        <w:footnoteReference w:id="35"/>
      </w:r>
      <w:r w:rsidRPr="001F47DB">
        <w:rPr>
          <w:rtl/>
          <w:lang w:bidi="he-IL"/>
        </w:rPr>
        <w:t xml:space="preserve"> שבפני בני אדם לא שמש ונראה לר''י לפרש וא''ת דפתח פתוח כשני עדים דמי אמאי לא אסרוה </w:t>
      </w:r>
      <w:r w:rsidRPr="001F47DB">
        <w:rPr>
          <w:rtl/>
          <w:lang w:bidi="he-IL"/>
        </w:rPr>
        <w:lastRenderedPageBreak/>
        <w:t>לדוד דדוד היה יודע בודאי שנבעלה ואע''פ שעשה תשובה מכל מקום עיכבה ואם היתה אסורה לו לא היה אותו צדיק לוקחה לו לאשה</w:t>
      </w:r>
      <w:r w:rsidR="00316FAD">
        <w:rPr>
          <w:rStyle w:val="FootnoteReference"/>
          <w:rtl/>
          <w:lang w:bidi="he-IL"/>
        </w:rPr>
        <w:footnoteReference w:id="36"/>
      </w:r>
      <w:r w:rsidRPr="001F47DB">
        <w:rPr>
          <w:rtl/>
          <w:lang w:bidi="he-IL"/>
        </w:rPr>
        <w:t>:</w:t>
      </w:r>
    </w:p>
    <w:p w14:paraId="6A548607" w14:textId="2DF4E17C" w:rsidR="00472699" w:rsidRDefault="00472699">
      <w:pPr>
        <w:rPr>
          <w:rtl/>
          <w:lang w:bidi="he-IL"/>
        </w:rPr>
      </w:pPr>
      <w:r w:rsidRPr="00472699">
        <w:rPr>
          <w:rtl/>
          <w:lang w:bidi="he-IL"/>
        </w:rPr>
        <w:t>כל היוצא למלחמת בית דוד גט כריתות כותב לאשתו. פי' בקונטרס שאם ימות במלחמה יהא גט משעת כתיבתו וקשה לר''ת דא''כ מאי כל היוצא אם לא מהני אלא למי שאין לו בנים ויש לו יבם ועוד דתנן במי שאחזו</w:t>
      </w:r>
      <w:r w:rsidR="0039709A">
        <w:rPr>
          <w:rStyle w:val="FootnoteReference"/>
          <w:rtl/>
          <w:lang w:bidi="he-IL"/>
        </w:rPr>
        <w:footnoteReference w:id="37"/>
      </w:r>
      <w:r w:rsidRPr="00472699">
        <w:rPr>
          <w:rtl/>
          <w:lang w:bidi="he-IL"/>
        </w:rPr>
        <w:t xml:space="preserve"> (גיטין עג. ושם) מה היא באותן הימים רבי יהודה אומר הרי היא כאשת איש לכל דבריה וקאי אמאי דקתני לעיל מינה הרי זה גיטך מהיום אם מתי וכן משמע בתוספתא אלמא אע''ג דאמר מהיום הויא אשת איש גמורה כדמפרש בגמרא באומר מעת שאני בעולם פירוש דהאי דאמר מהיום לא שיחול מיד אלא דעתו שיחול שעה אחת קודם מיתתו דהיינו מעת שהוא בעולם ולא אמר מהיום אלא למעוטי לאחר מיתה כלומר מאותו יום שאני בעולם יהא גט ומיהו יש לחלק בין מהיום לפירש בהדיא שיחול משעת כתיבה דע''כ משעת כתיבה קאמר שיהא גט ועוד נראה דאפי' אמר מהיום יש ליישב פי' הקונטרס דלאו דוקא פירש שאם ימות במלחמה אלא היו מתנים אם לא יחזור מן המלחמה</w:t>
      </w:r>
      <w:r w:rsidR="00CD4188">
        <w:rPr>
          <w:rStyle w:val="FootnoteReference"/>
          <w:rtl/>
          <w:lang w:bidi="he-IL"/>
        </w:rPr>
        <w:footnoteReference w:id="38"/>
      </w:r>
      <w:r w:rsidRPr="00472699">
        <w:rPr>
          <w:rtl/>
          <w:lang w:bidi="he-IL"/>
        </w:rPr>
        <w:t xml:space="preserve"> ואגב ריהטיה נקט בקונטרס אם ימות דסתם</w:t>
      </w:r>
      <w:r w:rsidR="005E2147">
        <w:rPr>
          <w:rStyle w:val="FootnoteReference"/>
          <w:rtl/>
          <w:lang w:bidi="he-IL"/>
        </w:rPr>
        <w:footnoteReference w:id="39"/>
      </w:r>
      <w:r w:rsidRPr="00472699">
        <w:rPr>
          <w:rtl/>
          <w:lang w:bidi="he-IL"/>
        </w:rPr>
        <w:t xml:space="preserve"> מי שאינו חוזר מן המלחמה אינו חוזר לפי שמת אלא ה''ה אם נשבה והשתא מהיום דהכא אין שייך לומר מעת שאני בעולם כההוא דמי שאחזו אלא מהיום מיום כתיבה קאמר ואם תאמר והרי חזר אוריה </w:t>
      </w:r>
      <w:r w:rsidR="00D25EE4">
        <w:rPr>
          <w:rStyle w:val="FootnoteReference"/>
          <w:rtl/>
          <w:lang w:bidi="he-IL"/>
        </w:rPr>
        <w:footnoteReference w:id="40"/>
      </w:r>
      <w:r w:rsidRPr="00472699">
        <w:rPr>
          <w:rtl/>
          <w:lang w:bidi="he-IL"/>
        </w:rPr>
        <w:t xml:space="preserve">ונתבטל הגט ויש לומר שהיה מתנה אם לא יחזור בסוף </w:t>
      </w:r>
      <w:r w:rsidRPr="00472699">
        <w:rPr>
          <w:rtl/>
          <w:lang w:bidi="he-IL"/>
        </w:rPr>
        <w:lastRenderedPageBreak/>
        <w:t>המלחמה והרי לא חזר לבסוף</w:t>
      </w:r>
      <w:r w:rsidR="00D25EE4">
        <w:rPr>
          <w:rStyle w:val="FootnoteReference"/>
          <w:rtl/>
          <w:lang w:bidi="he-IL"/>
        </w:rPr>
        <w:footnoteReference w:id="41"/>
      </w:r>
      <w:r w:rsidRPr="00472699">
        <w:rPr>
          <w:rtl/>
          <w:lang w:bidi="he-IL"/>
        </w:rPr>
        <w:t xml:space="preserve"> וניחא לפירוש זה הא דאמרינן בפרק הזהב (ב''מ נט. ושם) נוח לו לאדם שיבעול ספק אשת איש</w:t>
      </w:r>
      <w:r w:rsidR="00AE019C">
        <w:rPr>
          <w:rStyle w:val="FootnoteReference"/>
          <w:rtl/>
          <w:lang w:bidi="he-IL"/>
        </w:rPr>
        <w:footnoteReference w:id="42"/>
      </w:r>
      <w:r w:rsidRPr="00472699">
        <w:rPr>
          <w:rtl/>
          <w:lang w:bidi="he-IL"/>
        </w:rPr>
        <w:t xml:space="preserve"> ואל ילבין פני חבירו ברבים ומפיק ליה מהאי מעשה דבת שבע דספק אשת איש הואי דדלמא יחזור מן המלחמה ור''ת מפרש כותב גט כריתות לגמרי בלא שום תנאי</w:t>
      </w:r>
      <w:r w:rsidR="00F65646">
        <w:rPr>
          <w:rStyle w:val="FootnoteReference"/>
          <w:rtl/>
          <w:lang w:bidi="he-IL"/>
        </w:rPr>
        <w:footnoteReference w:id="43"/>
      </w:r>
      <w:r w:rsidRPr="00472699">
        <w:rPr>
          <w:rtl/>
          <w:lang w:bidi="he-IL"/>
        </w:rPr>
        <w:t xml:space="preserve"> ולפי' קשה אמאי קרי לה ספק אשת איש הא הואי גרושה גמורה ואר''ת דקרי לה ספק אשת איש לפי שהיו מגרשין בצינעא</w:t>
      </w:r>
      <w:r w:rsidR="00493249">
        <w:rPr>
          <w:rStyle w:val="FootnoteReference"/>
          <w:rtl/>
          <w:lang w:bidi="he-IL"/>
        </w:rPr>
        <w:footnoteReference w:id="44"/>
      </w:r>
      <w:r w:rsidRPr="00472699">
        <w:rPr>
          <w:rtl/>
          <w:lang w:bidi="he-IL"/>
        </w:rPr>
        <w:t xml:space="preserve"> שלא יהא נודע ויקפצו עליהם בני אדם לקדשם ולפי' הקונטרס קשה קצת איך בא עליה למה לא היה ירא שמא יחזור</w:t>
      </w:r>
      <w:r w:rsidR="00D643FE">
        <w:rPr>
          <w:rStyle w:val="FootnoteReference"/>
          <w:rtl/>
          <w:lang w:bidi="he-IL"/>
        </w:rPr>
        <w:footnoteReference w:id="45"/>
      </w:r>
      <w:r w:rsidR="001643C7">
        <w:rPr>
          <w:rStyle w:val="FootnoteReference"/>
          <w:rtl/>
          <w:lang w:bidi="he-IL"/>
        </w:rPr>
        <w:footnoteReference w:id="46"/>
      </w:r>
      <w:r w:rsidR="000E285A">
        <w:rPr>
          <w:rStyle w:val="FootnoteReference"/>
          <w:rtl/>
          <w:lang w:bidi="he-IL"/>
        </w:rPr>
        <w:footnoteReference w:id="47"/>
      </w:r>
      <w:r w:rsidRPr="00472699">
        <w:rPr>
          <w:rtl/>
          <w:lang w:bidi="he-IL"/>
        </w:rPr>
        <w:t xml:space="preserve">: </w:t>
      </w:r>
    </w:p>
    <w:p w14:paraId="63EFE4C4" w14:textId="2B0AFA29" w:rsidR="00472699" w:rsidRDefault="00472699">
      <w:pPr>
        <w:rPr>
          <w:rtl/>
          <w:lang w:bidi="he-IL"/>
        </w:rPr>
      </w:pPr>
      <w:r w:rsidRPr="00472699">
        <w:rPr>
          <w:rtl/>
          <w:lang w:bidi="he-IL"/>
        </w:rPr>
        <w:t>אי למיתב לה כתובה כו'. משמע אם היה בא לב''ד היה נאמן להפסידה כתובתה אע''פ שלאוסרה עליו לא היה נאמן</w:t>
      </w:r>
      <w:r w:rsidR="00D47B11">
        <w:rPr>
          <w:rStyle w:val="FootnoteReference"/>
          <w:rtl/>
          <w:lang w:bidi="he-IL"/>
        </w:rPr>
        <w:footnoteReference w:id="48"/>
      </w:r>
      <w:r w:rsidRPr="00472699">
        <w:rPr>
          <w:rtl/>
          <w:lang w:bidi="he-IL"/>
        </w:rPr>
        <w:t xml:space="preserve"> משום דאית לן למימר דשמא אינו בקי</w:t>
      </w:r>
      <w:r w:rsidR="008635AD">
        <w:rPr>
          <w:rStyle w:val="FootnoteReference"/>
          <w:rtl/>
          <w:lang w:bidi="he-IL"/>
        </w:rPr>
        <w:footnoteReference w:id="49"/>
      </w:r>
      <w:r w:rsidRPr="00472699">
        <w:rPr>
          <w:rtl/>
          <w:lang w:bidi="he-IL"/>
        </w:rPr>
        <w:t xml:space="preserve"> בפתח פתוח ואוקמה בחזקת היתר אבל מ''מ כתובתה הפסידה אע''פ שיש לנו לומר שהוא טועה בפתח פתוח דאית לן למימר אוקי ממונא בחזקת מריה וקשה דאמאי מפסידה כתובתה והא הוה ספק ספיקא ספק אי הוא בקי בפתח פתוח אם לאו ואם תמצא לומר פתח פתוח הוה ספק באונס ספק ברצון דאפי' אשת כהן באונס לא מפסדה כתובתה ואין לומר דאפי' בספק ספיקא מפסדה כתובתה משום דמוקמינן ממונא בחזקתיה דהא לקמן (דף יב:) גבי משארסתני נאנסתי והוא אומר לא כי אלא עד שלא ארסתיך נאנסת והיה מקחי מקח טעות ואיכא מאן דמפרש לקמן (דף יא:) מקח טעות ממאתים אבל מנה</w:t>
      </w:r>
      <w:r w:rsidR="00EC5DBC">
        <w:rPr>
          <w:rStyle w:val="FootnoteReference"/>
          <w:rtl/>
          <w:lang w:bidi="he-IL"/>
        </w:rPr>
        <w:footnoteReference w:id="50"/>
      </w:r>
      <w:r w:rsidRPr="00472699">
        <w:rPr>
          <w:rtl/>
          <w:lang w:bidi="he-IL"/>
        </w:rPr>
        <w:t xml:space="preserve"> אית לה אלמא משום דבאותו מנה הוי ספק ספיקא לא מפסדה דספק קודם שנתארסה ספק אחר שנתארסה ואם תמצא לומר אחר שנתארסה אימור באונס הוה דאי אמרת דאפי' בספק ספיקא מפסדה אמאי אית לה אפי' מנה וי''ל דלא. חשיב ספק ספיקא כהאי גוונא משום דהאי ספיקא שמא באונס היה לא חשיב ספיקא גמורה</w:t>
      </w:r>
      <w:r w:rsidR="001466EE">
        <w:rPr>
          <w:rStyle w:val="FootnoteReference"/>
          <w:rtl/>
          <w:lang w:bidi="he-IL"/>
        </w:rPr>
        <w:footnoteReference w:id="51"/>
      </w:r>
      <w:r w:rsidRPr="00472699">
        <w:rPr>
          <w:rtl/>
          <w:lang w:bidi="he-IL"/>
        </w:rPr>
        <w:t xml:space="preserve"> למיתב לה כתובה דאימור קודם שנתארסה נאנסה והשתא אתי שפיר הא דתנן במתני' (לקמן דף יג.) היא אומרת מוכת עץ אני והוא אומר לא כי אלא דרוסת איש את וקאמר ר' יהושע שאינה נאמנת ומפסדת כתובתה אי לר' יוחנן מנה אי לר' </w:t>
      </w:r>
      <w:r w:rsidRPr="00472699">
        <w:rPr>
          <w:rtl/>
          <w:lang w:bidi="he-IL"/>
        </w:rPr>
        <w:lastRenderedPageBreak/>
        <w:t xml:space="preserve">אלעזר ולא כלום ואע''ג דהוי ספק ספיקא ספק מוכת עץ ויש לה כתובה ואפי' אם תמצא לומר דרוסת איש אימור תחתיו נאנסה ונסתחפה שדהו ויש לה כתובה אלא ודאי ספק באונס לא חשיב ספק דאימור קודם שנתארסה נאנסה ועוד אומר רבינו יצחק דמוכת עץ לא שכיח דהא דאמרינן (לקמן לו:) כולהו נמי חבוטי מיחבטן היינו אליבא דר''ג אבל רבי יהושע שמעינן דלית ליה טעמא דמיחבטן דקאמר התם (לקמן לו.) חרשת ושוטה יש להן טענת בתולין והיינו משום דס''ל דחבטא לא שכיחא: </w:t>
      </w:r>
    </w:p>
    <w:p w14:paraId="70FB7D74" w14:textId="4A57C7E9" w:rsidR="00472699" w:rsidRDefault="00472699">
      <w:pPr>
        <w:rPr>
          <w:rtl/>
          <w:lang w:bidi="he-IL"/>
        </w:rPr>
      </w:pPr>
      <w:r w:rsidRPr="00472699">
        <w:rPr>
          <w:rtl/>
          <w:lang w:bidi="he-IL"/>
        </w:rPr>
        <w:t>מאי לאו דקא טעין טענת פתח פתוח. נראה לפרש דקס''ד דבטענת דמים. ליכא למיחש לאיקרורי דעתא דכיון דליכא דם לבו נוקפו ואין מתקרר</w:t>
      </w:r>
      <w:r w:rsidR="008F2447">
        <w:rPr>
          <w:rStyle w:val="FootnoteReference"/>
          <w:rtl/>
          <w:lang w:bidi="he-IL"/>
        </w:rPr>
        <w:footnoteReference w:id="52"/>
      </w:r>
      <w:r w:rsidRPr="00472699">
        <w:rPr>
          <w:rtl/>
          <w:lang w:bidi="he-IL"/>
        </w:rPr>
        <w:t xml:space="preserve"> אבל בפתח פתוח איכא למיחש שמא יתקרר</w:t>
      </w:r>
      <w:r w:rsidR="005D016E">
        <w:rPr>
          <w:rStyle w:val="FootnoteReference"/>
          <w:rtl/>
          <w:lang w:bidi="he-IL"/>
        </w:rPr>
        <w:footnoteReference w:id="53"/>
      </w:r>
      <w:r w:rsidRPr="00472699">
        <w:rPr>
          <w:rtl/>
          <w:lang w:bidi="he-IL"/>
        </w:rPr>
        <w:t xml:space="preserve">: </w:t>
      </w:r>
    </w:p>
    <w:p w14:paraId="6C5E029E" w14:textId="05282AB8" w:rsidR="00472699" w:rsidRDefault="00472699">
      <w:pPr>
        <w:rPr>
          <w:rtl/>
          <w:lang w:bidi="he-IL"/>
        </w:rPr>
      </w:pPr>
      <w:r w:rsidRPr="00472699">
        <w:rPr>
          <w:rtl/>
          <w:lang w:bidi="he-IL"/>
        </w:rPr>
        <w:t xml:space="preserve">נאמן להפסידה כתובתה. אור''י דשמואל מודה שפיר דנאמן לאוסרה עליו ולהפסידה כתובתה איצטריך ליה לאשמעינן דלא תימא דלא יהא נאמן אע''ג דקים ליה בפתח פתוח דנימא במזיד משקר להפסידה כתובתה ור''א נמי מצי סבר דנאמן להפסידה ונקט לאוסרה לרבותא וכ''ש דנאמן להפסיד כתובתה כדמוכח הסוגיא דלעיל [ומיהו בירושלמי משמע דלר''א אינו נאמן להפסיד כתובתה]: </w:t>
      </w:r>
    </w:p>
    <w:p w14:paraId="6115118B" w14:textId="004EDC17" w:rsidR="00472699" w:rsidRDefault="00472699">
      <w:pPr>
        <w:rPr>
          <w:rtl/>
          <w:lang w:bidi="he-IL"/>
        </w:rPr>
      </w:pPr>
      <w:r w:rsidRPr="00472699">
        <w:rPr>
          <w:rtl/>
          <w:lang w:bidi="he-IL"/>
        </w:rPr>
        <w:t xml:space="preserve">אבל בגליל מצי טעין. וא''ת מנא ליה דלמא ביהודה נאמנת לומר שבא עליה באירוסין ולא בגליל אבל כשטוענת בתולה הייתי בגליל נמי מהימנא וי''ל דמשמע ליה אינו יכול לטעון טענת בתולים בכל ענין בין שאומרת שבא עליה מן האירוסין בין שאומרת פתח נעול מצא דביהודה נאמנת במגו דאי בעיא אמרה באירוסין בא עליה ולא בגליל דליכא מגו אבל קשה דמייתי מדיוקא והוה ליה לאתויי מרישא דקתני (לקמן דף י:) בתולה אלמנה מן האירוסין כו' ויש להן טענת בתולין וע''כ לענין כתובה איירי דלאוסרה עליו אפילו מן הנשואין נמי יש לה טענת בתולין כיון דכנסה בחזקת בתולה כדמוכח לקמן (דף יב.) דפריך וניחוש שמא תחתיו זינתה: מאי לאו דקא טעין טענת פתח פתוח. וביהודה אע''ג דאיכא חזקה לא מהימן כדפי' בקונטרס א''נ כיון דמתייחד עמה ודאי בא עליה דלא מוקי איניש. אנפשיה ואע''ג דגבי יבמה אמרינן (יבמות דף קיא:) דעד ל' יום מוקי אנפשיה רוב פעמים לא מוקי אנפשיה אפי' שעה אחת דעל דעת כן מתייחד. [עמה] ואיתרע חזקה: </w:t>
      </w:r>
    </w:p>
    <w:p w14:paraId="3E15CC50" w14:textId="47A6B25A" w:rsidR="00472699" w:rsidRPr="001F47DB" w:rsidRDefault="00472699">
      <w:pPr>
        <w:rPr>
          <w:cs/>
        </w:rPr>
      </w:pPr>
      <w:r w:rsidRPr="00472699">
        <w:rPr>
          <w:rtl/>
          <w:lang w:bidi="he-IL"/>
        </w:rPr>
        <w:t>לא דקא טעין טענת דמים. דהויא טענה ברורה מדאין סדינין מלוכלכים בדם ונראה דבטענת פתח פתוח וטענת דמים דשמעתין איירי שהיא טוענת שהוא בא עליה באירוסין או אומרת בתולה הייתי וא''ת ונהימנא לדידה במגו דאי בעיא אמרה משארסתני נאנסתי דנאמנת לר''ג דפסקינן לקמן (דף יג.) כוותיה וי''ל דאינה מודה ברצון שנבעלה מאחר ועוד דאין זה מגו דמיפסלא נפשה מכהונה אבל קשה דליהמנה במגו דאי בעיא אמרה מוכת עץ אני אפי' לרבנן דלקמן (דף יא:) דאמרי מוכת עץ כתובתה מנה דאין זה מגו דאינה רוצה להפסיד כלום מכתובתה מ''מ נאמנת במגו דאי בעיא אמרה מוכת עץ אני תחתיך ונסתחפה שדהו לכך נראה דהוי מגו במקום חזקה דאין אדם טורח בסעודה ומפסידה אע''ג דבעי' היא בפ''ק דבבא בתרא (דף ה: ושם) אי אמרינן מגו במקום חזקה או לא שמא חזקה דהכא עדיפא ואי לא אמרינן מגו להוציא אתי נמי שפיר</w:t>
      </w:r>
    </w:p>
    <w:sectPr w:rsidR="00472699" w:rsidRPr="001F47DB">
      <w:pgSz w:w="11906" w:h="16838"/>
      <w:pgMar w:top="1134" w:right="1134" w:bottom="1134" w:left="1134" w:header="0" w:footer="0" w:gutter="0"/>
      <w:cols w:space="720"/>
      <w:formProt w:val="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D43CEF" w14:textId="77777777" w:rsidR="00264952" w:rsidRDefault="00264952">
      <w:r>
        <w:separator/>
      </w:r>
    </w:p>
  </w:endnote>
  <w:endnote w:type="continuationSeparator" w:id="0">
    <w:p w14:paraId="0D6CBB8A" w14:textId="77777777" w:rsidR="00264952" w:rsidRDefault="002649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SimSun">
    <w:panose1 w:val="02010609030101010101"/>
    <w:charset w:val="86"/>
    <w:family w:val="modern"/>
    <w:pitch w:val="fixed"/>
    <w:sig w:usb0="00000203" w:usb1="288F0000" w:usb2="00000016" w:usb3="00000000" w:csb0="00040001" w:csb1="00000000"/>
  </w:font>
  <w:font w:name="Narkisim">
    <w:panose1 w:val="020E05020501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28601F" w14:textId="77777777" w:rsidR="00264952" w:rsidRDefault="00264952">
      <w:pPr>
        <w:rPr>
          <w:sz w:val="12"/>
        </w:rPr>
      </w:pPr>
      <w:r>
        <w:separator/>
      </w:r>
    </w:p>
  </w:footnote>
  <w:footnote w:type="continuationSeparator" w:id="0">
    <w:p w14:paraId="10835505" w14:textId="77777777" w:rsidR="00264952" w:rsidRDefault="00264952">
      <w:pPr>
        <w:rPr>
          <w:sz w:val="12"/>
        </w:rPr>
      </w:pPr>
      <w:r>
        <w:continuationSeparator/>
      </w:r>
    </w:p>
  </w:footnote>
  <w:footnote w:id="1">
    <w:p w14:paraId="1211C69C" w14:textId="77777777" w:rsidR="003D64E0" w:rsidRDefault="00F44ABC">
      <w:pPr>
        <w:pStyle w:val="FootnoteText"/>
        <w:rPr>
          <w:lang w:bidi="he-IL"/>
        </w:rPr>
      </w:pPr>
      <w:r>
        <w:rPr>
          <w:rStyle w:val="FootnoteCharacters"/>
        </w:rPr>
        <w:footnoteRef/>
      </w:r>
      <w:r>
        <w:rPr>
          <w:rtl/>
          <w:lang w:bidi="he-IL"/>
        </w:rPr>
        <w:tab/>
        <w:t>צריך לחשוב למה מותר, בדרך כלל. לכאו’, נאמר שספק הוא, שיש דם, ולא יודעים מה גורם הדם. וא"ת אז יאסר מן הספק. וי"ל שאין ספק מוציא מידי וודאי. בווודאי יש סיבה שיהיה דם בתולים כאן, ורק סםק אם דם נדה יהיה כאן. אז, נניח שדם בתולים הוא. יש לדון, שאין הספק מוציא מן הוודאי. אבל, עדיין עושה שאין סיבה לחשוב שהיא נדה. וא"ת אם כן בבוגרת למה מניחים שדם בתולים הוא, כיון שרק ספק הוא. ויש לומר שעדיין יותר מצוי מדם נדה הוא. עדיין נמצא שמניחים שבלי הוכחה לא מניחים שהיא נדה. יש לדון אם זה מפני חזקת טוהר או מפני שאין התעוררות ספק או שלא מצוי שתהיה נדה. השלישי לא נ’, שחוששים שמחמת תאווה ראתה, כמו שאומר גמ’ בכ"מ (לכן צ’ לשהות שבעה ימים). ויל"ד, שאולי אחרי שבעה ימים, לא מצוי עוד.</w:t>
      </w:r>
    </w:p>
    <w:p w14:paraId="4EFD1148" w14:textId="77777777" w:rsidR="003D64E0" w:rsidRDefault="00F44ABC">
      <w:pPr>
        <w:pStyle w:val="FootnoteText"/>
        <w:rPr>
          <w:lang w:bidi="he-IL"/>
        </w:rPr>
      </w:pPr>
      <w:r>
        <w:rPr>
          <w:rtl/>
          <w:lang w:bidi="he-IL"/>
        </w:rPr>
        <w:tab/>
        <w:t>עדיין, צריך לומר שאין דם בתולים מצוי עד שיש איזה טענה ממה שלא מצא שום דם, אף שרק מניחים שבתולה היא מחמת חזקה ומה שאין התעוררות ספק. (יש לדון, שאולי גם לא מסתבר שנבעלה, ואינו רק חזקה ומה שאין הת"ס.)</w:t>
      </w:r>
    </w:p>
  </w:footnote>
  <w:footnote w:id="2">
    <w:p w14:paraId="5D8CE35A" w14:textId="77777777" w:rsidR="003D64E0" w:rsidRDefault="00F44ABC">
      <w:pPr>
        <w:pStyle w:val="FootnoteText"/>
        <w:rPr>
          <w:lang w:bidi="he-IL"/>
        </w:rPr>
      </w:pPr>
      <w:r>
        <w:rPr>
          <w:rStyle w:val="FootnoteCharacters"/>
        </w:rPr>
        <w:footnoteRef/>
      </w:r>
      <w:r>
        <w:rPr>
          <w:rtl/>
          <w:lang w:bidi="he-IL"/>
        </w:rPr>
        <w:tab/>
        <w:t>שלא מסתבר שבוגרות הם כל כך חלוקים זה מזה. נמצא שיש יחס בין פתח פתוח למה שאין דם. ותו"ת.</w:t>
      </w:r>
    </w:p>
  </w:footnote>
  <w:footnote w:id="3">
    <w:p w14:paraId="00FAD8A1" w14:textId="77777777" w:rsidR="003D64E0" w:rsidRDefault="00F44ABC">
      <w:pPr>
        <w:pStyle w:val="FootnoteText"/>
        <w:rPr>
          <w:lang w:bidi="he-IL"/>
        </w:rPr>
      </w:pPr>
      <w:r>
        <w:rPr>
          <w:rStyle w:val="FootnoteCharacters"/>
        </w:rPr>
        <w:footnoteRef/>
      </w:r>
      <w:r>
        <w:rPr>
          <w:rtl/>
          <w:lang w:bidi="he-IL"/>
        </w:rPr>
        <w:tab/>
        <w:t>לצד ראשון שבתוס’, “של יין" רצה לומר שיש בו יין. לצד שני, רק רצה לומר שרגיל להיות בו יין. נראה שאומר כן כיון שלא כל מין חבית כן הוא, שכשפתוח אולי יש בו ואולי אין בו. ויש לדון, שגיד מילת חבית, והרי יש חביות שהם כן ובהכרח יש חביוןת שאינם כן. ותחשב.</w:t>
      </w:r>
    </w:p>
  </w:footnote>
  <w:footnote w:id="4">
    <w:p w14:paraId="32553F4D" w14:textId="77777777" w:rsidR="003D64E0" w:rsidRDefault="00F44ABC">
      <w:pPr>
        <w:pStyle w:val="FootnoteText"/>
        <w:rPr>
          <w:lang w:bidi="he-IL"/>
        </w:rPr>
      </w:pPr>
      <w:r>
        <w:rPr>
          <w:rStyle w:val="FootnoteCharacters"/>
        </w:rPr>
        <w:footnoteRef/>
      </w:r>
      <w:r>
        <w:rPr>
          <w:rtl/>
          <w:lang w:bidi="he-IL"/>
        </w:rPr>
        <w:tab/>
        <w:t>קצת צריך ביאור למה צריכים משל לזה, ולמה לא רק אומר כוונתו. (יש לי קושיה כזה בכל מקום שמצאנו משל.) אםפ נאמר כצד ראשון של תוס’, יש לומר שיותר קל לזכור, שחושב על דבר אחד שיש בו שני ענינים ומלמד לו שני דברים. יותר מזה, נראה שבא לבאר איך יכול להיות שפתחה פתוח ואין הדם יוצא, ומסביר שהוא כמו כוס, וכשבא השמש לתוך מקום האשה, הכוס נופל מעצמו ומקיא את הדם. (ציירנו את זה בציור שקראנו "ציור של חבית.”) אבל, לצד שני של תוס’, קצת קשה למה צריכים משל. צריך לומר שכיון שנותן תמונה לעינים, יותר קל לזכור. ותחשב. גם יש לומר שעדיין מסביר, והוא שמסביר איך יכול להיות בוגרת כזה ובוגרת כזה, ומפרש שהוא מפני שכ"א מתחיל עם דם שלא מכוסה, וקל ליפול משם. אז, מצוי שיפול דם ומצוי שלא יפול דם, וממילא יהיה בוגרת כזה ובוגרת כזה. (ונראה שאם זה ההסבר למה יש חילוק ביניהם, יותר מובן למה מפרש תוס’ שלשניהם יש פתח סתום, והוא שבעצם אין שום חילוק ביניהם, אלא שבאחד הטתה כבר ונשפך הדם. ותחם.) ויש לדון כמה אמיתי הוא המשל (שאנחנו פרשנו אותו באופן מאד אמיתי).</w:t>
      </w:r>
    </w:p>
  </w:footnote>
  <w:footnote w:id="5">
    <w:p w14:paraId="0B6A4A43" w14:textId="77777777" w:rsidR="003D64E0" w:rsidRDefault="00F44ABC">
      <w:pPr>
        <w:pStyle w:val="FootnoteText"/>
        <w:rPr>
          <w:lang w:bidi="he-IL"/>
        </w:rPr>
      </w:pPr>
      <w:r>
        <w:rPr>
          <w:rStyle w:val="FootnoteCharacters"/>
        </w:rPr>
        <w:footnoteRef/>
      </w:r>
      <w:r>
        <w:rPr>
          <w:rtl/>
          <w:lang w:bidi="he-IL"/>
        </w:rPr>
        <w:tab/>
        <w:t>יש לדון במה זה תלוי, אם הוא בגיל שלה (כמה זמן היתה בוגרת (לא נראה כן, שאז לפעמים יהיה טענה. ויש לדון.)) או בגודל שלה (אם היא אשה גדולה או קטנה) או בדבר אחר.</w:t>
      </w:r>
    </w:p>
  </w:footnote>
  <w:footnote w:id="6">
    <w:p w14:paraId="07AFB0CA" w14:textId="77777777" w:rsidR="003D64E0" w:rsidRDefault="00F44ABC">
      <w:pPr>
        <w:pStyle w:val="FootnoteText"/>
        <w:rPr>
          <w:lang w:bidi="he-IL"/>
        </w:rPr>
      </w:pPr>
      <w:r>
        <w:rPr>
          <w:rStyle w:val="FootnoteCharacters"/>
        </w:rPr>
        <w:footnoteRef/>
      </w:r>
      <w:r>
        <w:rPr>
          <w:rtl/>
          <w:lang w:bidi="he-IL"/>
        </w:rPr>
        <w:tab/>
        <w:t>כנראה, תוס’ מניח שזה משמע כר"ח. לכאו’, סובר שמילת "בתוליה" משמע דם בתולים, ולא פתח סתום. נראה שאולי מדייק תוס’ כן מלשון כלה. אם נאמר שפתחה פתוח, אינו מפני שינוי במה שסתם את פיה, אלא שלא גדל עם פיה. אז, לא נאמר שכלה. ויש לדון, שמה שהוא עושה בתולים (מה שהוא סותם את פיה) כלה. ותחשב. אבל, בדם, יש לומר שכלה, שהיה שם דם, אבל יצא ונאבד ממנו. ותחשב.</w:t>
      </w:r>
    </w:p>
  </w:footnote>
  <w:footnote w:id="7">
    <w:p w14:paraId="7A1DF94D" w14:textId="77777777" w:rsidR="003D64E0" w:rsidRDefault="00F44ABC">
      <w:pPr>
        <w:pStyle w:val="FootnoteText"/>
      </w:pPr>
      <w:r>
        <w:rPr>
          <w:rStyle w:val="FootnoteCharacters"/>
        </w:rPr>
        <w:footnoteRef/>
      </w:r>
      <w:r>
        <w:rPr>
          <w:rtl/>
        </w:rPr>
        <w:tab/>
        <w:t>בביאור חזקה, יש להביא מה שכתבנו ממקום אחר:</w:t>
      </w:r>
    </w:p>
    <w:p w14:paraId="6AF20534" w14:textId="77777777" w:rsidR="003D64E0" w:rsidRDefault="00F44ABC">
      <w:pPr>
        <w:pStyle w:val="FootnoteText"/>
      </w:pPr>
      <w:r>
        <w:rPr>
          <w:rtl/>
          <w:lang w:bidi="he-IL"/>
        </w:rPr>
        <w:tab/>
      </w:r>
      <w:r>
        <w:rPr>
          <w:rtl/>
        </w:rPr>
        <w:t>יש לדון למה הולכים אחר חזקה. דבר ראשון, יש להעיר שלכאו', יש לדון אם צריכים חזקה להקל, להחמיר, או לעשות שניהם. לכאו', מצאנו בוודאי חומרות בספק, כמו חיוב אשם תלוי וטומאה ברשות היחיד. גם מצאנו קולות, כמו טומאה ברשות הרבים. גם מצאנו דין ממון, שיש בו הלכה שאין פוסקים כשיש ספק. (דנים אם חזקה שייכת שם, שדנים אם חזקת מרי קמא הוא מדין חזקה או לא.)</w:t>
      </w:r>
    </w:p>
    <w:p w14:paraId="61BE98A5" w14:textId="77777777" w:rsidR="003D64E0" w:rsidRDefault="00F44ABC">
      <w:pPr>
        <w:pStyle w:val="FootnoteText"/>
      </w:pPr>
      <w:r>
        <w:rPr>
          <w:rtl/>
        </w:rPr>
        <w:tab/>
        <w:t>אז, לכאו', ייצא שצריך חזקה שיחמיר ושיקל. אבל, עדיין נוכל לומר שיש סיבה רק למין אחד של חזקה, וכל השאר באים אגבו. אז, נפרש ככה:</w:t>
      </w:r>
    </w:p>
    <w:p w14:paraId="67F2DC6A" w14:textId="77777777" w:rsidR="003D64E0" w:rsidRDefault="00F44ABC">
      <w:pPr>
        <w:pStyle w:val="FootnoteText"/>
        <w:numPr>
          <w:ilvl w:val="0"/>
          <w:numId w:val="5"/>
        </w:numPr>
      </w:pPr>
      <w:r>
        <w:rPr>
          <w:rtl/>
        </w:rPr>
        <w:t>חזקה הוא סיבה להקל.</w:t>
      </w:r>
    </w:p>
    <w:p w14:paraId="6AFEAC9E" w14:textId="77777777" w:rsidR="003D64E0" w:rsidRDefault="00F44ABC">
      <w:pPr>
        <w:pStyle w:val="FootnoteText"/>
        <w:numPr>
          <w:ilvl w:val="1"/>
          <w:numId w:val="5"/>
        </w:numPr>
      </w:pPr>
      <w:r>
        <w:rPr>
          <w:rtl/>
        </w:rPr>
        <w:t>יותר קשה להקל על מה שהיה כבר מותר. יש לדון למה:</w:t>
      </w:r>
    </w:p>
    <w:p w14:paraId="473108A2" w14:textId="77777777" w:rsidR="003D64E0" w:rsidRDefault="00F44ABC">
      <w:pPr>
        <w:pStyle w:val="FootnoteText"/>
        <w:numPr>
          <w:ilvl w:val="2"/>
          <w:numId w:val="5"/>
        </w:numPr>
      </w:pPr>
      <w:r>
        <w:rPr>
          <w:rtl/>
        </w:rPr>
        <w:t>אולי מפני שיותר רוצה אותו.</w:t>
      </w:r>
    </w:p>
    <w:p w14:paraId="3F250399" w14:textId="77777777" w:rsidR="003D64E0" w:rsidRDefault="00F44ABC">
      <w:pPr>
        <w:pStyle w:val="FootnoteText"/>
        <w:numPr>
          <w:ilvl w:val="2"/>
          <w:numId w:val="5"/>
        </w:numPr>
      </w:pPr>
      <w:r>
        <w:rPr>
          <w:rtl/>
        </w:rPr>
        <w:t>מפני שעוד עכשיו חושב עליו להיות מותר, וקשה לשנות את המחשבה שלו.</w:t>
      </w:r>
    </w:p>
    <w:p w14:paraId="0A07C8C5" w14:textId="77777777" w:rsidR="003D64E0" w:rsidRDefault="00F44ABC">
      <w:pPr>
        <w:pStyle w:val="FootnoteText"/>
        <w:ind w:left="1440"/>
      </w:pPr>
      <w:r>
        <w:rPr>
          <w:rtl/>
        </w:rPr>
        <w:t>זה מניח שבני אדם חושבים על דבר לעמוד בחזקתו. יש לדון למה עושים כן, אבל נראה שזה נכון</w:t>
      </w:r>
    </w:p>
    <w:p w14:paraId="67ADEC47" w14:textId="77777777" w:rsidR="003D64E0" w:rsidRDefault="00F44ABC">
      <w:pPr>
        <w:pStyle w:val="FootnoteText"/>
        <w:numPr>
          <w:ilvl w:val="0"/>
          <w:numId w:val="5"/>
        </w:numPr>
      </w:pPr>
      <w:r>
        <w:rPr>
          <w:rtl/>
        </w:rPr>
        <w:t>חזקה הוא סיבה להחמיר.</w:t>
      </w:r>
    </w:p>
    <w:p w14:paraId="164E6146" w14:textId="77777777" w:rsidR="003D64E0" w:rsidRDefault="00F44ABC">
      <w:pPr>
        <w:pStyle w:val="FootnoteText"/>
        <w:numPr>
          <w:ilvl w:val="1"/>
          <w:numId w:val="5"/>
        </w:numPr>
      </w:pPr>
      <w:r>
        <w:rPr>
          <w:rtl/>
        </w:rPr>
        <w:t>יותר קל להחמיר על מה שהיה כבר אסור. (יש לומר כשני צדדים שכתבנו לעיל.)</w:t>
      </w:r>
    </w:p>
    <w:p w14:paraId="57F6691C" w14:textId="77777777" w:rsidR="003D64E0" w:rsidRDefault="00F44ABC">
      <w:pPr>
        <w:pStyle w:val="FootnoteText"/>
        <w:numPr>
          <w:ilvl w:val="0"/>
          <w:numId w:val="5"/>
        </w:numPr>
      </w:pPr>
      <w:r>
        <w:rPr>
          <w:rtl/>
        </w:rPr>
        <w:t>חזקה הוא סיבה להקל ולהחמיר.</w:t>
      </w:r>
    </w:p>
    <w:p w14:paraId="232B373B" w14:textId="77777777" w:rsidR="003D64E0" w:rsidRDefault="00F44ABC">
      <w:pPr>
        <w:pStyle w:val="FootnoteText"/>
        <w:numPr>
          <w:ilvl w:val="1"/>
          <w:numId w:val="5"/>
        </w:numPr>
      </w:pPr>
      <w:r>
        <w:rPr>
          <w:rtl/>
        </w:rPr>
        <w:t>עושים כמו שבני אדם מדרהרים. יש לדון למה יהיה כן.</w:t>
      </w:r>
    </w:p>
    <w:p w14:paraId="4BF2A707" w14:textId="77777777" w:rsidR="003D64E0" w:rsidRDefault="00F44ABC">
      <w:pPr>
        <w:pStyle w:val="FootnoteText"/>
        <w:numPr>
          <w:ilvl w:val="1"/>
          <w:numId w:val="5"/>
        </w:numPr>
      </w:pPr>
      <w:r>
        <w:rPr>
          <w:rtl/>
        </w:rPr>
        <w:t>אולי מה שהיה דבר הוא סיבה קצת לתת לו אותו דין עכשיו. כיון שרק זה ידוע לנו בוודאי, כמו כן אנו עושים.</w:t>
      </w:r>
    </w:p>
    <w:p w14:paraId="36FE9428" w14:textId="77777777" w:rsidR="003D64E0" w:rsidRDefault="00F44ABC">
      <w:pPr>
        <w:pStyle w:val="FootnoteText"/>
        <w:numPr>
          <w:ilvl w:val="1"/>
          <w:numId w:val="5"/>
        </w:numPr>
      </w:pPr>
      <w:r>
        <w:rPr>
          <w:rtl/>
        </w:rPr>
        <w:t>אולי יש להניח חזקה על פי רוב, שרוב פעמים, דברים לא משתנים. אז, על כל רגע ורגע, מניחים שלא נשתנה על פי ורב. ויש להעיר שרוב עדיף מחזקה. אז, צריך לבאר, לפי צד, זה, איך זה אפשר, ולמה אינם אותו דבר. אולי הוא מפני שכאן יכולים לצרף מיעוטים.</w:t>
      </w:r>
    </w:p>
    <w:p w14:paraId="5F86897D" w14:textId="77777777" w:rsidR="003D64E0" w:rsidRDefault="00F44ABC">
      <w:pPr>
        <w:pStyle w:val="FootnoteText"/>
      </w:pPr>
      <w:r>
        <w:rPr>
          <w:rtl/>
        </w:rPr>
        <w:tab/>
        <w:t>גם אפשר שתורה לא רצה להחמיר על כל ספיקות, שזה היה קשה ביותר, ולא רצה להקל על כולם, שזה היה קל ביותר. אז, אמר הבחנה זה. ותחשב. גם אפשר שלא רצה להחמיר על כולם לא מפני שאז כל דיני תורה יהיו קשות ביותר, אלא מפני שנמצא עליהם צורך להחמיר- והוא אותו טירחא של כל מצווה- בלי אותו הנאה- שיש רק ספק שיש איסור. אז, כדי לקיים מה שיש רק ספק שיהיה איסור, גם אסר רק מקצת מהם. נקט שאותו מקצת הוא המקצת שיש בהם חזקה. ויש לדון, שאז יש ספק שאינו שקול, ועדיין יש אותו רישיא"ו בין טורח לשכר. ותחשב. ויש לדון, שאולי מה שיש יכולת יותר שיש שכר בכל אותו החצי הוא המשנה הדין. ותחשב.</w:t>
      </w:r>
    </w:p>
  </w:footnote>
  <w:footnote w:id="8">
    <w:p w14:paraId="47555AC6" w14:textId="77777777" w:rsidR="003D64E0" w:rsidRDefault="00F44ABC">
      <w:pPr>
        <w:pStyle w:val="FootnoteText"/>
        <w:rPr>
          <w:lang w:bidi="he-IL"/>
        </w:rPr>
      </w:pPr>
      <w:r>
        <w:rPr>
          <w:rStyle w:val="FootnoteCharacters"/>
        </w:rPr>
        <w:footnoteRef/>
      </w:r>
      <w:r>
        <w:rPr>
          <w:rtl/>
          <w:lang w:bidi="he-IL"/>
        </w:rPr>
        <w:tab/>
        <w:t>יש לדון למה מניחים חזקה:</w:t>
      </w:r>
    </w:p>
    <w:p w14:paraId="30883A05" w14:textId="77777777" w:rsidR="003D64E0" w:rsidRDefault="00F44ABC">
      <w:pPr>
        <w:pStyle w:val="FootnoteText"/>
        <w:numPr>
          <w:ilvl w:val="0"/>
          <w:numId w:val="3"/>
        </w:numPr>
        <w:rPr>
          <w:lang w:bidi="he-IL"/>
        </w:rPr>
      </w:pPr>
      <w:r>
        <w:rPr>
          <w:rtl/>
          <w:lang w:bidi="he-IL"/>
        </w:rPr>
        <w:t>אולי מניחים שדברים לא נשתנים או דברים לא קרים. אז, ממילא, מניחים שדין שלו נשאר או דבר שמשנה את דין שלו לא קרה. (אף שבין כך ובין כך קרה דבר, לפעמים, מה שמשנה את דין שלה מחשיב אותו, ויותר קשה להניח שדבר חשוב קרה.</w:t>
      </w:r>
    </w:p>
    <w:p w14:paraId="75268E5B" w14:textId="77777777" w:rsidR="003D64E0" w:rsidRDefault="00F44ABC">
      <w:pPr>
        <w:pStyle w:val="FootnoteText"/>
        <w:numPr>
          <w:ilvl w:val="0"/>
          <w:numId w:val="3"/>
        </w:numPr>
        <w:rPr>
          <w:lang w:bidi="he-IL"/>
        </w:rPr>
      </w:pPr>
      <w:r>
        <w:rPr>
          <w:rtl/>
          <w:lang w:bidi="he-IL"/>
        </w:rPr>
        <w:t>אולי כיון ששני הדברים- הוא עכשיו והוא לפני זמן- מאד דומים, מניחים שבכל דברים שיכול להיות הם שווים.</w:t>
      </w:r>
    </w:p>
    <w:p w14:paraId="63303045" w14:textId="77777777" w:rsidR="003D64E0" w:rsidRDefault="00F44ABC">
      <w:pPr>
        <w:pStyle w:val="FootnoteText"/>
        <w:ind w:left="720"/>
        <w:rPr>
          <w:lang w:bidi="he-IL"/>
        </w:rPr>
      </w:pPr>
      <w:r>
        <w:rPr>
          <w:rtl/>
          <w:lang w:bidi="he-IL"/>
        </w:rPr>
        <w:t>יש להעיר שלזה לא כל כך פשוט שיהיה חזקה כאן, שיש שינוי גדול, במה שנבעלה. בעילה הוא שינוי גדול, כי יש הרבה איסורים שלא באים בלי ביאה. ותחשב.</w:t>
      </w:r>
    </w:p>
  </w:footnote>
  <w:footnote w:id="9">
    <w:p w14:paraId="4AB8A09B" w14:textId="77777777" w:rsidR="003D64E0" w:rsidRDefault="00F44ABC">
      <w:pPr>
        <w:pStyle w:val="FootnoteText"/>
        <w:rPr>
          <w:lang w:bidi="he-IL"/>
        </w:rPr>
      </w:pPr>
      <w:r>
        <w:rPr>
          <w:rStyle w:val="FootnoteCharacters"/>
        </w:rPr>
        <w:footnoteRef/>
      </w:r>
      <w:r>
        <w:rPr>
          <w:rtl/>
          <w:lang w:bidi="he-IL"/>
        </w:rPr>
        <w:tab/>
        <w:t xml:space="preserve">מעניין שיש לאשה חזקת היתר (לא נראה שיש הכרח מן הגמ’ שיש חזקת היתר, שיש לומר שמה שסתם אשה מותר בביאה אינו מפני חזקת היתר שלה, אלא מפני שאין התעוררות ספק, שלא חושבים שהיא אסורה, כיון שאין סיבה לחשוב כן), שהרי לא נודע שהיה זמן שהיתה מותרת בביאה. הרי, כשנולדה, לא היה איסור, אבל לא היתה ראויה לביאה. אז, לא היתה מותרת בביאה. אז, אין חזקת היתר מאז. לא נוכל לומר שכשהגיעה לבת שלש היתה מותרת בביאה, שאולי נבעלה באותו שעה. </w:t>
      </w:r>
    </w:p>
    <w:p w14:paraId="27F63679" w14:textId="77777777" w:rsidR="003D64E0" w:rsidRDefault="00F44ABC">
      <w:pPr>
        <w:pStyle w:val="FootnoteText"/>
        <w:rPr>
          <w:lang w:bidi="he-IL"/>
        </w:rPr>
      </w:pPr>
      <w:r>
        <w:rPr>
          <w:rtl/>
          <w:lang w:bidi="he-IL"/>
        </w:rPr>
        <w:tab/>
        <w:t>אפשר לתרץ לצד ראשון. אפשר שמספיק מה שאין איסור ביאה לה. (וא"ת אם כן נאמר שגם יש חזקת היתר מלפני שהיה בעולם. וי"ל שצריך להיות קרק’ שלה, וזה רק אפשר משבאה לעולם.) גם אפשר לומר שיש חזקה כיון שאף שביאה לא אפשר, מותר הוא. ויש לדון אם נוכל לומר שדבר שא"א הוא מותר. גם יש לומר שעשיית אותו מעשה מותר- אף שאינו נחשב ביאה ממש- וזה מספיק לעשות חזקה. גם אפשר שכיון שהיא עומדת להיתר, יש לה חז’ היתר. ותחשב. (יש להוסיף שעל פי זה נראה שיש צד חדש בביאור חזקה. אין הענין שהיה מותר, ואז יהיה מותר. אלא, הענין הוא שהיה עומד להיות מותר לאחר זמן (שצריך שינוי כדי לאסור אותו), ואז לאחר זמן הוא מותר. ותחשב.)</w:t>
      </w:r>
    </w:p>
    <w:p w14:paraId="2B948378" w14:textId="77777777" w:rsidR="003D64E0" w:rsidRDefault="00F44ABC">
      <w:pPr>
        <w:pStyle w:val="FootnoteText"/>
        <w:rPr>
          <w:lang w:bidi="he-IL"/>
        </w:rPr>
      </w:pPr>
      <w:r>
        <w:rPr>
          <w:rtl/>
          <w:lang w:bidi="he-IL"/>
        </w:rPr>
        <w:tab/>
        <w:t>אפשר לתרץ לצד שני. אולי מניחים שלא נבעלה מיד בהגיע שלש שנים, שזה לא מצוי. (נמצא שסומכים על חזקה שרק בא ממה שמסתבר.) (וא"ת שאי אפשר לצמצם. וי"ל שנמצא אם נבעלה לפני כן ונמשך. אבל, יש לומר שזה לא נחשב ביאה. אז, יש לנו תי’ אחר.) אפשר שיש היתר כשהגיעה לבת שלש שאין התעוררות ספק של איסור. (יש לדון, שאם היא כבר נאנסה, כמו בתוס’ לקמן, ונמצא שנבעלה, נראה שיש התעוררות ספק.) גם יש לומר שמניחים היתר כיון שיש חזקה שבאה ממה שלא היתה נבעלה לפני כן, שנניח שלא נבעלה אז גם כן.</w:t>
      </w:r>
    </w:p>
  </w:footnote>
  <w:footnote w:id="10">
    <w:p w14:paraId="7B845F51" w14:textId="77777777" w:rsidR="003D64E0" w:rsidRDefault="00F44ABC">
      <w:pPr>
        <w:pStyle w:val="FootnoteText"/>
        <w:rPr>
          <w:lang w:bidi="he-IL"/>
        </w:rPr>
      </w:pPr>
      <w:r>
        <w:rPr>
          <w:rStyle w:val="FootnoteCharacters"/>
        </w:rPr>
        <w:footnoteRef/>
      </w:r>
      <w:r>
        <w:rPr>
          <w:rtl/>
          <w:lang w:bidi="he-IL"/>
        </w:rPr>
        <w:tab/>
        <w:t xml:space="preserve">לשון זה מענין. לכאו’, חזקה לא מוכיח מה קרה, אלא אומר לנו מה לעשות. אז, הייתי אומר שחזקה אומר שהיא מותרת, ולא שאומר לנו להניח שנבעלה קודם. ותחשב על זה. </w:t>
      </w:r>
    </w:p>
  </w:footnote>
  <w:footnote w:id="11">
    <w:p w14:paraId="2049A6A1" w14:textId="77777777" w:rsidR="003D64E0" w:rsidRDefault="00F44ABC">
      <w:pPr>
        <w:pStyle w:val="FootnoteText"/>
        <w:rPr>
          <w:lang w:bidi="he-IL"/>
        </w:rPr>
      </w:pPr>
      <w:r>
        <w:rPr>
          <w:rStyle w:val="FootnoteCharacters"/>
        </w:rPr>
        <w:footnoteRef/>
      </w:r>
      <w:r>
        <w:rPr>
          <w:rtl/>
          <w:lang w:bidi="he-IL"/>
        </w:rPr>
        <w:tab/>
        <w:t>יש לדון אם זה דוחה זה, ויש חזקה לזה וחזקה לזה, או שחזקה אחרונה יש לה יותר כוח מן הראשונה (כיון שהוא קרק’ פיזאקאל, ולא דין, ועוד שהוא הסיבה לראשון שהוזכר).</w:t>
      </w:r>
    </w:p>
    <w:p w14:paraId="448A403C" w14:textId="77777777" w:rsidR="003D64E0" w:rsidRDefault="00F44ABC">
      <w:pPr>
        <w:pStyle w:val="FootnoteText"/>
        <w:rPr>
          <w:lang w:bidi="he-IL"/>
        </w:rPr>
      </w:pPr>
      <w:r>
        <w:rPr>
          <w:rtl/>
          <w:lang w:bidi="he-IL"/>
        </w:rPr>
        <w:tab/>
        <w:t>גם יש לדון אם חזקה דוחה חזקה (יש סיבה לפסוק כן ולפוסק כן) או שמתיר אותו (שעושה שנשתנה הציור, עד שאין עוד חזקה. (בשניהם, יש לומר שנשאר קצת מחזקה שנית.) גם אפשר שאין חזקה כיון שמניחים שאין שינוי, ויש שינוי שווה בשניהם. (במילים אחרים, אולי לא דנים על כל שאלה בפני עצמו, ואומרים בו חזקה, אלא דנים במצבה בכלל, ובו אין חזקה, שבוודאי דבר אחד נשתנה, אבל אין הכרע איזה. ותחשב.)</w:t>
      </w:r>
    </w:p>
    <w:p w14:paraId="06CF1E29" w14:textId="77777777" w:rsidR="003D64E0" w:rsidRDefault="00F44ABC">
      <w:pPr>
        <w:pStyle w:val="FootnoteText"/>
        <w:rPr>
          <w:lang w:bidi="he-IL"/>
        </w:rPr>
      </w:pPr>
      <w:r>
        <w:rPr>
          <w:rtl/>
          <w:lang w:bidi="he-IL"/>
        </w:rPr>
        <w:tab/>
        <w:t>יש להעיר שאם השנית יותר חזקה, אין ס"ס שקולך. יש לדון, שאולי ספק שקול רק כמה מסתבר הוא שיקרה. אבל, חזקה אינו אומר כמה מס’ הוא, אלא איך ננהג. יותר מזה, כמו שנבאר לקמן, אולי בעיה של ספק שאינו שקול הוא שאינו נח’ ספק עוד. אולי זה רק ברוב, ולא בחזקה, שאין כל כך כוח לחזקה. גם אפשר שכשיש ס"ס אין חזקה, שכבר נשתנה מצבה, מחמת הס"ס.</w:t>
      </w:r>
    </w:p>
  </w:footnote>
  <w:footnote w:id="12">
    <w:p w14:paraId="52C4AEA2" w14:textId="77777777" w:rsidR="003D64E0" w:rsidRDefault="00F44ABC">
      <w:pPr>
        <w:pStyle w:val="FootnoteText"/>
        <w:rPr>
          <w:lang w:bidi="he-IL"/>
        </w:rPr>
      </w:pPr>
      <w:r>
        <w:rPr>
          <w:rStyle w:val="FootnoteCharacters"/>
        </w:rPr>
        <w:footnoteRef/>
      </w:r>
      <w:r>
        <w:rPr>
          <w:rtl/>
          <w:lang w:bidi="he-IL"/>
        </w:rPr>
        <w:tab/>
        <w:t>צריך ביאור למה יותר מסתבר שנבעלה לאחר זמן. לכאו’, חזקה אומרת שלנו שלא נשתנה. יודעים שבזמן אחד נבעלה, ואז חזקה בוודאי נדחה. מה לנו אם נדחה מוקדם או מאוחר. יש לבאר:</w:t>
      </w:r>
    </w:p>
    <w:p w14:paraId="5E6C6F57" w14:textId="77777777" w:rsidR="003D64E0" w:rsidRDefault="00F44ABC">
      <w:pPr>
        <w:pStyle w:val="FootnoteText"/>
        <w:numPr>
          <w:ilvl w:val="0"/>
          <w:numId w:val="2"/>
        </w:numPr>
        <w:rPr>
          <w:lang w:bidi="he-IL"/>
        </w:rPr>
      </w:pPr>
      <w:r>
        <w:rPr>
          <w:rtl/>
          <w:lang w:bidi="he-IL"/>
        </w:rPr>
        <w:t>אולי ענין של חזקה הוא שיודעים על זמן אחד, ודנים על זמן שני שבא מיד אחריו. אחר כן, דנים בעדו זמן שבא אחריו. כיון שהכרענו על זמן, מניחים כן. אז, יודעים שבזמן א’, לא היתה נבעלת. אז, מניחים כן בזמן ב’ ובזמן ג’. רק בזמן ד’, שיש הוכחה שנבעלה, שהרי נבעלה קודם זמן ה’, נניח שנבעלה, שאז מוכרח כן, שנבעלה, אבל לא בא’ ב’ וג’. ותחשב.</w:t>
      </w:r>
    </w:p>
    <w:p w14:paraId="00F84B6E" w14:textId="77777777" w:rsidR="003D64E0" w:rsidRDefault="00F44ABC">
      <w:pPr>
        <w:pStyle w:val="FootnoteText"/>
        <w:ind w:left="720"/>
        <w:rPr>
          <w:lang w:bidi="he-IL"/>
        </w:rPr>
      </w:pPr>
      <w:r>
        <w:rPr>
          <w:rtl/>
          <w:lang w:bidi="he-IL"/>
        </w:rPr>
        <w:t>זה מחדש שלא רק מדמים זמן השאלה לזמן הידוע, אלא שואלים על כל זמן. יותר מכך, עושים את זה בסדר קראנולאגי. יותר מזה, לא דנים בו ממה שיודעים על זמן השאלה, אלא רק על מה שיודעים שקרה לפני כן.</w:t>
      </w:r>
    </w:p>
    <w:p w14:paraId="507260E0" w14:textId="77777777" w:rsidR="003D64E0" w:rsidRDefault="00F44ABC">
      <w:pPr>
        <w:pStyle w:val="FootnoteText"/>
        <w:ind w:left="720"/>
        <w:rPr>
          <w:lang w:bidi="he-IL"/>
        </w:rPr>
      </w:pPr>
      <w:r>
        <w:rPr>
          <w:rtl/>
          <w:lang w:bidi="he-IL"/>
        </w:rPr>
        <w:t>יש להעיר שהיה נראה לומר שיש חזקה למפרע, וכמו שידיעה מודה על מה קורה לאחריו, שמניחים שדברים לא נשתנו, כך יכול להורות על מה שבא לפניו, לאותו סיבה. אפשר לומר שאינו כל כך חזק, שאם לא כן, נניח ביאה באמצע הזמן, וגם אפשר לומר שאף באותו חזקה דנים בו ראשון ראשון באופן קראנאלוגי.</w:t>
      </w:r>
    </w:p>
    <w:p w14:paraId="4EFB47C5" w14:textId="77777777" w:rsidR="003D64E0" w:rsidRDefault="00F44ABC">
      <w:pPr>
        <w:pStyle w:val="FootnoteText"/>
        <w:numPr>
          <w:ilvl w:val="0"/>
          <w:numId w:val="2"/>
        </w:numPr>
        <w:rPr>
          <w:lang w:bidi="he-IL"/>
        </w:rPr>
      </w:pPr>
      <w:r>
        <w:rPr>
          <w:rtl/>
          <w:lang w:bidi="he-IL"/>
        </w:rPr>
        <w:t>אפשר שחזקה יש בו יותר כוח בזמן היותר קרוב לשעה שנודע. (יש לדון אם חזקה נמשך מפני יחס כל זמן לזמן ראשון או לזמן שבא לפניו. בין כך ובין כך, צד זה אפשר.) אז, מרחיקים את הביאה ככל יכולת שלנו מאותו זמן, ומניחים שקרה בזמן מאוחר. ותחשב.</w:t>
      </w:r>
    </w:p>
    <w:p w14:paraId="18FD2011" w14:textId="77777777" w:rsidR="003D64E0" w:rsidRDefault="00F44ABC">
      <w:pPr>
        <w:pStyle w:val="FootnoteText"/>
        <w:ind w:left="720"/>
        <w:rPr>
          <w:lang w:bidi="he-IL"/>
        </w:rPr>
      </w:pPr>
      <w:r>
        <w:rPr>
          <w:rtl/>
          <w:lang w:bidi="he-IL"/>
        </w:rPr>
        <w:t>בדיחוי חדקה למפרע, י"ל שחזקה זה יותר חזק, ויש לומר שיחס של "לפני כן" יותר גרוע מיחס של "לאחר מכן.” ותחשב. (אולי שני צדדים אלו שווים.)</w:t>
      </w:r>
    </w:p>
    <w:p w14:paraId="41C3FB4D" w14:textId="77777777" w:rsidR="003D64E0" w:rsidRDefault="00F44ABC">
      <w:pPr>
        <w:pStyle w:val="FootnoteText"/>
        <w:numPr>
          <w:ilvl w:val="0"/>
          <w:numId w:val="2"/>
        </w:numPr>
        <w:rPr>
          <w:lang w:bidi="he-IL"/>
        </w:rPr>
      </w:pPr>
      <w:r>
        <w:rPr>
          <w:rtl/>
          <w:lang w:bidi="he-IL"/>
        </w:rPr>
        <w:t xml:space="preserve">אפשר שחזקה הוא רק סיבה להניח דבר על זמנים שידוע שלא נשתנו. אז, יותר טוב להניח שינוי רק בזמן שנודע שנשתנה. הרי, הרגע קודם זמן השאלה, בוודאי נבעלה. אז, באותו זמן נניח שהיא נבעלה. עכשיו, אין שום הוכחה שבזמן אחר נבעלה, ואז נלך בתר חזקה. אבל, זה רק מהני אם נניח שחזקה אומר לנו שדברים לא נשתנים, ולא שדברים לא קרים. אם אומר לנו שדברים לא קרים, עוד קשה, שלא יודעים על שום זמן שאז בוודאי דבר קרה. ותו"ת. </w:t>
      </w:r>
    </w:p>
    <w:p w14:paraId="168C8B9F" w14:textId="77777777" w:rsidR="003D64E0" w:rsidRDefault="00F44ABC">
      <w:pPr>
        <w:pStyle w:val="FootnoteText"/>
        <w:rPr>
          <w:lang w:bidi="he-IL"/>
        </w:rPr>
      </w:pPr>
      <w:r>
        <w:rPr>
          <w:rtl/>
          <w:lang w:bidi="he-IL"/>
        </w:rPr>
        <w:tab/>
        <w:t>היה אפשר להקשות שחזקה מיוסד על יסוד שדברים לא נשתנים. כיון שרואים שזה נשתנה, למה נניח שום חזקה. אבל, נראה שאי אפשר לטעון כן, שאז אם אשה נבעלה לעינינו, אין חזקה שלא נבעלה לפני כן, וזה לא נראה. אז, צריך לומר שאף אם נבעלה פעם אחת, לא מניחים שנבעלה עוד פעם. ותו"ת. ויש לדון, שאולי נתבטל החזקה, אלא שאין נ"מ. ויש לדון בזה.</w:t>
      </w:r>
    </w:p>
    <w:p w14:paraId="28D513A7" w14:textId="77777777" w:rsidR="003D64E0" w:rsidRDefault="00F44ABC">
      <w:pPr>
        <w:pStyle w:val="FootnoteText"/>
        <w:rPr>
          <w:lang w:bidi="he-IL"/>
        </w:rPr>
      </w:pPr>
      <w:r>
        <w:rPr>
          <w:rtl/>
          <w:lang w:bidi="he-IL"/>
        </w:rPr>
        <w:tab/>
        <w:t>על כל זה, יש להעיר שלא רק צריך לומר שעושה חזקה, אלא שעושה חזקה עם כוח שווה לכוח חזקת היתר שלה (שלא צריך להשתמש עם דחוקים של חזקות אלו). ותחשב. (אם חזקה זו מתיר, ולא דוחה, לא צריך להיות שיש לו כוח כזה. ותחשב.)</w:t>
      </w:r>
    </w:p>
  </w:footnote>
  <w:footnote w:id="13">
    <w:p w14:paraId="115FACB0" w14:textId="77777777" w:rsidR="003D64E0" w:rsidRDefault="00F44ABC">
      <w:pPr>
        <w:pStyle w:val="FootnoteText"/>
        <w:rPr>
          <w:lang w:bidi="he-IL"/>
        </w:rPr>
      </w:pPr>
      <w:r>
        <w:rPr>
          <w:rStyle w:val="FootnoteCharacters"/>
        </w:rPr>
        <w:footnoteRef/>
      </w:r>
      <w:r>
        <w:rPr>
          <w:rtl/>
          <w:lang w:bidi="he-IL"/>
        </w:rPr>
        <w:tab/>
        <w:t xml:space="preserve">יש לדון למה פיתוי קטנה אונס הוא. </w:t>
      </w:r>
    </w:p>
    <w:p w14:paraId="1E708633" w14:textId="77777777" w:rsidR="003D64E0" w:rsidRDefault="00F44ABC">
      <w:pPr>
        <w:pStyle w:val="FootnoteText"/>
        <w:rPr>
          <w:lang w:bidi="he-IL"/>
        </w:rPr>
      </w:pPr>
      <w:r>
        <w:rPr>
          <w:rtl/>
          <w:lang w:bidi="he-IL"/>
        </w:rPr>
        <w:tab/>
        <w:t>תחילה, צריך לדון אם פשוט לדמות אותו לאונס ממש. היה אפשר לומר שחלוק הוא (יש לדון אם הענין הוא שיש חילוק במעשה או בחפץ), אבל לא נראה שיש מקור לזה. אז, לכאו’ צריך לומר שנלמד מאונס, או שוהא סברה בפני עצמו. גם מה שלא אומר שרק מותר הוא משמע שמין אונס הוא.</w:t>
      </w:r>
    </w:p>
    <w:p w14:paraId="5DD91716" w14:textId="77777777" w:rsidR="003D64E0" w:rsidRDefault="00F44ABC">
      <w:pPr>
        <w:pStyle w:val="FootnoteText"/>
        <w:rPr>
          <w:lang w:bidi="he-IL"/>
        </w:rPr>
      </w:pPr>
      <w:r>
        <w:rPr>
          <w:rtl/>
          <w:lang w:bidi="he-IL"/>
        </w:rPr>
        <w:tab/>
        <w:t>צריך לבאר למה לא נאסרת, שהרי היא רוצה בביאה:</w:t>
      </w:r>
    </w:p>
    <w:p w14:paraId="6C57888C" w14:textId="77777777" w:rsidR="003D64E0" w:rsidRDefault="00F44ABC">
      <w:pPr>
        <w:pStyle w:val="FootnoteText"/>
        <w:numPr>
          <w:ilvl w:val="0"/>
          <w:numId w:val="6"/>
        </w:numPr>
        <w:rPr>
          <w:lang w:bidi="he-IL"/>
        </w:rPr>
      </w:pPr>
      <w:r>
        <w:rPr>
          <w:rtl/>
          <w:lang w:bidi="he-IL"/>
        </w:rPr>
        <w:t>אי אפשר להכיר מתי יש לקטן רצון, שלפעמים קטנים אומרים "כן" ל"לא" ולהיפך. וא"ת אם כן יהיה ספק. ויש לומר שרצון שלא ניכר לא חשוב. גי"ל שמסתמא לא רוצה, ואין ראה נגד זה. אבל, מציאות זה, שלא יכלים להבחין, לא נראה כל כך.</w:t>
      </w:r>
    </w:p>
    <w:p w14:paraId="751E4FBA" w14:textId="77777777" w:rsidR="003D64E0" w:rsidRDefault="00F44ABC">
      <w:pPr>
        <w:pStyle w:val="FootnoteText"/>
        <w:numPr>
          <w:ilvl w:val="0"/>
          <w:numId w:val="6"/>
        </w:numPr>
        <w:rPr>
          <w:lang w:bidi="he-IL"/>
        </w:rPr>
      </w:pPr>
      <w:r>
        <w:rPr>
          <w:rtl/>
          <w:lang w:bidi="he-IL"/>
        </w:rPr>
        <w:t>רצון קטן לא חשוב, כיון שעומד לשנות. אולי עומד לשנות מיד (שזהו דרך קטנים) או אולי עומד לשנות כשתגדל. ויש לדון.</w:t>
      </w:r>
    </w:p>
    <w:p w14:paraId="26E58FED" w14:textId="77777777" w:rsidR="003D64E0" w:rsidRDefault="00F44ABC">
      <w:pPr>
        <w:pStyle w:val="FootnoteText"/>
        <w:numPr>
          <w:ilvl w:val="0"/>
          <w:numId w:val="6"/>
        </w:numPr>
        <w:rPr>
          <w:lang w:bidi="he-IL"/>
        </w:rPr>
      </w:pPr>
      <w:r>
        <w:rPr>
          <w:rtl/>
          <w:lang w:bidi="he-IL"/>
        </w:rPr>
        <w:t>אולי רצון רצה לומר שחושב שטוב הוא. מחשבה זו רק חשובה כיון שבדרך כלל נכון הוא, אבל בשל קטן, זה לא כן, ואין סיבה לחשוב שהוא נכון. אז, אין בו חשיבות.</w:t>
      </w:r>
    </w:p>
    <w:p w14:paraId="4FCF4C97" w14:textId="77777777" w:rsidR="003D64E0" w:rsidRDefault="00F44ABC">
      <w:pPr>
        <w:pStyle w:val="FootnoteText"/>
        <w:numPr>
          <w:ilvl w:val="0"/>
          <w:numId w:val="6"/>
        </w:numPr>
        <w:rPr>
          <w:lang w:bidi="he-IL"/>
        </w:rPr>
      </w:pPr>
      <w:r>
        <w:rPr>
          <w:rtl/>
          <w:lang w:bidi="he-IL"/>
        </w:rPr>
        <w:t>רצון הוא אימושי"ן. בקטן, אין אימושי"ן זה חשוב, "שבדרך כלל רק חשוב כיון שהוא סיןמ שהוא טוב לו. (יש להוסיף שאולי אין אימושי"ן של רצון של קטן שווה לאותו אימושין בגדול, שאימושינים של גדול הם חלוקים משל קטן, שיש להם יותר נואנ"ס. ותחשב.</w:t>
      </w:r>
    </w:p>
    <w:p w14:paraId="5EBA205C" w14:textId="77777777" w:rsidR="003D64E0" w:rsidRDefault="00F44ABC">
      <w:pPr>
        <w:pStyle w:val="FootnoteText"/>
        <w:numPr>
          <w:ilvl w:val="0"/>
          <w:numId w:val="6"/>
        </w:numPr>
        <w:rPr>
          <w:lang w:bidi="he-IL"/>
        </w:rPr>
      </w:pPr>
      <w:r>
        <w:rPr>
          <w:rtl/>
          <w:lang w:bidi="he-IL"/>
        </w:rPr>
        <w:t>אחרים שולטים על קטן, ואז אין רצון שלו חשוב.</w:t>
      </w:r>
    </w:p>
    <w:p w14:paraId="25784BA8" w14:textId="77777777" w:rsidR="003D64E0" w:rsidRDefault="00F44ABC">
      <w:pPr>
        <w:pStyle w:val="FootnoteText"/>
        <w:numPr>
          <w:ilvl w:val="0"/>
          <w:numId w:val="6"/>
        </w:numPr>
        <w:rPr>
          <w:lang w:bidi="he-IL"/>
        </w:rPr>
      </w:pPr>
      <w:r>
        <w:rPr>
          <w:rtl/>
          <w:lang w:bidi="he-IL"/>
        </w:rPr>
        <w:t>מסתמא, מי שרוצה לבעול את הקטן יעשה כן אף בלי רצון שלה. נמצא שרצון שלה כאן לא היה נצרך, ואז לא חשוב.</w:t>
      </w:r>
    </w:p>
    <w:p w14:paraId="12FB2488" w14:textId="77777777" w:rsidR="003D64E0" w:rsidRDefault="00F44ABC">
      <w:pPr>
        <w:pStyle w:val="FootnoteText"/>
        <w:rPr>
          <w:lang w:bidi="he-IL"/>
        </w:rPr>
      </w:pPr>
      <w:r>
        <w:rPr>
          <w:rtl/>
          <w:lang w:bidi="he-IL"/>
        </w:rPr>
        <w:tab/>
        <w:t>עכשיו, צריך לדון למה חושב תוס’ שזה ספק ספיקא, ולא ששני ספקות הם אחד:</w:t>
      </w:r>
    </w:p>
    <w:p w14:paraId="47B5273C" w14:textId="77777777" w:rsidR="003D64E0" w:rsidRDefault="00F44ABC">
      <w:pPr>
        <w:pStyle w:val="FootnoteText"/>
        <w:numPr>
          <w:ilvl w:val="0"/>
          <w:numId w:val="7"/>
        </w:numPr>
        <w:rPr>
          <w:lang w:bidi="he-IL"/>
        </w:rPr>
      </w:pPr>
      <w:r>
        <w:rPr>
          <w:rtl/>
          <w:lang w:bidi="he-IL"/>
        </w:rPr>
        <w:t>המתיר חלוק. אולי סובר שהמתיר אינו אחד משש הצדדים, אלא אינו בכלל דומה לאונס, אלא הוא מה שהיא קטנה. גם יש לומר שבאונס הוא מה שיש רצון כנגד הביאה, ובקטנה הוא שאין רצון לביאה. אף שבכלל מנה מאתים, יש עוד מתיר או המתיר יותר חזק. יש להוסיף שיש מיני אונס שאפשר לומר בהם שיש רצון חזק נגד ביאה, אבל יש רצון לביאה, כמו אם אומר שיהרוג אותה אם לא נבעלת. (אגב, בביאור למה זה ייחשב אונס, כיון שרצה אותו (וזה לא כל כך קשה, שיש לומר שיש בו רצון כמו בכל ציור, אבל תורה לא אסר אותה כיון שתפסיד הרבה כדי שלא לעבור), נראה שאולי הכוונה הוא שלא רצתה את הביאה אלא התוצאה שלא תהרוג אותו. וא"ת תמיד רק רוצה הנאת ביאה או קורבה לו או כדומה. ונראה שייתלה כמה מיוחס אותו דבר לביאה. אין יחס של המשך חיים מיוחס לביאה, שלא בדרך כלל בא עמו, והוא רק תוצאה כיון שאדם זה עשה אותו תנאי עמה. ותחשב.)</w:t>
      </w:r>
    </w:p>
    <w:p w14:paraId="0BAEFA9F" w14:textId="77777777" w:rsidR="003D64E0" w:rsidRDefault="00F44ABC">
      <w:pPr>
        <w:pStyle w:val="FootnoteText"/>
        <w:numPr>
          <w:ilvl w:val="0"/>
          <w:numId w:val="7"/>
        </w:numPr>
        <w:rPr>
          <w:lang w:bidi="he-IL"/>
        </w:rPr>
      </w:pPr>
      <w:r>
        <w:rPr>
          <w:rtl/>
          <w:lang w:bidi="he-IL"/>
        </w:rPr>
        <w:t>המעשה מאד חלוק. צריך ביאור, שגם מעשה אונס לנפש ומעשה אונס ממש (שני מיני האונס שבארנו לעיל) הם מאד חלוקים. אז, קצת קשה למה פשוט לתוס’ ששניהם ייחשב ספק אחד, אבל זה ייחשב לעוד ספק. (אפשר לדחות שבאמת שני מיני האונס לא נחשבים ספק אחד, אלא שרק דנים באחד (יש לדון איזה אחד) שהוא מצוי.) אפשר לומר שאונס נפש רק מותר כיון שמסתבר שיבוא לאונס נפש אם לא תסכים. אז, המתיר שלו הוא אותו ציור. (אבל, אז, כמובן, לא אפשר לומר כן בקטנה.) אולי מה שזה באשה הראויה לרצות וזה באשה שלא ראויה לרצות מחלק אותם. גם נראה שאולי המעשה חלוק במה שהראוה יאמר שברצון הוא. ותחשב על זה.</w:t>
      </w:r>
    </w:p>
    <w:p w14:paraId="52D166B9" w14:textId="77777777" w:rsidR="003D64E0" w:rsidRDefault="00F44ABC">
      <w:pPr>
        <w:pStyle w:val="FootnoteText"/>
        <w:rPr>
          <w:lang w:bidi="he-IL"/>
        </w:rPr>
      </w:pPr>
      <w:r>
        <w:rPr>
          <w:rtl/>
          <w:lang w:bidi="he-IL"/>
        </w:rPr>
        <w:tab/>
        <w:t>כמובן, יש לדון אם קא משמע לן של תוס’ משנה כמה דומים הם או כמה צריך להיות דומים. ותחשב.</w:t>
      </w:r>
    </w:p>
  </w:footnote>
  <w:footnote w:id="14">
    <w:p w14:paraId="465EB38E" w14:textId="77777777" w:rsidR="003D64E0" w:rsidRDefault="00F44ABC">
      <w:pPr>
        <w:pStyle w:val="FootnoteText"/>
        <w:rPr>
          <w:lang w:bidi="he-IL"/>
        </w:rPr>
      </w:pPr>
      <w:r>
        <w:rPr>
          <w:rStyle w:val="FootnoteCharacters"/>
        </w:rPr>
        <w:footnoteRef/>
      </w:r>
      <w:r>
        <w:rPr>
          <w:rtl/>
          <w:lang w:bidi="he-IL"/>
        </w:rPr>
        <w:tab/>
        <w:t>וא"ת מה לנו בזה. הרי, תוס’ סובר שצריכים ס"ס של ספקות השקולים. אם כן, צריך לומר שהוא שבעים חמש ועשרים חמש. אז, יש רוב שאומר לנו שהוא מותר. אם כן, קשה למה צריכים ס"ס. הרי, צד של היתר הוא צד אחד, ולא שנים, ואז למה לא נקל. אולי הוא נחשב צד אחד למה שאין ס"ס, אבל לא למה שיהיה רוב. דחוק. גם אפשר שיש שני דרכים לחשב כמה מצוי הוא, ורק אם נדון בצירוף שני הספקות נחשב שהוא הרוב. אולי לא עושים כן. ותחשב. וע’ במה שכתבנו בצדי צדדים על גמ’. גם אפשר ששיקול הוא ראנ"ג (בין עשרים לשבעים, או כדומה).</w:t>
      </w:r>
    </w:p>
  </w:footnote>
  <w:footnote w:id="15">
    <w:p w14:paraId="3A1B1B17" w14:textId="77777777" w:rsidR="003D64E0" w:rsidRDefault="00F44ABC">
      <w:pPr>
        <w:pStyle w:val="FootnoteText"/>
        <w:rPr>
          <w:lang w:bidi="he-IL"/>
        </w:rPr>
      </w:pPr>
      <w:r>
        <w:rPr>
          <w:rStyle w:val="FootnoteCharacters"/>
        </w:rPr>
        <w:footnoteRef/>
      </w:r>
      <w:r>
        <w:rPr>
          <w:rtl/>
          <w:lang w:bidi="he-IL"/>
        </w:rPr>
        <w:tab/>
        <w:t>ראיתי שיש מי שפי’ שכוונת תוס’ הוא לומר שאינו ס"ס המתהפך. כבר בארנו ענין זה במק"א. לא כל כך נראה לי שיהיה כן כאן, שאם פיתוי קטנה נקרא על שם סיבת ההיתר שלו, נקרא לו אונס וזהו. ויש לדון.</w:t>
      </w:r>
    </w:p>
  </w:footnote>
  <w:footnote w:id="16">
    <w:p w14:paraId="3CEB064A" w14:textId="77777777" w:rsidR="003D64E0" w:rsidRDefault="00F44ABC">
      <w:pPr>
        <w:pStyle w:val="FootnoteText"/>
        <w:rPr>
          <w:lang w:bidi="he-IL"/>
        </w:rPr>
      </w:pPr>
      <w:r>
        <w:rPr>
          <w:rStyle w:val="FootnoteCharacters"/>
        </w:rPr>
        <w:footnoteRef/>
      </w:r>
      <w:r>
        <w:rPr>
          <w:rtl/>
          <w:lang w:bidi="he-IL"/>
        </w:rPr>
        <w:tab/>
        <w:t>יש הרבה ראשונים שלא דנים בחזקה; צריך ביאור למה לא. כתבנו צד למה אין חזקה, אבל אז צריך לומר שתמיד אין חזקת היתר בביאה. עדיין יש לדון למה אין מאחרים את הביאה מחזקה, ואז יהיה חזקת היתר. ותחשב. אולי אין סומכים חזקה על חזקה. גם אפשר שאין חז’ היתר, שהיתה אסורה אז מאיסור פנוי הבא על הפנויה. אף שזה לאו אחר, אולי זה מהני, כמו שמצאנו בשחיטה, בתחילת חולין. אולי אף אם הוא מדרבנן יכול להיות שמהני. ותחשב.</w:t>
      </w:r>
    </w:p>
    <w:p w14:paraId="1F5D22EC" w14:textId="77777777" w:rsidR="003D64E0" w:rsidRDefault="00F44ABC">
      <w:pPr>
        <w:pStyle w:val="FootnoteText"/>
        <w:rPr>
          <w:lang w:bidi="he-IL"/>
        </w:rPr>
      </w:pPr>
      <w:r>
        <w:rPr>
          <w:rtl/>
          <w:lang w:bidi="he-IL"/>
        </w:rPr>
        <w:tab/>
        <w:t>אם אין חזקה בשום אשה, כמו שצדדים אלו יאמרו, קשה למה כולם מותרים. וי"ל שאין התעו’ ספק.</w:t>
      </w:r>
    </w:p>
    <w:p w14:paraId="531169A3" w14:textId="77777777" w:rsidR="003D64E0" w:rsidRDefault="00F44ABC">
      <w:pPr>
        <w:pStyle w:val="FootnoteText"/>
        <w:rPr>
          <w:lang w:bidi="he-IL"/>
        </w:rPr>
      </w:pPr>
      <w:r>
        <w:rPr>
          <w:rtl/>
          <w:lang w:bidi="he-IL"/>
        </w:rPr>
        <w:tab/>
        <w:t>אפשר שח"ה אומר לנו שלא נשתנה טוב ורע שלה, ולא שלא נשתנה דין שלה. אז, יש לומר שאין חזקה לומר שיש מניעה לאיסור (ואולי אונס הוא מניעה לאיסור). ותחשב.</w:t>
      </w:r>
    </w:p>
  </w:footnote>
  <w:footnote w:id="17">
    <w:p w14:paraId="5E0E6B01" w14:textId="77777777" w:rsidR="003D64E0" w:rsidRDefault="00F44ABC">
      <w:pPr>
        <w:pStyle w:val="FootnoteText"/>
        <w:rPr>
          <w:lang w:bidi="he-IL"/>
        </w:rPr>
      </w:pPr>
      <w:r>
        <w:rPr>
          <w:rStyle w:val="FootnoteCharacters"/>
        </w:rPr>
        <w:footnoteRef/>
      </w:r>
      <w:r>
        <w:rPr>
          <w:rtl/>
          <w:lang w:bidi="he-IL"/>
        </w:rPr>
        <w:tab/>
        <w:t>יש להעיר שאונס זה לא רק כולל אונס, אלא גם כולל פיתוי קטנה. אולי גם לזה יש קול, או אולי זה לא מצוי. (עיין לקמן, שלא פשוט שענין של יש לו קול שווה לענין של לא מצוי. אז, אינו כל כך פשוט לומר כצד שני.)</w:t>
      </w:r>
    </w:p>
  </w:footnote>
  <w:footnote w:id="18">
    <w:p w14:paraId="6A2BE891" w14:textId="77777777" w:rsidR="003D64E0" w:rsidRDefault="00F44ABC">
      <w:pPr>
        <w:pStyle w:val="FootnoteText"/>
        <w:rPr>
          <w:lang w:bidi="he-IL"/>
        </w:rPr>
      </w:pPr>
      <w:r>
        <w:rPr>
          <w:rStyle w:val="FootnoteCharacters"/>
        </w:rPr>
        <w:footnoteRef/>
      </w:r>
      <w:r>
        <w:rPr>
          <w:rtl/>
          <w:lang w:bidi="he-IL"/>
        </w:rPr>
        <w:tab/>
        <w:t>יש לדון מה מכוון תוס’ לומר:</w:t>
      </w:r>
    </w:p>
    <w:p w14:paraId="3185EF66" w14:textId="77777777" w:rsidR="003D64E0" w:rsidRDefault="00F44ABC">
      <w:pPr>
        <w:pStyle w:val="FootnoteText"/>
        <w:numPr>
          <w:ilvl w:val="0"/>
          <w:numId w:val="4"/>
        </w:numPr>
        <w:rPr>
          <w:lang w:bidi="he-IL"/>
        </w:rPr>
      </w:pPr>
      <w:r>
        <w:rPr>
          <w:rtl/>
          <w:lang w:bidi="he-IL"/>
        </w:rPr>
        <w:t>כשדנים מה קרה לה, יש לנו הוכחה שלא נאנסה, כיון שאין קול, ובדרך כלל, לאונס יש קול. רוב נשים שאין קול בביאתם הם מפותות, ולא אנוסות.</w:t>
      </w:r>
    </w:p>
    <w:p w14:paraId="7A3DE508" w14:textId="77777777" w:rsidR="003D64E0" w:rsidRDefault="00F44ABC">
      <w:pPr>
        <w:pStyle w:val="FootnoteText"/>
        <w:ind w:left="720"/>
        <w:rPr>
          <w:lang w:bidi="he-IL"/>
        </w:rPr>
      </w:pPr>
      <w:r>
        <w:rPr>
          <w:rtl/>
          <w:lang w:bidi="he-IL"/>
        </w:rPr>
        <w:t>יש להעיר שאז לשונו- “אונס יש לו קול"- הוא קצת דחוק, שזה לא אומר לנו שפיתוי יותר מצוי ממנו. צריך לומר שאחרי שאומרים כן, פשוט מסברה שאינו מצוי כרצון.</w:t>
      </w:r>
    </w:p>
    <w:p w14:paraId="338860F6" w14:textId="77777777" w:rsidR="003D64E0" w:rsidRDefault="00F44ABC">
      <w:pPr>
        <w:pStyle w:val="FootnoteText"/>
        <w:numPr>
          <w:ilvl w:val="0"/>
          <w:numId w:val="4"/>
        </w:numPr>
        <w:rPr>
          <w:lang w:bidi="he-IL"/>
        </w:rPr>
      </w:pPr>
      <w:r>
        <w:rPr>
          <w:rtl/>
          <w:lang w:bidi="he-IL"/>
        </w:rPr>
        <w:t>אולי לא רוצים להניח דבר נגד רוב (אולי זה מפני שבדרך כלל רוב קורה או מפני שקבעה תורה להניח כרוב). רוב אומר לנו שאם היא אנוסה, יש קול. אם ננניח שהיא אנוסה, צריך לומר שרוב זה נדחה. אז, לא מניחים כן. אף שאם נניח שמפותה היא, דוחים רוב, שם רק דוחים רוב אחד (שרוב נשים לא מפותות). אם מניחים שהיא אנוסה, דוחים שני רובים, שמניחים שהיא אנוסה (ורוב נשים לא נאנסו) ומניחים שאונס שלה לא גרם קול (ורוב אונסים גרם קול.) (אין זה כל כך פשוט. הרי, יש להקשות למה לא אומרים שיש שני רובים במפותה, שרוב נשים לא נבעלות ורוב נבעלות אינם מפותות. ונראה שלא אומרים שני רובים על דבר אחד. אלא, דבר אחד קרה לה, ונפרש מה היא, ואז נדון כמה מצוי הוא אותו דבר על אשה כמוה. אבל, באונס יש לו קול, יש שני דברים- יש אונס שקרה לה, ואחר שקרה, דבר אחר מוזר קרה, והוא שלא גרם קול. אבל, זה מניח שמה שלא גרם קול הוא שלא דברה עליו או כדומה. אבל, אם נאמר שאינו תלוי בזה, אלא אם האיש עשה אותו במקום סתר כראוי, אז נראה שלא נכון ששם יש שני רובים.) אולי יותר טוב להניח נגד רוב אחד מלהניח נגד שני רובים (אף שמצרפים להיות עדיין יותר מצוי בנגד רוב אחד.)</w:t>
      </w:r>
    </w:p>
    <w:p w14:paraId="11FC9D5A" w14:textId="77777777" w:rsidR="003D64E0" w:rsidRDefault="00F44ABC">
      <w:pPr>
        <w:pStyle w:val="FootnoteText"/>
        <w:ind w:left="720"/>
        <w:rPr>
          <w:lang w:bidi="he-IL"/>
        </w:rPr>
      </w:pPr>
      <w:r>
        <w:rPr>
          <w:rtl/>
          <w:lang w:bidi="he-IL"/>
        </w:rPr>
        <w:t>יש להעיר שהיה אפשר לדחות שאף במפותה יש שני רובים, שיש רוב שהוא לא יעשה כן ושהיא לא יעשה כן (ויש לדון אם זה נכון). צריך לומר או שרק באחד מהם אין רוב, אבל כיון שאחד הסכים, האחר יסכים, או שרוב קאי רק על עשיית ביאה (או שדנים אם יקרה הביאה או שדנים אם יבעל, וכיון שבעל, מוכרח שהיא נבעלת) ותחשב.</w:t>
      </w:r>
    </w:p>
  </w:footnote>
  <w:footnote w:id="19">
    <w:p w14:paraId="232D5353" w14:textId="77777777" w:rsidR="003D64E0" w:rsidRDefault="00F44ABC">
      <w:pPr>
        <w:pStyle w:val="FootnoteText"/>
        <w:rPr>
          <w:lang w:bidi="he-IL"/>
        </w:rPr>
      </w:pPr>
      <w:r>
        <w:rPr>
          <w:rStyle w:val="FootnoteCharacters"/>
        </w:rPr>
        <w:footnoteRef/>
      </w:r>
      <w:r>
        <w:rPr>
          <w:rtl/>
          <w:lang w:bidi="he-IL"/>
        </w:rPr>
        <w:tab/>
        <w:t>לא צריך מה שרוב עדיף, שהיה מספיק אם הוא שווה. אבל, עדיף הוא, ולכן הזכיר כן. ודע שקצת מוזר איך יהיה עדיף תמיד, שהרי אם יש חמישים חמישים, חזקה עדיף, ואם יש רוב, רוב עדיף. צריך להיות מה שהוא בין שניהם. ותחשב. ויש לדון, שאם רוב אינו סטט’, או אם בכל רוב הותר החזקה, ולא נדחה, אפשר שאין זמן שהוא שווה. עדיין, אפשר שיש מקום שהוא שווה, אבל אינו כן כאן.</w:t>
      </w:r>
    </w:p>
  </w:footnote>
  <w:footnote w:id="20">
    <w:p w14:paraId="1CE25186" w14:textId="77777777" w:rsidR="003D64E0" w:rsidRDefault="00F44ABC">
      <w:pPr>
        <w:pStyle w:val="FootnoteText"/>
        <w:rPr>
          <w:lang w:bidi="he-IL"/>
        </w:rPr>
      </w:pPr>
      <w:r>
        <w:rPr>
          <w:rStyle w:val="FootnoteCharacters"/>
        </w:rPr>
        <w:footnoteRef/>
      </w:r>
      <w:r>
        <w:rPr>
          <w:rtl/>
          <w:lang w:bidi="he-IL"/>
        </w:rPr>
        <w:tab/>
        <w:t>יש לדון למה צריכים ספק שקול. יש לדון אם הבעיה הוא שיש רוב נגדו או שרוב עושה שמניחים כן בוודאי (יש לדון למה יעשה כן), ואז בוודאי אותו צד נדחה. ותחשב.</w:t>
      </w:r>
    </w:p>
  </w:footnote>
  <w:footnote w:id="21">
    <w:p w14:paraId="315E4843" w14:textId="77777777" w:rsidR="003D64E0" w:rsidRDefault="00F44ABC">
      <w:pPr>
        <w:pStyle w:val="FootnoteText"/>
      </w:pPr>
      <w:r>
        <w:rPr>
          <w:rStyle w:val="FootnoteCharacters"/>
        </w:rPr>
        <w:footnoteRef/>
      </w:r>
      <w:r>
        <w:rPr>
          <w:rtl/>
          <w:lang w:bidi="he-IL"/>
        </w:rPr>
        <w:tab/>
        <w:t>נמצא שצריכים שני ספיקות שקולים. מלשונו נ’ שהוא מפני שכיון שיש רוב, לא מחשבים באותו ספק עוד. ותחשב.</w:t>
      </w:r>
    </w:p>
  </w:footnote>
  <w:footnote w:id="22">
    <w:p w14:paraId="0907103B" w14:textId="77777777" w:rsidR="003D64E0" w:rsidRDefault="00F44ABC">
      <w:pPr>
        <w:pStyle w:val="FootnoteText"/>
        <w:rPr>
          <w:lang w:bidi="he-IL"/>
        </w:rPr>
      </w:pPr>
      <w:r>
        <w:rPr>
          <w:rStyle w:val="FootnoteCharacters"/>
        </w:rPr>
        <w:footnoteRef/>
      </w:r>
      <w:r>
        <w:rPr>
          <w:rtl/>
          <w:lang w:bidi="he-IL"/>
        </w:rPr>
        <w:tab/>
        <w:t xml:space="preserve">יש לדון למה רוב זה הוא מדרבנן. תחילה, צריך לע’ לעיל, שבארנו שני צדדים בביאור הרוב. נראה שלשני קל לומר שאין זה ממש רוב, אלא הוא כעין רוב, והוא יוצא מרוב, ואז יש לו דין רוב מדרבנן. לצד ראשון, יש לומר שיש דרכים שונים לחשב רוב, ודרך זה אינו דרך הטוב, אבל הוא דומה לרוב, עד שגזרו רבנן עליו. (אפשר שלא נותנים לה שם של "אשה בלי קול," כשדנים על רוב שלה, אלא שם של "אשה." אז, אין רוב. אבל, כיון שיש רוב בשם היותר מדוייק שלה, יש רוב דרבנן.) גם אפשר שרוב צריך ששים אחוז, או כדומה, וזה רק חמישים ואחד. גם אפשר שההנחה שאין לה קול אינה כל כך חזקה, שלא ראינו אינו ראיה, אבל מספיק לעשות שהוא רוב דרבנן. </w:t>
      </w:r>
    </w:p>
  </w:footnote>
  <w:footnote w:id="23">
    <w:p w14:paraId="6F064B66" w14:textId="77777777" w:rsidR="003D64E0" w:rsidRDefault="00F44ABC">
      <w:pPr>
        <w:pStyle w:val="FootnoteText"/>
        <w:rPr>
          <w:lang w:bidi="he-IL"/>
        </w:rPr>
      </w:pPr>
      <w:r>
        <w:rPr>
          <w:rStyle w:val="FootnoteCharacters"/>
        </w:rPr>
        <w:footnoteRef/>
      </w:r>
      <w:r>
        <w:rPr>
          <w:rtl/>
          <w:lang w:bidi="he-IL"/>
        </w:rPr>
        <w:tab/>
        <w:t>יש לדון למה עשו רבנן גזי’ זו. אפשר להיות שיש קצת רע, ורבנן החמירו על אותו קצת. גם אפשר שהוא כדי שלא ירננו בני אדם שיש דבר שהוא נגד כלל של רוב. גם אפשר שהוא כדי שלא יקילו בני אדם גם אם יש רוב ממש.</w:t>
      </w:r>
    </w:p>
  </w:footnote>
  <w:footnote w:id="24">
    <w:p w14:paraId="5F876916" w14:textId="77777777" w:rsidR="003D64E0" w:rsidRDefault="00F44ABC">
      <w:pPr>
        <w:pStyle w:val="FootnoteText"/>
        <w:rPr>
          <w:lang w:bidi="he-IL"/>
        </w:rPr>
      </w:pPr>
      <w:r>
        <w:rPr>
          <w:rStyle w:val="FootnoteCharacters"/>
        </w:rPr>
        <w:footnoteRef/>
      </w:r>
      <w:r>
        <w:rPr>
          <w:rtl/>
          <w:lang w:bidi="he-IL"/>
        </w:rPr>
        <w:tab/>
        <w:t>בביאור החילוק, יש לציין למה שכ’ לעיל למה החמירו. אם החמירו כיון שיש קצת רע, יש לומר שס"ס מתיר יותר מחזקה, ואז אין כל כך רע. אם נאמר כצד האחרון, קל לומר שאף אם יש רוב ממש, על כל פנים יהיה ספק. לצד האמצעי, קצת צריך ביאור. ותחשב. אולי צ"ל שנכון שיטעו כאן, אבל אין זה כל כך בעיה. אבל, בכעין חזקה, לא יטעו, שפשוט שרוב ידחה, ויהיו מבולבלים. ותחשב.</w:t>
      </w:r>
    </w:p>
    <w:p w14:paraId="68D75385" w14:textId="77777777" w:rsidR="003D64E0" w:rsidRDefault="00F44ABC">
      <w:pPr>
        <w:pStyle w:val="FootnoteText"/>
        <w:rPr>
          <w:lang w:bidi="he-IL"/>
        </w:rPr>
      </w:pPr>
      <w:r>
        <w:rPr>
          <w:rtl/>
          <w:lang w:bidi="he-IL"/>
        </w:rPr>
        <w:tab/>
        <w:t>יש להוסיף שכאן יש חזקה להתיר עם הס"ס. אז, אולי כוונת תוס’ הוא להתיר כשיש שניהם. אבל, לא משמע כן מלשונו. גם יש להעיר שאחד מן הספיקות הוא נגד חזקה.</w:t>
      </w:r>
    </w:p>
  </w:footnote>
  <w:footnote w:id="25">
    <w:p w14:paraId="27AC100D" w14:textId="77777777" w:rsidR="003D64E0" w:rsidRDefault="00F44ABC">
      <w:pPr>
        <w:pStyle w:val="FootnoteText"/>
        <w:rPr>
          <w:lang w:bidi="he-IL"/>
        </w:rPr>
      </w:pPr>
      <w:r>
        <w:rPr>
          <w:rStyle w:val="FootnoteCharacters"/>
        </w:rPr>
        <w:footnoteRef/>
      </w:r>
      <w:r>
        <w:rPr>
          <w:rtl/>
          <w:lang w:bidi="he-IL"/>
        </w:rPr>
        <w:tab/>
        <w:t>וא"ת ספק זה לא מתהפך, שנתחיל בספק אם נבעלה לפני נ’ או לאחר נ’; אם נבעלה לאחר נ’, צריך לומר שנבעלה. אפשר שלא צריכים ס"ס המתהפך, ואפשר שלא מגדירים את השאלה כן, אלא אם נאבדה בתולים שלה לפני נ’ או לאחר נ’, או אם נאבדה בתולים על ידי ביאה לפני נ’ או לא.</w:t>
      </w:r>
    </w:p>
    <w:p w14:paraId="0EF08A6F" w14:textId="77777777" w:rsidR="003D64E0" w:rsidRDefault="00F44ABC">
      <w:pPr>
        <w:pStyle w:val="FootnoteText"/>
        <w:rPr>
          <w:lang w:bidi="he-IL"/>
        </w:rPr>
      </w:pPr>
      <w:r>
        <w:rPr>
          <w:rtl/>
          <w:lang w:bidi="he-IL"/>
        </w:rPr>
        <w:tab/>
        <w:t>לכאו’, כל הצד שצ’ ס"ס המתהפך תלוי באיך מגדירים אותו. תמיד אפשר להגדיר אותו בשני יכולות. מסתבר יותר, אז, לפסול אותו אם תולים ספק ספיקא במחשבת בני אדם, שאז נאמר שתלוי איך הם יגדירו. ותחשב.</w:t>
      </w:r>
    </w:p>
  </w:footnote>
  <w:footnote w:id="26">
    <w:p w14:paraId="3CFB7148" w14:textId="77777777" w:rsidR="003D64E0" w:rsidRDefault="00F44ABC">
      <w:pPr>
        <w:pStyle w:val="FootnoteText"/>
        <w:rPr>
          <w:lang w:bidi="he-IL"/>
        </w:rPr>
      </w:pPr>
      <w:r>
        <w:rPr>
          <w:rStyle w:val="FootnoteCharacters"/>
        </w:rPr>
        <w:footnoteRef/>
      </w:r>
      <w:r>
        <w:rPr>
          <w:rtl/>
          <w:lang w:bidi="he-IL"/>
        </w:rPr>
        <w:tab/>
        <w:t>אפשר לדחות שרק רצה לומר שמצוי הוא, ואז אינו מקח טעות. אבל, עדיין אינו ספק שקול. אולי מסתבר לתוס’ שאין דבר כזה אפשר (שכן סובר בגדרים) או שסובר שלשון "כולהו" לא משמע כן.</w:t>
      </w:r>
    </w:p>
  </w:footnote>
  <w:footnote w:id="27">
    <w:p w14:paraId="1535B066" w14:textId="77777777" w:rsidR="003D64E0" w:rsidRDefault="00F44ABC">
      <w:pPr>
        <w:pStyle w:val="FootnoteText"/>
        <w:rPr>
          <w:lang w:bidi="he-IL"/>
        </w:rPr>
      </w:pPr>
      <w:r>
        <w:rPr>
          <w:rStyle w:val="FootnoteCharacters"/>
        </w:rPr>
        <w:footnoteRef/>
      </w:r>
      <w:r>
        <w:rPr>
          <w:rtl/>
          <w:lang w:bidi="he-IL"/>
        </w:rPr>
        <w:tab/>
        <w:t>וא"ת למה אין זה כרוב דרבנן שלעיל. וי"ל שמצרפים שניהם. לא משמע כן מדברי תוס’. יותר נראה לומר שכאן יש מין רוב ראשון, וכאן הוא רוב גמור. (כמו כן, יש לומר ששניהם הם מין רוב שני, וזה בדר"כ דרבנן, אלא שאינו רוב ממש לעיל.)</w:t>
      </w:r>
    </w:p>
  </w:footnote>
  <w:footnote w:id="28">
    <w:p w14:paraId="5E80BCA3" w14:textId="7C2FD8E2" w:rsidR="00C36FAD" w:rsidRDefault="00C36FAD">
      <w:pPr>
        <w:pStyle w:val="FootnoteText"/>
        <w:rPr>
          <w:rtl/>
          <w:lang w:bidi="he-IL"/>
        </w:rPr>
      </w:pPr>
      <w:r>
        <w:rPr>
          <w:rStyle w:val="FootnoteReference"/>
        </w:rPr>
        <w:footnoteRef/>
      </w:r>
      <w:r>
        <w:rPr>
          <w:rtl/>
          <w:lang w:bidi="he-IL"/>
        </w:rPr>
        <w:t xml:space="preserve"> </w:t>
      </w:r>
      <w:r>
        <w:rPr>
          <w:rtl/>
          <w:lang w:bidi="he-IL"/>
        </w:rPr>
        <w:tab/>
      </w:r>
      <w:r>
        <w:rPr>
          <w:rFonts w:hint="cs"/>
          <w:rtl/>
          <w:lang w:bidi="he-IL"/>
        </w:rPr>
        <w:t>יש הרבה תירוצים שיכולים לתת לקושיה זו:</w:t>
      </w:r>
    </w:p>
    <w:p w14:paraId="56AE10A8" w14:textId="047D15A2" w:rsidR="00844FBB" w:rsidRDefault="00C36FAD" w:rsidP="00BF1F59">
      <w:pPr>
        <w:pStyle w:val="FootnoteText"/>
        <w:numPr>
          <w:ilvl w:val="0"/>
          <w:numId w:val="8"/>
        </w:numPr>
        <w:rPr>
          <w:lang w:bidi="he-IL"/>
        </w:rPr>
      </w:pPr>
      <w:r>
        <w:rPr>
          <w:rFonts w:hint="cs"/>
          <w:rtl/>
          <w:lang w:bidi="he-IL"/>
        </w:rPr>
        <w:t>אפשר לחלק בין איסור אשת איש לשאר עריות. אולי רק באשת איש צריכים קינוי וסתירה. זה מאד קל לומר אם מחדש שחלק מן האוסר הוא הקינוי וסתירה. מה שקוסו"ב אוסר אשה לבעלה אינו סיבה לחשוב שאין קידושין אוסרים לקרובים, שפסוק אומר שאוסר לקרובים, וזהו.</w:t>
      </w:r>
      <w:r w:rsidR="000F58F4">
        <w:rPr>
          <w:rFonts w:hint="cs"/>
          <w:rtl/>
          <w:lang w:bidi="he-IL"/>
        </w:rPr>
        <w:t xml:space="preserve"> גם יש להוסיף שאם סובר גמ', באמת, בהו"א שעדים לא מהני, קשה איך נוכיח שום דבר חוץ מאיסורים ששייך בהם קינוי וסתירה. צריך לומר, אז, שזה רק נוהג באשת איש. ויש לדחות שתמיד יכול להיות עדים על הוכחה לזה, אף שאין עדים על קינוי וסתירה. ותחשב.</w:t>
      </w:r>
      <w:r w:rsidR="00844FBB">
        <w:rPr>
          <w:rFonts w:hint="cs"/>
          <w:rtl/>
          <w:lang w:bidi="he-IL"/>
        </w:rPr>
        <w:t xml:space="preserve"> (יש להעיר שאיסור סוטה הוא יותר קל מאיסור ערווה, שהוא רק לאו. אז, אולי סמתבר לחלק ביניהם באיזה הוכחה צריכים.)</w:t>
      </w:r>
    </w:p>
    <w:p w14:paraId="3EAA14F8" w14:textId="71FB96E3" w:rsidR="00844FBB" w:rsidRDefault="00BF1F59" w:rsidP="00C36FAD">
      <w:pPr>
        <w:pStyle w:val="FootnoteText"/>
        <w:numPr>
          <w:ilvl w:val="0"/>
          <w:numId w:val="8"/>
        </w:numPr>
      </w:pPr>
      <w:r>
        <w:rPr>
          <w:rFonts w:hint="cs"/>
          <w:rtl/>
          <w:lang w:bidi="he-IL"/>
        </w:rPr>
        <w:t xml:space="preserve">אולי קושיית גמ' הוא איך נאמין פתח פתוח, או איך נאמין פ"פ בצירוף שוי"א. אז, אין הקושיה שייך לזה. </w:t>
      </w:r>
    </w:p>
    <w:p w14:paraId="5BD88969" w14:textId="62A6A9C6" w:rsidR="00AA0364" w:rsidRDefault="00AA0364" w:rsidP="00C36FAD">
      <w:pPr>
        <w:pStyle w:val="FootnoteText"/>
        <w:numPr>
          <w:ilvl w:val="0"/>
          <w:numId w:val="8"/>
        </w:numPr>
      </w:pPr>
      <w:r>
        <w:rPr>
          <w:rFonts w:hint="cs"/>
          <w:rtl/>
          <w:lang w:bidi="he-IL"/>
        </w:rPr>
        <w:t>אולי סובר ששוי"א הוא דין דרבנן. אז, רק יהיה נאמן על וודאי, ולא יהיה נאמן על ספק, כמו ציור שלנו. ואם תאמר אז היה לו לומר שנאמן בקו"ס או על ידי שוי"א. ותחשב. ואם תאמר אם כן נוקים ר"א בוודאי. ויש לומר שמקשה על הגמ', שלא הוקים ר"א ככה.</w:t>
      </w:r>
      <w:r w:rsidR="00F92428">
        <w:rPr>
          <w:rFonts w:hint="cs"/>
          <w:rtl/>
          <w:lang w:bidi="he-IL"/>
        </w:rPr>
        <w:t xml:space="preserve"> גם יש לומר שציור כזה לא מצוי, והיה צריך לפרש אותו.</w:t>
      </w:r>
    </w:p>
    <w:p w14:paraId="10BC0E00" w14:textId="56D678A8" w:rsidR="00A5556D" w:rsidRDefault="00A5556D" w:rsidP="008548AA">
      <w:pPr>
        <w:pStyle w:val="FootnoteText"/>
        <w:ind w:left="360" w:firstLine="0"/>
      </w:pPr>
      <w:r>
        <w:rPr>
          <w:rFonts w:hint="cs"/>
          <w:rtl/>
          <w:lang w:bidi="he-IL"/>
        </w:rPr>
        <w:t>צריך לומר שתוס' לא מניח כאף אחד מהם. אז, נמצא שתוס' מניח שגמ' מקשה שצריך הוכחה כדי לאסור או כדי להוכיח איסור. אותו הוכחה נצרך בכל דבר ערווה, והוא שצריכים קינוי וסתירה (או דבר אחר כזה), ולא שוי"א. (כמובן, זה רק אפשר אם שוי"א אינו נדר.)</w:t>
      </w:r>
    </w:p>
  </w:footnote>
  <w:footnote w:id="29">
    <w:p w14:paraId="0C8F2939" w14:textId="433C3E6E" w:rsidR="005F0452" w:rsidRDefault="005F0452">
      <w:pPr>
        <w:pStyle w:val="FootnoteText"/>
      </w:pPr>
      <w:r>
        <w:rPr>
          <w:rStyle w:val="FootnoteReference"/>
        </w:rPr>
        <w:footnoteRef/>
      </w:r>
      <w:r>
        <w:rPr>
          <w:rtl/>
          <w:lang w:bidi="he-IL"/>
        </w:rPr>
        <w:t xml:space="preserve"> </w:t>
      </w:r>
      <w:r>
        <w:rPr>
          <w:rtl/>
          <w:lang w:bidi="he-IL"/>
        </w:rPr>
        <w:tab/>
      </w:r>
      <w:r>
        <w:rPr>
          <w:rFonts w:hint="cs"/>
          <w:rtl/>
          <w:lang w:bidi="he-IL"/>
        </w:rPr>
        <w:t xml:space="preserve">משמע שתוס' מחדש נקודה זו עכשיו. אז, מתחילה לא חשב שממעט דבר מהגרמת איסור, אלא מהגרמת נאמנות. </w:t>
      </w:r>
      <w:r w:rsidR="00431440">
        <w:rPr>
          <w:rFonts w:hint="cs"/>
          <w:rtl/>
          <w:lang w:bidi="he-IL"/>
        </w:rPr>
        <w:t>נראה שזה מפני שהתי' צריך נקודה זו (שאי לאו הכי, איזה חילוק יש בין טוען שנבעלה לטוען שהיו עדים שנבעלה), ובהו"א אין צורך להניח כן, ואז לא הניח אותו תוס'. ותו"ת.</w:t>
      </w:r>
    </w:p>
  </w:footnote>
  <w:footnote w:id="30">
    <w:p w14:paraId="075F80C9" w14:textId="49729B15" w:rsidR="00FD4528" w:rsidRDefault="00FD4528">
      <w:pPr>
        <w:pStyle w:val="FootnoteText"/>
      </w:pPr>
      <w:r>
        <w:rPr>
          <w:rStyle w:val="FootnoteReference"/>
        </w:rPr>
        <w:footnoteRef/>
      </w:r>
      <w:r>
        <w:rPr>
          <w:rtl/>
          <w:lang w:bidi="he-IL"/>
        </w:rPr>
        <w:t xml:space="preserve"> </w:t>
      </w:r>
      <w:r>
        <w:rPr>
          <w:rtl/>
          <w:lang w:bidi="he-IL"/>
        </w:rPr>
        <w:tab/>
      </w:r>
      <w:r>
        <w:rPr>
          <w:rFonts w:hint="cs"/>
          <w:rtl/>
          <w:lang w:bidi="he-IL"/>
        </w:rPr>
        <w:t>נמצא שתוס' סובר שאף בקושיית גמ' עדים מהני. נמצא שכשמקשה גמ', "ולטעמיך...," לא רצה לומר שמוכרח שעדים מהני, אלא רצה לומר שאין מילים אלו ממעטים עדים, ואז צריך לומר שאינם דווקא.</w:t>
      </w:r>
    </w:p>
  </w:footnote>
  <w:footnote w:id="31">
    <w:p w14:paraId="71ECBB3B" w14:textId="5B5EF15E" w:rsidR="00C10475" w:rsidRDefault="00C10475">
      <w:pPr>
        <w:pStyle w:val="FootnoteText"/>
      </w:pPr>
      <w:r>
        <w:rPr>
          <w:rStyle w:val="FootnoteReference"/>
        </w:rPr>
        <w:footnoteRef/>
      </w:r>
      <w:r>
        <w:rPr>
          <w:rtl/>
          <w:lang w:bidi="he-IL"/>
        </w:rPr>
        <w:t xml:space="preserve"> </w:t>
      </w:r>
      <w:r>
        <w:rPr>
          <w:rtl/>
          <w:lang w:bidi="he-IL"/>
        </w:rPr>
        <w:tab/>
      </w:r>
      <w:r>
        <w:rPr>
          <w:rFonts w:hint="cs"/>
          <w:rtl/>
          <w:lang w:bidi="he-IL"/>
        </w:rPr>
        <w:t>אז, סוף כל סוף, נמצא שלפי תוס', קושיית גמ' הוא שרבי אלעזר סובר שאם אין שם עדים או קינוי וסתירה, אין איסור. הרי, כאן לא היו שם עדים בביאה, אלא יש לנו רק הוכחה על ידי שוי"א.</w:t>
      </w:r>
    </w:p>
  </w:footnote>
  <w:footnote w:id="32">
    <w:p w14:paraId="3924BFF1" w14:textId="4E46DB82" w:rsidR="00EE016F" w:rsidRDefault="00F80E63" w:rsidP="00EE016F">
      <w:pPr>
        <w:pStyle w:val="FootnoteText"/>
        <w:rPr>
          <w:rtl/>
          <w:lang w:bidi="he-IL"/>
        </w:rPr>
      </w:pPr>
      <w:r>
        <w:rPr>
          <w:rStyle w:val="FootnoteReference"/>
        </w:rPr>
        <w:footnoteRef/>
      </w:r>
      <w:r>
        <w:rPr>
          <w:rtl/>
          <w:lang w:bidi="he-IL"/>
        </w:rPr>
        <w:t xml:space="preserve"> </w:t>
      </w:r>
      <w:r>
        <w:rPr>
          <w:rtl/>
          <w:lang w:bidi="he-IL"/>
        </w:rPr>
        <w:tab/>
      </w:r>
      <w:r>
        <w:rPr>
          <w:rFonts w:hint="cs"/>
          <w:rtl/>
          <w:lang w:bidi="he-IL"/>
        </w:rPr>
        <w:t>משמע שסובר ששוי"א הוא כעדים. ואם תאמר אם כן מה היה ההו"א כאן, שכאן שוי"א. אולי ה"לטעמיך" מחדש שמסברה פשוט שנאמן. לא נראה כן מתוס' לעיל, שנראה שכבר ידע גמ' הדינים שב"לטעמיך." אז, צריך לומר שגמ' חילק בין שוי"א של פ"פ לשוי"א של ראיה. אז, לכאו', זה סותר קושייתו בתוס' לעיל. היה קל לתרץ שבשמנה שוי"א, ואז יש עדים, מה שאין כן כאן, שיש שוי"א על פ"פ. נראה שצריך לומר שאין זה החילוק. אלא, נראה שהחילוק הוא בא רק בתי' של תוס'. אחרי שתוס' תי' שצריך זה לקיום הדבר, יכול להיות שאם יש מי שצריך להודות שם בשעת מעשה, ואז יש יכולת להודות (וצריך שלאחר זמן בפועל יודה, שאז רואים שהיה עומד לכך), מהני כעדים. אבל, בגמ' שלנו, לא היה הבעל שם בשעת ביאה, ולא היה שם אחד שהודה.</w:t>
      </w:r>
    </w:p>
    <w:p w14:paraId="0F5FE8CA" w14:textId="54D95864" w:rsidR="00240221" w:rsidRDefault="00240221" w:rsidP="00EE016F">
      <w:pPr>
        <w:pStyle w:val="FootnoteText"/>
      </w:pPr>
      <w:r>
        <w:rPr>
          <w:rtl/>
          <w:lang w:bidi="he-IL"/>
        </w:rPr>
        <w:tab/>
      </w:r>
      <w:r>
        <w:rPr>
          <w:rFonts w:hint="cs"/>
          <w:rtl/>
          <w:lang w:bidi="he-IL"/>
        </w:rPr>
        <w:t>גם היה אפשר לומר שלא בא למעט שוי"א על שני עדים. לא נראה כן, שמה שמסיים "... כיון דקים ליה" משמע שקאי על ציור שלנו שבו דן גמ' באם קים ליה.</w:t>
      </w:r>
    </w:p>
  </w:footnote>
  <w:footnote w:id="33">
    <w:p w14:paraId="085BDE60" w14:textId="51B4F483" w:rsidR="0079719B" w:rsidRDefault="0079719B">
      <w:pPr>
        <w:pStyle w:val="FootnoteText"/>
      </w:pPr>
      <w:r>
        <w:rPr>
          <w:rStyle w:val="FootnoteReference"/>
        </w:rPr>
        <w:footnoteRef/>
      </w:r>
      <w:r>
        <w:rPr>
          <w:rtl/>
          <w:lang w:bidi="he-IL"/>
        </w:rPr>
        <w:t xml:space="preserve"> </w:t>
      </w:r>
      <w:r>
        <w:rPr>
          <w:rtl/>
          <w:lang w:bidi="he-IL"/>
        </w:rPr>
        <w:tab/>
      </w:r>
      <w:r>
        <w:rPr>
          <w:rFonts w:hint="cs"/>
          <w:rtl/>
          <w:lang w:bidi="he-IL"/>
        </w:rPr>
        <w:t>נמצא, לכאו', שתוס' סובר שקא משמע לן של גמ' לעיל היה שקים ליה. יש לדחות את זה, שאפשר לומר שתוס' רק בא לפרש שהיה אפשר לומר "לטעמיך" אחר. אז, מה שאומר תוס' הוא שרק אם קים ליה, נוכל לומר שהוא כעדים, ואז יש "לטעמיך."</w:t>
      </w:r>
    </w:p>
  </w:footnote>
  <w:footnote w:id="34">
    <w:p w14:paraId="04CCEDC9" w14:textId="10D8AF10" w:rsidR="00021F34" w:rsidRDefault="00021F34">
      <w:pPr>
        <w:pStyle w:val="FootnoteText"/>
      </w:pPr>
      <w:r>
        <w:rPr>
          <w:rStyle w:val="FootnoteReference"/>
        </w:rPr>
        <w:footnoteRef/>
      </w:r>
      <w:r>
        <w:rPr>
          <w:rtl/>
          <w:lang w:bidi="he-IL"/>
        </w:rPr>
        <w:t xml:space="preserve"> </w:t>
      </w:r>
      <w:r>
        <w:rPr>
          <w:rtl/>
          <w:lang w:bidi="he-IL"/>
        </w:rPr>
        <w:tab/>
      </w:r>
      <w:r>
        <w:rPr>
          <w:rFonts w:hint="cs"/>
          <w:rtl/>
          <w:lang w:bidi="he-IL"/>
        </w:rPr>
        <w:t>לשון תוס' מעניין. אומר שידוע לרבים שהביאה לביתו, אבל לא ראו כמכחול בשפופרת. לכאו', יש שני דברים שמשנה</w:t>
      </w:r>
      <w:r w:rsidR="00076240">
        <w:rPr>
          <w:rFonts w:hint="cs"/>
          <w:rtl/>
          <w:lang w:bidi="he-IL"/>
        </w:rPr>
        <w:t>- רבים רק ידעו, ולא ראו; ורבים רק ידעו הבאה לבית, ולא ביאה. לא צריך שניהם, אלא רק אחד, וקצת מוזר שאמר את שניהם ובלל אותם ככה. אפשר לומר שהחילוק הוא רק הראשון, וצריכים לתת קומ"ה לתוך תוס', עד שאומר,</w:t>
      </w:r>
      <w:r w:rsidR="00076240">
        <w:rPr>
          <w:rFonts w:hint="cs"/>
          <w:lang w:bidi="he-IL"/>
        </w:rPr>
        <w:t xml:space="preserve"> </w:t>
      </w:r>
      <w:r w:rsidR="00076240">
        <w:rPr>
          <w:rFonts w:hint="cs"/>
          <w:rtl/>
          <w:lang w:bidi="he-IL"/>
        </w:rPr>
        <w:t>"רבים ידעו, שהביא אותה לבית, אבל לא ראו כמכחול בשפופרת." ותחשב על זה.</w:t>
      </w:r>
    </w:p>
  </w:footnote>
  <w:footnote w:id="35">
    <w:p w14:paraId="0031CB3B" w14:textId="0B58AC7A" w:rsidR="008D4E5F" w:rsidRDefault="008D4E5F">
      <w:pPr>
        <w:pStyle w:val="FootnoteText"/>
        <w:rPr>
          <w:rtl/>
          <w:lang w:bidi="he-IL"/>
        </w:rPr>
      </w:pPr>
      <w:r>
        <w:rPr>
          <w:rStyle w:val="FootnoteReference"/>
        </w:rPr>
        <w:footnoteRef/>
      </w:r>
      <w:r>
        <w:rPr>
          <w:rtl/>
          <w:lang w:bidi="he-IL"/>
        </w:rPr>
        <w:t xml:space="preserve"> </w:t>
      </w:r>
      <w:r>
        <w:rPr>
          <w:rtl/>
          <w:lang w:bidi="he-IL"/>
        </w:rPr>
        <w:tab/>
      </w:r>
      <w:r>
        <w:rPr>
          <w:rFonts w:hint="cs"/>
          <w:rtl/>
          <w:lang w:bidi="he-IL"/>
        </w:rPr>
        <w:t>יש לדון איך יבאר רש"י:</w:t>
      </w:r>
    </w:p>
    <w:p w14:paraId="63DD685C" w14:textId="1E53BCC6" w:rsidR="008D4E5F" w:rsidRDefault="008D4E5F" w:rsidP="008D4E5F">
      <w:pPr>
        <w:pStyle w:val="FootnoteText"/>
        <w:numPr>
          <w:ilvl w:val="0"/>
          <w:numId w:val="9"/>
        </w:numPr>
      </w:pPr>
      <w:r>
        <w:rPr>
          <w:rFonts w:hint="cs"/>
          <w:rtl/>
          <w:lang w:bidi="he-IL"/>
        </w:rPr>
        <w:t>לא ראו- אולי רש"י סובר שלא ראו, ועדיין יש איסור:</w:t>
      </w:r>
    </w:p>
    <w:p w14:paraId="0D7DB1A1" w14:textId="5132777C" w:rsidR="008D4E5F" w:rsidRDefault="008D4E5F" w:rsidP="008D4E5F">
      <w:pPr>
        <w:pStyle w:val="FootnoteText"/>
        <w:numPr>
          <w:ilvl w:val="1"/>
          <w:numId w:val="9"/>
        </w:numPr>
      </w:pPr>
      <w:r>
        <w:rPr>
          <w:rFonts w:hint="cs"/>
          <w:rtl/>
          <w:lang w:bidi="he-IL"/>
        </w:rPr>
        <w:t>אולי סובר שלא צריכים לראות כמכחול בשפופרת, אלא כדרך המנאפים. זה מחלקת אמוראים. יש לדון אם מסתבר שאף זה ראו; אפשר לומר שלא מסתבר, ותוס' רק מקשה משיטה שצריכים לראות כמכחול בשפופרת לרווחא דמילתא.</w:t>
      </w:r>
    </w:p>
    <w:p w14:paraId="00FF559A" w14:textId="47D108AB" w:rsidR="008D4E5F" w:rsidRDefault="008D4E5F" w:rsidP="008D4E5F">
      <w:pPr>
        <w:pStyle w:val="FootnoteText"/>
        <w:numPr>
          <w:ilvl w:val="1"/>
          <w:numId w:val="9"/>
        </w:numPr>
      </w:pPr>
      <w:r>
        <w:rPr>
          <w:rFonts w:hint="cs"/>
          <w:rtl/>
          <w:lang w:bidi="he-IL"/>
        </w:rPr>
        <w:t>אולי סובר שידיעה שהיה ביאה מספיק. אפשר שזה מפני שיש ידיעה על ביאה, ואפשר שזה מפני שיש עדות על ההוכחה, ואז ידעו בית דין על ההוכחה, ואז ידעו אל הביאה, שיש הוכחה לו.</w:t>
      </w:r>
    </w:p>
    <w:p w14:paraId="39466662" w14:textId="76426412" w:rsidR="00F07FA9" w:rsidRDefault="00F07FA9" w:rsidP="00F07FA9">
      <w:pPr>
        <w:pStyle w:val="FootnoteText"/>
        <w:numPr>
          <w:ilvl w:val="0"/>
          <w:numId w:val="9"/>
        </w:numPr>
      </w:pPr>
      <w:r>
        <w:rPr>
          <w:rFonts w:hint="cs"/>
          <w:rtl/>
          <w:lang w:bidi="he-IL"/>
        </w:rPr>
        <w:t>ראו- יש להעיר שיש על זה שני קושיות. הקושיה הראשונה הוא איך אפשר שראו, שהרי דוד מסתמא בעל בלי אחרים שרואים. יש לציין לגמ' סוטה שמשמע שדוד בא על אשתו הרבה פעמים לפני פלגש שלו. גם אפשר שהיו שם שומרים תמיד. קושיה השנית הוא מהיכי תיתי שהיו עדים. אולי צריך לורמר כצד שני. דחוק.</w:t>
      </w:r>
    </w:p>
    <w:p w14:paraId="6C05F74E" w14:textId="7120BB05" w:rsidR="003B3353" w:rsidRDefault="003B3353" w:rsidP="00B03829">
      <w:pPr>
        <w:pStyle w:val="FootnoteText"/>
        <w:ind w:left="360" w:firstLine="0"/>
      </w:pPr>
      <w:r>
        <w:rPr>
          <w:rFonts w:hint="cs"/>
          <w:rtl/>
          <w:lang w:bidi="he-IL"/>
        </w:rPr>
        <w:t>יש להעיר שאפשר לומר לפי רש"י שמקשים שתצא על "לא טובה השמועה." צריך לעיין בגמ' יבמות בגדרים לדין זה.</w:t>
      </w:r>
      <w:r w:rsidR="0097115D">
        <w:rPr>
          <w:rFonts w:hint="cs"/>
          <w:rtl/>
          <w:lang w:bidi="he-IL"/>
        </w:rPr>
        <w:t xml:space="preserve"> גם יש להעיר שדין זה, לכאו', הוא מדרבנן. א"ז לא כל כך פשוט שכבר תקנו אותו אז.</w:t>
      </w:r>
    </w:p>
  </w:footnote>
  <w:footnote w:id="36">
    <w:p w14:paraId="58EE0ECE" w14:textId="2FA5FC11" w:rsidR="00316FAD" w:rsidRDefault="00316FAD">
      <w:pPr>
        <w:pStyle w:val="FootnoteText"/>
      </w:pPr>
      <w:r>
        <w:rPr>
          <w:rStyle w:val="FootnoteReference"/>
        </w:rPr>
        <w:footnoteRef/>
      </w:r>
      <w:r>
        <w:rPr>
          <w:rtl/>
          <w:lang w:bidi="he-IL"/>
        </w:rPr>
        <w:t xml:space="preserve"> </w:t>
      </w:r>
      <w:r>
        <w:rPr>
          <w:rtl/>
          <w:lang w:bidi="he-IL"/>
        </w:rPr>
        <w:tab/>
      </w:r>
      <w:r>
        <w:rPr>
          <w:rFonts w:hint="cs"/>
          <w:rtl/>
          <w:lang w:bidi="he-IL"/>
        </w:rPr>
        <w:t>מתוס' קצת משמע שיש שתי נקודות.</w:t>
      </w:r>
      <w:r w:rsidR="0033432A">
        <w:rPr>
          <w:rFonts w:hint="cs"/>
          <w:rtl/>
          <w:lang w:bidi="he-IL"/>
        </w:rPr>
        <w:t xml:space="preserve"> נקודה הראשונה הוא שהיה דוד צדיק. נקודה השנית הוא ששב מאותו עבירה. (לכאו', ידועים ששב ממה שאמר בתהילים ומק"א לה'.) לא מסתבר ששב ו</w:t>
      </w:r>
      <w:r w:rsidR="000A70E9">
        <w:rPr>
          <w:rFonts w:hint="cs"/>
          <w:rtl/>
          <w:lang w:bidi="he-IL"/>
        </w:rPr>
        <w:t xml:space="preserve">עדיין </w:t>
      </w:r>
      <w:r w:rsidR="0033432A">
        <w:rPr>
          <w:rFonts w:hint="cs"/>
          <w:rtl/>
          <w:lang w:bidi="he-IL"/>
        </w:rPr>
        <w:t>נשא אותה.</w:t>
      </w:r>
      <w:r w:rsidR="00624E37">
        <w:rPr>
          <w:rFonts w:hint="cs"/>
          <w:rtl/>
          <w:lang w:bidi="he-IL"/>
        </w:rPr>
        <w:t xml:space="preserve"> (יש להעיר שאין זה כל כך טוב בלשון שלו; עיין שם שמשמע שאומר שני דברים נפרדים. ותחשב.)</w:t>
      </w:r>
    </w:p>
  </w:footnote>
  <w:footnote w:id="37">
    <w:p w14:paraId="300EC863" w14:textId="77777777" w:rsidR="000F3B44" w:rsidRDefault="0039709A">
      <w:pPr>
        <w:pStyle w:val="FootnoteText"/>
        <w:rPr>
          <w:rtl/>
          <w:lang w:bidi="he-IL"/>
        </w:rPr>
      </w:pPr>
      <w:r>
        <w:rPr>
          <w:rStyle w:val="FootnoteReference"/>
        </w:rPr>
        <w:footnoteRef/>
      </w:r>
      <w:r>
        <w:rPr>
          <w:rtl/>
          <w:lang w:bidi="he-IL"/>
        </w:rPr>
        <w:t xml:space="preserve"> </w:t>
      </w:r>
      <w:r>
        <w:rPr>
          <w:rtl/>
          <w:lang w:bidi="he-IL"/>
        </w:rPr>
        <w:tab/>
      </w:r>
      <w:r>
        <w:rPr>
          <w:rFonts w:hint="cs"/>
          <w:rtl/>
          <w:lang w:bidi="he-IL"/>
        </w:rPr>
        <w:t xml:space="preserve">עיין שם. אותו גמ' שונה מחלקת אם נחשב אשת איש בוודאי עד שעה אחת קודם מיתה או לאו (כנראה, תוס' מניח שמש"א גמ' צריך להיות לכולי עלמא; יש ראשונים שלא סוברים כן; קצת צריך ביאור למה צריך להיות לכו"ע, כיון שכבר יש שני צדדים בגמ' זה, ואז נמצא שיש בו חולק; אולי עדיין היה לו לגמ' לבאר שאין זה ככל תנא). שם, מק' שלמי שסובר שאש"א בוודאי היא, נמצא שגט חל רק לאחר מיתה, והרי אין גט חל אז. תי' שהוא באומר מעת שאני בעולם. </w:t>
      </w:r>
    </w:p>
    <w:p w14:paraId="44AFD4B0" w14:textId="6B69F506" w:rsidR="0039709A" w:rsidRDefault="0039709A" w:rsidP="000F3B44">
      <w:pPr>
        <w:pStyle w:val="FootnoteText"/>
        <w:ind w:firstLine="0"/>
        <w:rPr>
          <w:rtl/>
          <w:lang w:bidi="he-IL"/>
        </w:rPr>
      </w:pPr>
      <w:r>
        <w:rPr>
          <w:rFonts w:hint="cs"/>
          <w:rtl/>
          <w:lang w:bidi="he-IL"/>
        </w:rPr>
        <w:t>רש"י פי' שמשנה את הציור (אולי בהו"א סבר שקאי על "מהיום," ועכשיו משנה הדין שם להיות שבוודאי חל מעכשיו או אולי סבר שהיה אם רק אמר "אם מתי," ועכשיו משנה ששם בוודאי לא חל או שחל מיד)</w:t>
      </w:r>
      <w:r w:rsidR="002D724F">
        <w:rPr>
          <w:rFonts w:hint="cs"/>
          <w:rtl/>
          <w:lang w:bidi="he-IL"/>
        </w:rPr>
        <w:t>, להיות ציור שאמר, "מעת שאני בעולם."</w:t>
      </w:r>
      <w:r w:rsidR="00C21391">
        <w:rPr>
          <w:rFonts w:hint="cs"/>
          <w:rtl/>
          <w:lang w:bidi="he-IL"/>
        </w:rPr>
        <w:t xml:space="preserve"> איני מבין כל כך למה לא יחול מיד. הרי, עכשיו הוא בעולם, ואז נתקיים התנאי ויחול. אולי מבינים שכוונתו הוא לגרש לאחר מיתתו, אלא שאי אפשר לעשות כן, ואז רוצה לגרש אותה קצת לפני כן. אולי לומדים כן ממה שרוב בני אדם שרוצים לגרש רק רוצים כן מחמת ייבום, ואולי לומד כן ממה שלא רק מגרש אותה עכשיו</w:t>
      </w:r>
      <w:r w:rsidR="00A33703">
        <w:rPr>
          <w:rFonts w:hint="cs"/>
          <w:rtl/>
          <w:lang w:bidi="he-IL"/>
        </w:rPr>
        <w:t>, בלי שום תנאי.</w:t>
      </w:r>
      <w:r w:rsidR="000F3B44">
        <w:rPr>
          <w:rFonts w:hint="cs"/>
          <w:rtl/>
          <w:lang w:bidi="he-IL"/>
        </w:rPr>
        <w:t xml:space="preserve"> אז, תנאי של גמ' שלנו, שאומר בו "מעכשיו" יחול מיד. נמצא שלפי רש"י אין קושיית תוס' קשה.</w:t>
      </w:r>
    </w:p>
    <w:p w14:paraId="5AE9E6A2" w14:textId="6367CE19" w:rsidR="000F3B44" w:rsidRDefault="000F3B44" w:rsidP="000F3B44">
      <w:pPr>
        <w:pStyle w:val="FootnoteText"/>
        <w:ind w:firstLine="0"/>
      </w:pPr>
      <w:r>
        <w:rPr>
          <w:rFonts w:hint="cs"/>
          <w:rtl/>
          <w:lang w:bidi="he-IL"/>
        </w:rPr>
        <w:t>אבל, תוס' לא פי' כן באותו גמ'. גורס, "כאומר...," ולא "באומר," ואז לא פי' שמשנים את הציור. אלא מת' גמ' שמה שקורה הוא שנעשה כאומר "מעת שאני בעולם." (אולי מבאר איך יכול להיות שחל מיד לפני מיתה, הואו שחל שעה אחת קודם מיתה (לא נראה שזה מה שמחדש, שנראה שזה פשוט), ואולי מבאר למה יחול אז, שמבאר שמשמעות שלו הוא כאותו משמעות (זה לא כל כך נראה,  שאין אני רואה את המשמעות כל כך. ע' לקמן, שבע"ה נדון בזה קצת, אבל צריך ביאור).</w:t>
      </w:r>
      <w:r w:rsidR="00D50BD6">
        <w:rPr>
          <w:rFonts w:hint="cs"/>
          <w:rtl/>
          <w:lang w:bidi="he-IL"/>
        </w:rPr>
        <w:t xml:space="preserve"> לא פשוט מהו משמעות של "מעת שאני בעולם." לכאו', יחול מיד, כמו שכתבנו לעיל. צריך לומר כמו שבארנו לעיל. אז, לבאר כן גם ב"מעכשיו," נראה שנצטרך לומר אותו הוכחה שכתבנו לעיל. אבל, קשה, שלא יאמר אותו בלי תנאי, שצריך דבר לעשות שיחול מיד. אף לעיל, צריך כן, ורק יש הוכחה ממה שלא אמר יותר פשוט שיחול עכשיו. אבל, כאן אמר שיחול עכשיו. אולי היה לו לומר "עכשיו" ולא "היום." חוץ ממשמעות זה, צריכים לפרש גם איך משמע כן. במילים אחרים, לא רק נצטרך לפרש למה חושבים שלא רצה לומר כפשוטו, נצטרך לפרש איך מפרשים את המילים להיות אומרים כן. אפשר לומר ש</w:t>
      </w:r>
      <w:r w:rsidR="005857F7">
        <w:rPr>
          <w:rFonts w:hint="cs"/>
          <w:rtl/>
          <w:lang w:bidi="he-IL"/>
        </w:rPr>
        <w:t>לא צריך להיות שאומרים כן, ואולי נעשה נגד מילים שלו אם לשונו משמע כן. דחוק. גם אפשר לומר ש"היום" משמע "זמן הדומה להיום," במה שהוא עוד בחיים. דחוק. מתוס' לקמן משמע ש"היום" משמע "אותו יום [שבו מת]." ותחשב.</w:t>
      </w:r>
    </w:p>
  </w:footnote>
  <w:footnote w:id="38">
    <w:p w14:paraId="4877066B" w14:textId="5905222E" w:rsidR="00CD4188" w:rsidRDefault="00CD4188">
      <w:pPr>
        <w:pStyle w:val="FootnoteText"/>
      </w:pPr>
      <w:r>
        <w:rPr>
          <w:rStyle w:val="FootnoteReference"/>
        </w:rPr>
        <w:footnoteRef/>
      </w:r>
      <w:r>
        <w:rPr>
          <w:rtl/>
          <w:lang w:bidi="he-IL"/>
        </w:rPr>
        <w:t xml:space="preserve"> </w:t>
      </w:r>
      <w:r>
        <w:rPr>
          <w:rtl/>
          <w:lang w:bidi="he-IL"/>
        </w:rPr>
        <w:tab/>
      </w:r>
      <w:r>
        <w:rPr>
          <w:rFonts w:hint="cs"/>
          <w:rtl/>
          <w:lang w:bidi="he-IL"/>
        </w:rPr>
        <w:t>אולי רצה לומר שכיון שלא מזכיר בו מיתה, לא נלמוד שמתנה מחמת מיתה, ואז לא נאמר שרק חל שעה אחת קודם מיתה. יותר מזה, לפעמים מסתבר מאד שלא מתנה מחמת מיתה, כמו אם לא חוזר מחמת שבי, שרוצה להיות מתגרשת ממנו קודם לכן.</w:t>
      </w:r>
      <w:r w:rsidR="007E2260">
        <w:rPr>
          <w:rFonts w:hint="cs"/>
          <w:rtl/>
          <w:lang w:bidi="he-IL"/>
        </w:rPr>
        <w:t xml:space="preserve"> אז, כיון שלפעמים באותו תנאי רוצה שיחול עכשיו, ולא לפני כן, מסתבר להניח כן על כל התנאי.</w:t>
      </w:r>
      <w:r w:rsidR="005E2147">
        <w:rPr>
          <w:rFonts w:hint="cs"/>
          <w:rtl/>
          <w:lang w:bidi="he-IL"/>
        </w:rPr>
        <w:t xml:space="preserve"> (ואם תאמר אולי רוצה שיהיה שעה אחת קודם ששאר בני אדם חוזרים והוא לא חוזר. ותחשב על זה. </w:t>
      </w:r>
    </w:p>
  </w:footnote>
  <w:footnote w:id="39">
    <w:p w14:paraId="6DC8DDB3" w14:textId="4DE710FD" w:rsidR="005E2147" w:rsidRDefault="005E2147">
      <w:pPr>
        <w:pStyle w:val="FootnoteText"/>
      </w:pPr>
      <w:r>
        <w:rPr>
          <w:rStyle w:val="FootnoteReference"/>
        </w:rPr>
        <w:footnoteRef/>
      </w:r>
      <w:r>
        <w:rPr>
          <w:rtl/>
          <w:lang w:bidi="he-IL"/>
        </w:rPr>
        <w:t xml:space="preserve"> </w:t>
      </w:r>
      <w:r>
        <w:rPr>
          <w:rtl/>
          <w:lang w:bidi="he-IL"/>
        </w:rPr>
        <w:tab/>
      </w:r>
      <w:r>
        <w:rPr>
          <w:rFonts w:hint="cs"/>
          <w:rtl/>
          <w:lang w:bidi="he-IL"/>
        </w:rPr>
        <w:t>ועוד, שפה מדברים על אוריה, ויודעים מה קרה לאוריה- אוריה מת.</w:t>
      </w:r>
      <w:r w:rsidR="002B35E9">
        <w:rPr>
          <w:rFonts w:hint="cs"/>
          <w:rtl/>
          <w:lang w:bidi="he-IL"/>
        </w:rPr>
        <w:t xml:space="preserve"> צריך ביאור למה תוס' לא מפרש כן.</w:t>
      </w:r>
      <w:r w:rsidR="00121EF1">
        <w:rPr>
          <w:rFonts w:hint="cs"/>
          <w:rtl/>
          <w:lang w:bidi="he-IL"/>
        </w:rPr>
        <w:t xml:space="preserve"> נראה שכיון שרש"י מבאר מה היו מתנים (וכמובן, אוריה לא ידע שימות), לא רצה לומר כן. דחוק, שזה החלק מן התנאי שנוגע לנו, ולכן הזכיר אותו רש"י. ותחשב על זה.</w:t>
      </w:r>
    </w:p>
  </w:footnote>
  <w:footnote w:id="40">
    <w:p w14:paraId="1B2559C4" w14:textId="498D0064" w:rsidR="00D25EE4" w:rsidRDefault="00D25EE4">
      <w:pPr>
        <w:pStyle w:val="FootnoteText"/>
      </w:pPr>
      <w:r>
        <w:rPr>
          <w:rStyle w:val="FootnoteReference"/>
        </w:rPr>
        <w:footnoteRef/>
      </w:r>
      <w:r>
        <w:rPr>
          <w:rtl/>
          <w:lang w:bidi="he-IL"/>
        </w:rPr>
        <w:t xml:space="preserve"> </w:t>
      </w:r>
      <w:r>
        <w:rPr>
          <w:rtl/>
          <w:lang w:bidi="he-IL"/>
        </w:rPr>
        <w:tab/>
      </w:r>
      <w:r>
        <w:rPr>
          <w:rFonts w:hint="cs"/>
          <w:rtl/>
          <w:lang w:bidi="he-IL"/>
        </w:rPr>
        <w:t xml:space="preserve">ואם תאמר הרי אוריה לא חזר; דוד אמר לו שיחזור לביתו, אבל לא חזר. אולי חזר לביתו, אבל רק לא בא על אשתו. עיין בלשונות הפסוקים, שלא משמע כן. אפשר לומר שמקשה איך דוד אמר לו לחזור, שיעשה את ביאתו לביאת אשת איש, ויאסר את בת שבע (שחזא ברוח הקודש שהיתה ראויה לו) עליו. </w:t>
      </w:r>
      <w:r w:rsidR="007161F6">
        <w:rPr>
          <w:rFonts w:hint="cs"/>
          <w:rtl/>
          <w:lang w:bidi="he-IL"/>
        </w:rPr>
        <w:t xml:space="preserve">(יש לדון בזה, שיש לומר שדוד גופא אמר לו לחזור רק מפני שסבר שזה יגרום לו למרוד בו. וצריך לע', שלא פשוט מהו המרידה. אם המרידה היתה שלא הלך לביתו, אז קל לומר כן. </w:t>
      </w:r>
      <w:r w:rsidR="006C4DEA">
        <w:rPr>
          <w:rFonts w:hint="cs"/>
          <w:rtl/>
          <w:lang w:bidi="he-IL"/>
        </w:rPr>
        <w:t>אף בלי זה, נוכל לומר שהמרידה היתה מפני זה; כיון שאמר לו דוד לשוב לביתו, התחיל לרגוז עליו קצת, ולכן מרד בו.</w:t>
      </w:r>
      <w:r w:rsidR="00BF74F4">
        <w:rPr>
          <w:rFonts w:hint="cs"/>
          <w:rtl/>
          <w:lang w:bidi="he-IL"/>
        </w:rPr>
        <w:t xml:space="preserve"> לא משמע כן כל כך, כיון שחזר אליו עוד ועוד לומר לו שישכב בביתו. יש לדון, שאולי אחרי פעם ראשונה כבר נחשב שהיה מורד, וכבר היה יכול להרוג אותו. רצה להרוויח גם כן שלא ידעו בני אדם שנתעברה מדוד.</w:t>
      </w:r>
      <w:r w:rsidR="006C4DEA">
        <w:rPr>
          <w:rFonts w:hint="cs"/>
          <w:rtl/>
          <w:lang w:bidi="he-IL"/>
        </w:rPr>
        <w:t xml:space="preserve">) </w:t>
      </w:r>
      <w:r>
        <w:rPr>
          <w:rFonts w:hint="cs"/>
          <w:rtl/>
          <w:lang w:bidi="he-IL"/>
        </w:rPr>
        <w:t>גם אפשר שלא צריך דווקא שיחזור לביתו, אלא מספיק מה שחזור לעיר שלו, או מה שיוצא מן המלחמה לקמום בטוח. כמובן, יהיה נפקא מינא גדולה- מה קורה אם אחרי המלחמה היה רץ לחברון, והיה בטוח שם, וגר שם. ותחשב. (אולי גם היו מתנים על ציור שהוא בטוח אבל אי אפשר לו לחזור, כמו, בציור שלנו, אםן יש אויבים בין ירושלים (ששם גר אוריה) לחברון.</w:t>
      </w:r>
    </w:p>
  </w:footnote>
  <w:footnote w:id="41">
    <w:p w14:paraId="6E09EEAA" w14:textId="56827BA6" w:rsidR="00D25EE4" w:rsidRDefault="00D25EE4">
      <w:pPr>
        <w:pStyle w:val="FootnoteText"/>
      </w:pPr>
      <w:r>
        <w:rPr>
          <w:rStyle w:val="FootnoteReference"/>
        </w:rPr>
        <w:footnoteRef/>
      </w:r>
      <w:r>
        <w:rPr>
          <w:rtl/>
          <w:lang w:bidi="he-IL"/>
        </w:rPr>
        <w:t xml:space="preserve"> </w:t>
      </w:r>
      <w:r>
        <w:rPr>
          <w:rtl/>
          <w:lang w:bidi="he-IL"/>
        </w:rPr>
        <w:tab/>
      </w:r>
      <w:r>
        <w:rPr>
          <w:rFonts w:hint="cs"/>
          <w:rtl/>
          <w:lang w:bidi="he-IL"/>
        </w:rPr>
        <w:t>גם יש לומר שמתנה שיחזור ויישאר שם. ויש לדון, שאולי כוונת תוס', שאולי "סוף" אינו סוף מלחמה לכ"ע, אלא סוף מלחמה לו. ודע שצריך להגדיר קצת, שלפעמים היו תמיד רבים, כמו בין מלכות יהודה ומלכות ישראל. אז, יש לדון אם נאמר שתמיד לא נגמר המלחמה.</w:t>
      </w:r>
    </w:p>
  </w:footnote>
  <w:footnote w:id="42">
    <w:p w14:paraId="0D30FF8C" w14:textId="5F2B730E" w:rsidR="002B5C5C" w:rsidRDefault="00AE019C" w:rsidP="007161F6">
      <w:pPr>
        <w:pStyle w:val="FootnoteText"/>
        <w:rPr>
          <w:rtl/>
          <w:lang w:bidi="he-IL"/>
        </w:rPr>
      </w:pPr>
      <w:r>
        <w:rPr>
          <w:rStyle w:val="FootnoteReference"/>
        </w:rPr>
        <w:footnoteRef/>
      </w:r>
      <w:r>
        <w:rPr>
          <w:rtl/>
          <w:lang w:bidi="he-IL"/>
        </w:rPr>
        <w:t xml:space="preserve"> </w:t>
      </w:r>
      <w:r>
        <w:rPr>
          <w:rtl/>
          <w:lang w:bidi="he-IL"/>
        </w:rPr>
        <w:tab/>
      </w:r>
      <w:r>
        <w:rPr>
          <w:rFonts w:hint="cs"/>
          <w:rtl/>
          <w:lang w:bidi="he-IL"/>
        </w:rPr>
        <w:t>יש להעיר שקצת יש לחלק, שיש לומר ששאני הכא כיון שהוא ביד דוד להמית אותו כמו שעשה לבסוף. ויש לדון, שאולי רק היה עושה כן (או רק היה יואב שומע לו, שהרי אסור לשמוע למלך נגד הלכה) כיון שהיה כבר חייב מיתה</w:t>
      </w:r>
      <w:r w:rsidR="00A50ED5">
        <w:rPr>
          <w:rFonts w:hint="cs"/>
          <w:rtl/>
          <w:lang w:bidi="he-IL"/>
        </w:rPr>
        <w:t xml:space="preserve"> (צריך לע' בגמ' בקידושין (מג), שמשמע שצריך כן להתיר אותו; לכאו', יהיה דומה לנותן אותו קרוב לים)</w:t>
      </w:r>
      <w:r>
        <w:rPr>
          <w:rFonts w:hint="cs"/>
          <w:rtl/>
          <w:lang w:bidi="he-IL"/>
        </w:rPr>
        <w:t>, כיון שמרד במלכות.</w:t>
      </w:r>
      <w:r w:rsidR="004470B4">
        <w:rPr>
          <w:rFonts w:hint="cs"/>
          <w:rtl/>
          <w:lang w:bidi="he-IL"/>
        </w:rPr>
        <w:t xml:space="preserve"> (אגב, צריך ביאור למה היה אסור לתת אוריה לשם כלל. לכאו', הייתי אומר שצריך שיהיה אדם שם, שכן צריכיםם כדי לנצח. אם אוריה לא יהיה שם, אחר יהיה שם, והאחר ימות. אז, קשה למה הוא יותר גרוע שאוריה יהיה שם וימות. אולי לא היה אחר צריך להיות שם, והיה אפשר שלא לקרב לשם. דחוק. </w:t>
      </w:r>
      <w:r w:rsidR="00CB7EF1">
        <w:rPr>
          <w:rFonts w:hint="cs"/>
          <w:rtl/>
          <w:lang w:bidi="he-IL"/>
        </w:rPr>
        <w:t>צריך לעיין בקרא, שמצד אחד אומר שיחזרו מאחריו וימות, שאולי משמע שישארו שם יותר ממה שצריכים. אבל, כשמת אומר שעבדי דוד שהיו שם מתו. משמע שהיו אחרים הולכים שם עמו. אולי הביא את כולם כדי להמית את אוריה. אבל, אז נמצא שהמית אף מי שלא נתחייב מיתה. לא מסתבר שי</w:t>
      </w:r>
      <w:r w:rsidR="00D617B0">
        <w:rPr>
          <w:rFonts w:hint="cs"/>
          <w:rtl/>
          <w:lang w:bidi="he-IL"/>
        </w:rPr>
        <w:t>היה מ</w:t>
      </w:r>
      <w:r w:rsidR="00CB7EF1">
        <w:rPr>
          <w:rFonts w:hint="cs"/>
          <w:rtl/>
          <w:lang w:bidi="he-IL"/>
        </w:rPr>
        <w:t xml:space="preserve">ותר כדי להמית את מי שנתחייב מיתה, שיש דרכים יותר קלים להמית אותו (כמו לחתוך את ראשו בלילה). אז, יותר משמע שהיו חיילים הולכים לשם, ורק בחר שאוריה יהיה אחד מהם. ותחשב. </w:t>
      </w:r>
      <w:r w:rsidR="004470B4">
        <w:rPr>
          <w:rFonts w:hint="cs"/>
          <w:rtl/>
          <w:lang w:bidi="he-IL"/>
        </w:rPr>
        <w:t>המשמעות אומר שיש חילוק בין אם אחד מת כיון שצריך שאחד ימות או שמת אחד פרטי שרוצה לשלוח לשם. צריך ביאור למה זה יהיה.</w:t>
      </w:r>
      <w:r w:rsidR="002059BD">
        <w:rPr>
          <w:rFonts w:hint="cs"/>
          <w:rtl/>
          <w:lang w:bidi="he-IL"/>
        </w:rPr>
        <w:t xml:space="preserve"> אולי הוא כעין "מאי חזית...," שהיה דבר שהיה נראה ליואב (צריך ביאור למה זה בדווקא היה נראה לו), ושינה אותו כדי להרוג את אוריה. אז, נמצא שבחר במיתת אוריה במקום אחרים, וזה רע, ש"מאי חזית." אם באמת חייב מיתה, אלא שהיה לדוד למחול או כדומה, לכאו' חזית וחזית שדם חברו יותר חשוב מדם שלו. ותחשב.</w:t>
      </w:r>
      <w:r w:rsidR="004D3A34">
        <w:rPr>
          <w:rFonts w:hint="cs"/>
          <w:rtl/>
          <w:lang w:bidi="he-IL"/>
        </w:rPr>
        <w:t xml:space="preserve"> יותר מזה, אין זה קו"ע נגד שוא"ת. יש לדון, שאולי כבר בחר את האנשים, וכיון שלהגיד להם ולשלוח אותם רק ימשיך מה שכוון לעשות, נחשב קצת שוא"ת. דחוק מאד, שאף השארת בגד עליו נחשב, לדברים, קו</w:t>
      </w:r>
      <w:r w:rsidR="00CF26D7">
        <w:rPr>
          <w:rFonts w:hint="cs"/>
          <w:rtl/>
          <w:lang w:bidi="he-IL"/>
        </w:rPr>
        <w:t>ם</w:t>
      </w:r>
      <w:r w:rsidR="004D3A34">
        <w:rPr>
          <w:rFonts w:hint="cs"/>
          <w:rtl/>
          <w:lang w:bidi="he-IL"/>
        </w:rPr>
        <w:t xml:space="preserve"> ועשה.</w:t>
      </w:r>
      <w:r w:rsidR="008867E4">
        <w:rPr>
          <w:rFonts w:hint="cs"/>
          <w:rtl/>
          <w:lang w:bidi="he-IL"/>
        </w:rPr>
        <w:t xml:space="preserve"> צריך לע' אם היה דבר רע בהריגתו, שיש לדון אם הרע היה שבא על אשתו או שהרג אותו.)</w:t>
      </w:r>
    </w:p>
    <w:p w14:paraId="20E9B8A7" w14:textId="34CB0F24" w:rsidR="007636EC" w:rsidRDefault="007636EC" w:rsidP="007161F6">
      <w:pPr>
        <w:pStyle w:val="FootnoteText"/>
      </w:pPr>
      <w:r>
        <w:rPr>
          <w:rtl/>
          <w:lang w:bidi="he-IL"/>
        </w:rPr>
        <w:tab/>
      </w:r>
      <w:r>
        <w:rPr>
          <w:rFonts w:hint="cs"/>
          <w:rtl/>
          <w:lang w:bidi="he-IL"/>
        </w:rPr>
        <w:t>ויש להעיר שעדיין לא כל כך פשוט לומר שהוא ספק, שהיה נראה שהוא ספק ספיקא. אולי ימות במלחמה בדרך הרגיל, ואף בלי זה, אולי יגרמו לו כיון שימרד במלכות. ותחשב על זה, שיש לדון אם הם שונים זה מזה עד כדי שנוכל לומר מהם ס"ס.</w:t>
      </w:r>
    </w:p>
  </w:footnote>
  <w:footnote w:id="43">
    <w:p w14:paraId="267B2046" w14:textId="6D12323F" w:rsidR="00F65646" w:rsidRDefault="00F65646">
      <w:pPr>
        <w:pStyle w:val="FootnoteText"/>
      </w:pPr>
      <w:r>
        <w:rPr>
          <w:rStyle w:val="FootnoteReference"/>
        </w:rPr>
        <w:footnoteRef/>
      </w:r>
      <w:r>
        <w:rPr>
          <w:rtl/>
          <w:lang w:bidi="he-IL"/>
        </w:rPr>
        <w:t xml:space="preserve"> </w:t>
      </w:r>
      <w:r>
        <w:rPr>
          <w:rtl/>
          <w:lang w:bidi="he-IL"/>
        </w:rPr>
        <w:tab/>
      </w:r>
      <w:r>
        <w:rPr>
          <w:rFonts w:hint="cs"/>
          <w:rtl/>
          <w:lang w:bidi="he-IL"/>
        </w:rPr>
        <w:t>צריך ביאור מה היו הכהנים עושים. אולי הם לא היו מגרשים את נשים שלהם, או אולי הם היו מתנים. (צריך לע' אם כהנים לחמו, שאולי היו עסוקים בלימוד תורה ובהקרבת קרבנות.)</w:t>
      </w:r>
      <w:r w:rsidR="00B751B3">
        <w:rPr>
          <w:rFonts w:hint="cs"/>
          <w:rtl/>
          <w:lang w:bidi="he-IL"/>
        </w:rPr>
        <w:t xml:space="preserve"> יש להעיר שהיו להם במות באותו זמן; צירך לע' אם היו מותרים בזרים.</w:t>
      </w:r>
    </w:p>
  </w:footnote>
  <w:footnote w:id="44">
    <w:p w14:paraId="3220159D" w14:textId="09386CE9" w:rsidR="00493249" w:rsidRDefault="00493249">
      <w:pPr>
        <w:pStyle w:val="FootnoteText"/>
        <w:rPr>
          <w:rtl/>
          <w:lang w:bidi="he-IL"/>
        </w:rPr>
      </w:pPr>
      <w:r>
        <w:rPr>
          <w:rStyle w:val="FootnoteReference"/>
        </w:rPr>
        <w:footnoteRef/>
      </w:r>
      <w:r>
        <w:rPr>
          <w:rtl/>
          <w:lang w:bidi="he-IL"/>
        </w:rPr>
        <w:t xml:space="preserve"> </w:t>
      </w:r>
      <w:r>
        <w:rPr>
          <w:rtl/>
          <w:lang w:bidi="he-IL"/>
        </w:rPr>
        <w:tab/>
      </w:r>
      <w:r>
        <w:rPr>
          <w:rFonts w:hint="cs"/>
          <w:rtl/>
          <w:lang w:bidi="he-IL"/>
        </w:rPr>
        <w:t xml:space="preserve">קשה, שאם הכל עשו כן (שכן משמע מלשון הגמ'), קשה שלא יידעו שאחרים יעשו כן. נראה שלא ידעו בוודאי, וחשו. יש לדון למה לא סמכו על רוב. </w:t>
      </w:r>
    </w:p>
    <w:p w14:paraId="54B6D240" w14:textId="7267FCDC" w:rsidR="00493249" w:rsidRDefault="00493249">
      <w:pPr>
        <w:pStyle w:val="FootnoteText"/>
        <w:rPr>
          <w:rtl/>
          <w:lang w:bidi="he-IL"/>
        </w:rPr>
      </w:pPr>
      <w:r>
        <w:rPr>
          <w:rtl/>
          <w:lang w:bidi="he-IL"/>
        </w:rPr>
        <w:tab/>
      </w:r>
      <w:r>
        <w:rPr>
          <w:rFonts w:hint="cs"/>
          <w:rtl/>
          <w:lang w:bidi="he-IL"/>
        </w:rPr>
        <w:t>ק"ק איך דוד ידע. יש לומר שהוא סמך על רוב, אבל אחרים החמירו שלא לסמוך. גם יש לומר שמלך היה, וידע.</w:t>
      </w:r>
    </w:p>
    <w:p w14:paraId="1A5C8361" w14:textId="2050DEA8" w:rsidR="00493249" w:rsidRDefault="00493249">
      <w:pPr>
        <w:pStyle w:val="FootnoteText"/>
      </w:pPr>
      <w:r>
        <w:rPr>
          <w:rtl/>
          <w:lang w:bidi="he-IL"/>
        </w:rPr>
        <w:tab/>
      </w:r>
      <w:r>
        <w:rPr>
          <w:rFonts w:hint="cs"/>
          <w:rtl/>
          <w:lang w:bidi="he-IL"/>
        </w:rPr>
        <w:t xml:space="preserve">גם נראה לומר לתרץ לכל שבני אדם לא ידעו בבירור, אלא היה מאד מסתבר כן. היו יכולים לסמוך על רוב, אבל חשו רבנן שאשה לא תוכל לטעון לכולם שלא רוצה לישא אותם אלא לחכות לבעלה. אז, אומרים שתוכל לטעון שבעל שלה לא גירש אותה. (אז, זה לא שייך לדוד, שבת שבע לא טענה כן לו, אולי מפני שלא רצתה או אולי מפני שהיתה קטנה, כמו שיוצא מגמ' סנהדרין.) ויש לדון, שאז לא תוכל לישא עוד, שכבר שוי"א. יש לדון, שאולי זה נחשב אמתלא על שוי"א. </w:t>
      </w:r>
    </w:p>
  </w:footnote>
  <w:footnote w:id="45">
    <w:p w14:paraId="09E949C1" w14:textId="3ED99362" w:rsidR="00D643FE" w:rsidRDefault="00D643FE">
      <w:pPr>
        <w:pStyle w:val="FootnoteText"/>
      </w:pPr>
      <w:r>
        <w:rPr>
          <w:rStyle w:val="FootnoteReference"/>
        </w:rPr>
        <w:footnoteRef/>
      </w:r>
      <w:r>
        <w:rPr>
          <w:rtl/>
          <w:lang w:bidi="he-IL"/>
        </w:rPr>
        <w:t xml:space="preserve"> </w:t>
      </w:r>
      <w:r>
        <w:rPr>
          <w:rtl/>
          <w:lang w:bidi="he-IL"/>
        </w:rPr>
        <w:tab/>
      </w:r>
      <w:r>
        <w:rPr>
          <w:rFonts w:hint="cs"/>
          <w:rtl/>
          <w:lang w:bidi="he-IL"/>
        </w:rPr>
        <w:t>ואם תאמר לפי זה נקשה על צד הראשון, שבוודאי צריך לומר שדוד</w:t>
      </w:r>
      <w:r w:rsidR="001643C7">
        <w:rPr>
          <w:rFonts w:hint="cs"/>
          <w:rtl/>
          <w:lang w:bidi="he-IL"/>
        </w:rPr>
        <w:t xml:space="preserve"> עבר. בהערות שלנו על גמ' בארנו שאולי אף לאותו צד לא עבר, שאולי רק חולק לומר שלא היה דוד עושה מה שאולי יאסור אותו עליה. אבל, זה עדיין מניח שיש ספק. </w:t>
      </w:r>
    </w:p>
  </w:footnote>
  <w:footnote w:id="46">
    <w:p w14:paraId="4CAF07A2" w14:textId="50237F14" w:rsidR="001643C7" w:rsidRDefault="001643C7">
      <w:pPr>
        <w:pStyle w:val="FootnoteText"/>
      </w:pPr>
      <w:r>
        <w:rPr>
          <w:rStyle w:val="FootnoteReference"/>
        </w:rPr>
        <w:footnoteRef/>
      </w:r>
      <w:r>
        <w:rPr>
          <w:rtl/>
          <w:lang w:bidi="he-IL"/>
        </w:rPr>
        <w:t xml:space="preserve"> </w:t>
      </w:r>
      <w:r>
        <w:rPr>
          <w:rtl/>
          <w:lang w:bidi="he-IL"/>
        </w:rPr>
        <w:tab/>
      </w:r>
      <w:r>
        <w:rPr>
          <w:rFonts w:hint="cs"/>
          <w:rtl/>
          <w:lang w:bidi="he-IL"/>
        </w:rPr>
        <w:t>ואם תאמר בוודאי היה בו איסור, שמצאנו תוכחה על זה, וגם מצאנו הרבה מקומות שדוד שב על זה. ויש לומר שהיה בו איסור, אבל מסתמא לא היה בו איסור גדול. לפי תוס', צריך ביאור איזה איסור יש. צריך לומר שיש איסור של צער לאוריה או שיש איסור של הריגת אוריה. (שוב הבנתי שאולי יש איוסור של פנוי הבא על הפנוייה.)</w:t>
      </w:r>
    </w:p>
  </w:footnote>
  <w:footnote w:id="47">
    <w:p w14:paraId="2A8DD61F" w14:textId="52CA8E74" w:rsidR="000E285A" w:rsidRDefault="000E285A">
      <w:pPr>
        <w:pStyle w:val="FootnoteText"/>
      </w:pPr>
      <w:r>
        <w:rPr>
          <w:rStyle w:val="FootnoteReference"/>
        </w:rPr>
        <w:footnoteRef/>
      </w:r>
      <w:r>
        <w:rPr>
          <w:rtl/>
          <w:lang w:bidi="he-IL"/>
        </w:rPr>
        <w:t xml:space="preserve"> </w:t>
      </w:r>
      <w:r>
        <w:rPr>
          <w:rtl/>
          <w:lang w:bidi="he-IL"/>
        </w:rPr>
        <w:tab/>
      </w:r>
      <w:r>
        <w:rPr>
          <w:rFonts w:hint="cs"/>
          <w:rtl/>
          <w:lang w:bidi="he-IL"/>
        </w:rPr>
        <w:t>יש לדון למה זה כל כך קשה לתוס', שהרי זה רק ספק דאו', ולרמבם זה רק אסור מדרבנן. אולי צריך לומר שתוס' חולק על הרמב"ם. אולי איסור דרבנן חמור עד כדי שלא היה עובר על זה דוד, כיון שהוא דרבנן של אשת איש. גם יש לומר</w:t>
      </w:r>
      <w:r w:rsidR="000A1C36">
        <w:rPr>
          <w:rFonts w:hint="cs"/>
          <w:rtl/>
          <w:lang w:bidi="he-IL"/>
        </w:rPr>
        <w:t xml:space="preserve"> שכאן יש חזקת איסור, ואז ייאסר מדאו'. גם יש לחלק בין ספק על העבר וספק על העתיד. ויש לדון למה נחלק. ותחשב.</w:t>
      </w:r>
    </w:p>
  </w:footnote>
  <w:footnote w:id="48">
    <w:p w14:paraId="49670D7F" w14:textId="2BAC9791" w:rsidR="00D47B11" w:rsidRDefault="00D47B11">
      <w:pPr>
        <w:pStyle w:val="FootnoteText"/>
      </w:pPr>
      <w:r>
        <w:rPr>
          <w:rStyle w:val="FootnoteReference"/>
        </w:rPr>
        <w:footnoteRef/>
      </w:r>
      <w:r>
        <w:rPr>
          <w:rtl/>
          <w:lang w:bidi="he-IL"/>
        </w:rPr>
        <w:t xml:space="preserve"> </w:t>
      </w:r>
      <w:r>
        <w:rPr>
          <w:rtl/>
          <w:lang w:bidi="he-IL"/>
        </w:rPr>
        <w:tab/>
      </w:r>
      <w:r>
        <w:rPr>
          <w:rFonts w:hint="cs"/>
          <w:rtl/>
          <w:lang w:bidi="he-IL"/>
        </w:rPr>
        <w:t>לכאו', הסיבה שיותר קל להאמין  אותו לממון הוא שיש לו חזקה (ממע"ה), וגם שיש הוכחה מהמ שלא יפסד סעודתו (ואולי זה גם יוכיח שיבדק טוב). יש סיבה שיותר קל לאסור, והוא שאולי יותר קל להיות נאמן לעצמו (רק על זה יש שוי"א)</w:t>
      </w:r>
      <w:r w:rsidR="00A25A9E">
        <w:rPr>
          <w:rFonts w:hint="cs"/>
          <w:rtl/>
          <w:lang w:bidi="he-IL"/>
        </w:rPr>
        <w:t xml:space="preserve"> ושטענת ברי יותר נוגע לדין ממון.</w:t>
      </w:r>
    </w:p>
  </w:footnote>
  <w:footnote w:id="49">
    <w:p w14:paraId="4CA19137" w14:textId="0D9495A4" w:rsidR="008635AD" w:rsidRDefault="008635AD">
      <w:pPr>
        <w:pStyle w:val="FootnoteText"/>
        <w:rPr>
          <w:rtl/>
          <w:lang w:bidi="he-IL"/>
        </w:rPr>
      </w:pPr>
      <w:r>
        <w:rPr>
          <w:rStyle w:val="FootnoteReference"/>
        </w:rPr>
        <w:footnoteRef/>
      </w:r>
      <w:r>
        <w:rPr>
          <w:rtl/>
          <w:lang w:bidi="he-IL"/>
        </w:rPr>
        <w:t xml:space="preserve"> </w:t>
      </w:r>
      <w:r>
        <w:rPr>
          <w:rtl/>
          <w:lang w:bidi="he-IL"/>
        </w:rPr>
        <w:tab/>
      </w:r>
      <w:r>
        <w:rPr>
          <w:rFonts w:hint="cs"/>
          <w:rtl/>
          <w:lang w:bidi="he-IL"/>
        </w:rPr>
        <w:t>בארנו לעיל שאין ספק זה מתיר, באמת, שאולי נאסרה וגם אינו בקי. הצד שמתיר הוא שלא נבעלה, ואין לה פתח פתוח. נראה שכן רצה לומר, אבל לשונו לא מדוקדק.</w:t>
      </w:r>
      <w:r w:rsidR="00CC053C">
        <w:rPr>
          <w:rFonts w:hint="cs"/>
          <w:rtl/>
          <w:lang w:bidi="he-IL"/>
        </w:rPr>
        <w:t xml:space="preserve"> גם יש לומר שזה נחשב ס"ס, שאם אינו בקי, מסתמא לא נאסרה, וזה מספיק לעשות ס"ס.</w:t>
      </w:r>
    </w:p>
    <w:p w14:paraId="183D7C70" w14:textId="4B0FECF1" w:rsidR="009C7748" w:rsidRDefault="009C7748">
      <w:pPr>
        <w:pStyle w:val="FootnoteText"/>
      </w:pPr>
      <w:r>
        <w:rPr>
          <w:rtl/>
          <w:lang w:bidi="he-IL"/>
        </w:rPr>
        <w:tab/>
      </w:r>
      <w:r>
        <w:rPr>
          <w:rFonts w:hint="cs"/>
          <w:rtl/>
          <w:lang w:bidi="he-IL"/>
        </w:rPr>
        <w:t>יש להעיר שלא כל כך פשוט שהצד להתיר בא מס"ס. אולי הצד להתיר הוא שלא קים ליה, עד כדי שאינו עדשה התעוררות ספק או עד כדי שתישאר בחזקת היתר שלה.</w:t>
      </w:r>
    </w:p>
  </w:footnote>
  <w:footnote w:id="50">
    <w:p w14:paraId="5F2BBF80" w14:textId="33CB8D29" w:rsidR="00EC5DBC" w:rsidRDefault="00EC5DBC">
      <w:pPr>
        <w:pStyle w:val="FootnoteText"/>
        <w:rPr>
          <w:rFonts w:hint="cs"/>
        </w:rPr>
      </w:pPr>
      <w:r>
        <w:rPr>
          <w:rStyle w:val="FootnoteReference"/>
        </w:rPr>
        <w:footnoteRef/>
      </w:r>
      <w:r>
        <w:rPr>
          <w:rtl/>
          <w:lang w:bidi="he-IL"/>
        </w:rPr>
        <w:t xml:space="preserve"> </w:t>
      </w:r>
      <w:r>
        <w:rPr>
          <w:rtl/>
          <w:lang w:bidi="he-IL"/>
        </w:rPr>
        <w:tab/>
      </w:r>
      <w:r>
        <w:rPr>
          <w:rFonts w:hint="cs"/>
          <w:rtl/>
          <w:lang w:bidi="he-IL"/>
        </w:rPr>
        <w:t>יש לחלק ששם טוען מנה, ולכן חייב מנה. יש לדון, שלא יודע מה קרה, וטוען טענת שמא. אולי תלוי באם מודה חייב כיון שהודה שחייב או כיון שלא טוען פטור. ותחשב.</w:t>
      </w:r>
    </w:p>
  </w:footnote>
  <w:footnote w:id="51">
    <w:p w14:paraId="08FAA5E4" w14:textId="54F8596F" w:rsidR="001466EE" w:rsidRDefault="001466EE">
      <w:pPr>
        <w:pStyle w:val="FootnoteText"/>
        <w:rPr>
          <w:rFonts w:hint="cs"/>
        </w:rPr>
      </w:pPr>
      <w:r>
        <w:rPr>
          <w:rStyle w:val="FootnoteReference"/>
        </w:rPr>
        <w:footnoteRef/>
      </w:r>
      <w:r>
        <w:rPr>
          <w:rtl/>
          <w:lang w:bidi="he-IL"/>
        </w:rPr>
        <w:t xml:space="preserve"> </w:t>
      </w:r>
      <w:r>
        <w:rPr>
          <w:rtl/>
          <w:lang w:bidi="he-IL"/>
        </w:rPr>
        <w:tab/>
      </w:r>
      <w:r>
        <w:rPr>
          <w:rFonts w:hint="cs"/>
          <w:rtl/>
          <w:lang w:bidi="he-IL"/>
        </w:rPr>
        <w:t>צריך ביאור למה לא אומרים שיש צד של אונס אחרי אירוסין, שהרי מונה את זה לצד בציור שמביא תוס'. נכון הוא ששם הוא רק כדי לתת לה מנה, אבל עדיין אין זה סיבה לחלק במה נחשב צד וספק. משמע שספק ספיקא צריך להיות שבשני שאלות ששואלים ראשון יוצא ספק ספיקא. תחשב למה.</w:t>
      </w:r>
    </w:p>
  </w:footnote>
  <w:footnote w:id="52">
    <w:p w14:paraId="249D1268" w14:textId="4CE3C879" w:rsidR="008F2447" w:rsidRDefault="008F2447">
      <w:pPr>
        <w:pStyle w:val="FootnoteText"/>
      </w:pPr>
      <w:r>
        <w:rPr>
          <w:rStyle w:val="FootnoteReference"/>
        </w:rPr>
        <w:footnoteRef/>
      </w:r>
      <w:r>
        <w:rPr>
          <w:rtl/>
          <w:lang w:bidi="he-IL"/>
        </w:rPr>
        <w:t xml:space="preserve"> </w:t>
      </w:r>
      <w:r>
        <w:rPr>
          <w:rtl/>
          <w:lang w:bidi="he-IL"/>
        </w:rPr>
        <w:tab/>
      </w:r>
      <w:r>
        <w:rPr>
          <w:rFonts w:hint="cs"/>
          <w:rtl/>
          <w:lang w:bidi="he-IL"/>
        </w:rPr>
        <w:t>מתוס' משמע שלשון של קירור דעת הוא שלא יבטח שיש איסור. היה נראה לומר לולי תוס' שקירור דעת רצה לומר שלא מתרגז בא. כיון שאוהב אותה, מורה היתר לעצמו. אז, אולי מה שעושה טענת דם הוא שנשאר ברגזנות שלו, כיוןש הוא יותר נראה בעין.</w:t>
      </w:r>
      <w:r w:rsidR="00B93140">
        <w:rPr>
          <w:rFonts w:hint="cs"/>
          <w:rtl/>
          <w:lang w:bidi="he-IL"/>
        </w:rPr>
        <w:t xml:space="preserve"> כיון שהגענו לזה, לא צריך לומר שההוראת היתר הוא שאולי לא מצא פ"פ, אלא אולי הוא שדילמא נבעלה באופן שלא יאסור אותה. </w:t>
      </w:r>
      <w:r w:rsidR="00E44463">
        <w:rPr>
          <w:rFonts w:hint="cs"/>
          <w:rtl/>
          <w:lang w:bidi="he-IL"/>
        </w:rPr>
        <w:t>ותחשב</w:t>
      </w:r>
      <w:r w:rsidR="00B93140">
        <w:rPr>
          <w:rFonts w:hint="cs"/>
          <w:rtl/>
          <w:lang w:bidi="he-IL"/>
        </w:rPr>
        <w:t xml:space="preserve"> על זה.</w:t>
      </w:r>
    </w:p>
  </w:footnote>
  <w:footnote w:id="53">
    <w:p w14:paraId="677F1627" w14:textId="59E2820B" w:rsidR="005D016E" w:rsidRDefault="005D016E" w:rsidP="005D016E">
      <w:pPr>
        <w:pStyle w:val="FootnoteText"/>
        <w:rPr>
          <w:rtl/>
          <w:lang w:bidi="he-IL"/>
        </w:rPr>
      </w:pPr>
      <w:r>
        <w:rPr>
          <w:rStyle w:val="FootnoteReference"/>
        </w:rPr>
        <w:footnoteRef/>
      </w:r>
      <w:r>
        <w:rPr>
          <w:rtl/>
          <w:lang w:bidi="he-IL"/>
        </w:rPr>
        <w:t xml:space="preserve"> </w:t>
      </w:r>
      <w:r>
        <w:rPr>
          <w:rtl/>
          <w:lang w:bidi="he-IL"/>
        </w:rPr>
        <w:tab/>
      </w:r>
      <w:r>
        <w:rPr>
          <w:rFonts w:hint="cs"/>
          <w:rtl/>
          <w:lang w:bidi="he-IL"/>
        </w:rPr>
        <w:t>יש להוסיף על זה כמה צדדים, בביאור למה חשב שבפ"פ דנים:</w:t>
      </w:r>
    </w:p>
    <w:p w14:paraId="46A5477B" w14:textId="5FAA2052" w:rsidR="005D016E" w:rsidRDefault="005D016E" w:rsidP="00995D9D">
      <w:pPr>
        <w:pStyle w:val="FootnoteText"/>
        <w:numPr>
          <w:ilvl w:val="0"/>
          <w:numId w:val="11"/>
        </w:numPr>
      </w:pPr>
      <w:r>
        <w:rPr>
          <w:rFonts w:hint="cs"/>
          <w:rtl/>
          <w:lang w:bidi="he-IL"/>
        </w:rPr>
        <w:t>לא חשב כן כל כך. יש הרבה פעמים בגמ' שיביא הוכחה שקל לדחות, והביאור הוא, לכאו', שעיקר כוונתו הוא לבאר בפי' איך המשנה לא מוכרח להיות ראיה לאותו הדין. אבל, יותר קשה לומר כן כאן, שאולי רק אומר כן אם גמ' מביא הראיה. כאן, אביי מביא אותו, ומשמע שאביי סובר שראיה טובה היא.</w:t>
      </w:r>
    </w:p>
    <w:p w14:paraId="1CA6D47D" w14:textId="72CC3036" w:rsidR="005D016E" w:rsidRDefault="005D016E" w:rsidP="00995D9D">
      <w:pPr>
        <w:pStyle w:val="FootnoteText"/>
        <w:numPr>
          <w:ilvl w:val="0"/>
          <w:numId w:val="11"/>
        </w:numPr>
      </w:pPr>
      <w:r>
        <w:rPr>
          <w:rFonts w:hint="cs"/>
          <w:rtl/>
          <w:lang w:bidi="he-IL"/>
        </w:rPr>
        <w:t>משנה לא מבאר החשש. אז, משמע שהחשש מחמת כל טענה שלו- דמים ופתח פתוח. יש לדון, שלא חוששים לכתובה. יש לומר שזה פשוט שאינו חשש, ולא צריך לבאר אותו. גם יש לומר שרק צריך להזכיר לאיזה ציור חוששים, ולא מה בציור גורם החשש. אבל, עדיין קשה, שלא מבאר שרק חושש לכהן ולנשואה פחותה מבת שלש שנים. יותר מזה, לא נראה שיצטרך לבאר ציורים של החשש.</w:t>
      </w:r>
    </w:p>
    <w:p w14:paraId="1E62783D" w14:textId="69D3244D" w:rsidR="005D016E" w:rsidRDefault="005D016E" w:rsidP="00995D9D">
      <w:pPr>
        <w:pStyle w:val="FootnoteText"/>
        <w:numPr>
          <w:ilvl w:val="0"/>
          <w:numId w:val="11"/>
        </w:numPr>
      </w:pPr>
      <w:r>
        <w:rPr>
          <w:rFonts w:hint="cs"/>
          <w:rtl/>
          <w:lang w:bidi="he-IL"/>
        </w:rPr>
        <w:t>לא מסתבר שנחוש (בפרט כיון שעושים ל"פ מחמת זה) רק לטענת דמים. רק לפ"פ שיותר מצוי (או לשניהם ביחד) אפשר לומר שחוששים. (יש להעיר שאולי פ"פ יותר מצוי כיון שאשה מכניסה דמים להראות דם בתולים, אבל אין דרך לזייף פתח פתוח.)</w:t>
      </w:r>
    </w:p>
    <w:p w14:paraId="64248632" w14:textId="4C7E908E" w:rsidR="005D016E" w:rsidRDefault="005D016E" w:rsidP="00995D9D">
      <w:pPr>
        <w:pStyle w:val="FootnoteText"/>
        <w:numPr>
          <w:ilvl w:val="0"/>
          <w:numId w:val="11"/>
        </w:numPr>
      </w:pPr>
      <w:r>
        <w:rPr>
          <w:rFonts w:hint="cs"/>
          <w:rtl/>
          <w:lang w:bidi="he-IL"/>
        </w:rPr>
        <w:t>אין טענת דמים אוסר. יש ראשונים שמצדדים כן (מקשים למה אינו כן). נראה שיכולים לבאר שטענת דמים ברור לו, ונח' ס"ס. אבל, אם לא קים ליה, אינו אף ס"ס, שאין לחשוב שהוא נכון. אז, יש לומר שרש"י עה"מ מבאר כדיחוי גמ', ולכן קורא לו ס,ס. אז, מתורץ קושיית תוס' על רש"י. עדיין יש לדון למה בחר רש"י לבאר את המשנה על פי הדיחוי, ולא על פי מה שאמר אביי לראיה לר"א. נראה שרצה לומר דבר שכ"ע יכולים להודות לו, שאף אם יש חולק על ר"א, יודה לפי' זה.)</w:t>
      </w:r>
    </w:p>
    <w:p w14:paraId="2E7C8069" w14:textId="513E0D03" w:rsidR="00785A05" w:rsidRDefault="00785A05" w:rsidP="00995D9D">
      <w:pPr>
        <w:pStyle w:val="FootnoteText"/>
        <w:numPr>
          <w:ilvl w:val="0"/>
          <w:numId w:val="11"/>
        </w:numPr>
      </w:pPr>
      <w:r>
        <w:rPr>
          <w:rFonts w:hint="cs"/>
          <w:rtl/>
          <w:lang w:bidi="he-IL"/>
        </w:rPr>
        <w:t>אולי בדמים תקנה של משנה לא יהני, שאף ביום שלאחריו לא יבוא לבית דין, שכבר יקרר דעתו עליו. (נראה שאולי דעתו יותר מקרר על דמים, כיון שאל מקפיד שיהיו דמים. מה שרוצה, בעיקר, מבתולה הוא שפתחה פתוח, שזה הרגשה טובה לו. ותחשב.)</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D0ED8"/>
    <w:multiLevelType w:val="multilevel"/>
    <w:tmpl w:val="5BD0C2F8"/>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 w15:restartNumberingAfterBreak="0">
    <w:nsid w:val="11813AB9"/>
    <w:multiLevelType w:val="hybridMultilevel"/>
    <w:tmpl w:val="FE8034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D30729"/>
    <w:multiLevelType w:val="multilevel"/>
    <w:tmpl w:val="E054A3C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3" w15:restartNumberingAfterBreak="0">
    <w:nsid w:val="20104B37"/>
    <w:multiLevelType w:val="multilevel"/>
    <w:tmpl w:val="9732C32A"/>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4" w15:restartNumberingAfterBreak="0">
    <w:nsid w:val="2B301043"/>
    <w:multiLevelType w:val="multilevel"/>
    <w:tmpl w:val="0888B330"/>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5" w15:restartNumberingAfterBreak="0">
    <w:nsid w:val="3A0A502F"/>
    <w:multiLevelType w:val="multilevel"/>
    <w:tmpl w:val="D3F04BF4"/>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6" w15:restartNumberingAfterBreak="0">
    <w:nsid w:val="3FF860B3"/>
    <w:multiLevelType w:val="hybridMultilevel"/>
    <w:tmpl w:val="E9A4DA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0796AC4"/>
    <w:multiLevelType w:val="multilevel"/>
    <w:tmpl w:val="3F2275D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5377393D"/>
    <w:multiLevelType w:val="multilevel"/>
    <w:tmpl w:val="0CEE602E"/>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9" w15:restartNumberingAfterBreak="0">
    <w:nsid w:val="63C25D27"/>
    <w:multiLevelType w:val="hybridMultilevel"/>
    <w:tmpl w:val="CA941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EA7FFE"/>
    <w:multiLevelType w:val="hybridMultilevel"/>
    <w:tmpl w:val="FBC698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0"/>
  </w:num>
  <w:num w:numId="3">
    <w:abstractNumId w:val="4"/>
  </w:num>
  <w:num w:numId="4">
    <w:abstractNumId w:val="8"/>
  </w:num>
  <w:num w:numId="5">
    <w:abstractNumId w:val="2"/>
  </w:num>
  <w:num w:numId="6">
    <w:abstractNumId w:val="5"/>
  </w:num>
  <w:num w:numId="7">
    <w:abstractNumId w:val="3"/>
  </w:num>
  <w:num w:numId="8">
    <w:abstractNumId w:val="10"/>
  </w:num>
  <w:num w:numId="9">
    <w:abstractNumId w:val="6"/>
  </w:num>
  <w:num w:numId="10">
    <w:abstractNumId w:val="1"/>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D64E0"/>
    <w:rsid w:val="00021F34"/>
    <w:rsid w:val="00076240"/>
    <w:rsid w:val="000A1C36"/>
    <w:rsid w:val="000A70E9"/>
    <w:rsid w:val="000E285A"/>
    <w:rsid w:val="000F3B44"/>
    <w:rsid w:val="000F58F4"/>
    <w:rsid w:val="00121EF1"/>
    <w:rsid w:val="001466EE"/>
    <w:rsid w:val="0016144F"/>
    <w:rsid w:val="001643C7"/>
    <w:rsid w:val="001F47DB"/>
    <w:rsid w:val="002059BD"/>
    <w:rsid w:val="002216EF"/>
    <w:rsid w:val="002227F7"/>
    <w:rsid w:val="00240221"/>
    <w:rsid w:val="00264952"/>
    <w:rsid w:val="002B35E9"/>
    <w:rsid w:val="002B5C5C"/>
    <w:rsid w:val="002D724F"/>
    <w:rsid w:val="00316FAD"/>
    <w:rsid w:val="0033432A"/>
    <w:rsid w:val="003561D7"/>
    <w:rsid w:val="0039709A"/>
    <w:rsid w:val="003B3353"/>
    <w:rsid w:val="003D64E0"/>
    <w:rsid w:val="00416C8F"/>
    <w:rsid w:val="00431440"/>
    <w:rsid w:val="004470B4"/>
    <w:rsid w:val="00472699"/>
    <w:rsid w:val="00493249"/>
    <w:rsid w:val="004D3A34"/>
    <w:rsid w:val="005857F7"/>
    <w:rsid w:val="005D016E"/>
    <w:rsid w:val="005E2147"/>
    <w:rsid w:val="005F0452"/>
    <w:rsid w:val="00624E37"/>
    <w:rsid w:val="006C4DEA"/>
    <w:rsid w:val="007161F6"/>
    <w:rsid w:val="007636EC"/>
    <w:rsid w:val="00785A05"/>
    <w:rsid w:val="0079719B"/>
    <w:rsid w:val="007B46B1"/>
    <w:rsid w:val="007E2260"/>
    <w:rsid w:val="00844FBB"/>
    <w:rsid w:val="008548AA"/>
    <w:rsid w:val="008635AD"/>
    <w:rsid w:val="00870AC1"/>
    <w:rsid w:val="008867E4"/>
    <w:rsid w:val="008D4E5F"/>
    <w:rsid w:val="008F2447"/>
    <w:rsid w:val="0097115D"/>
    <w:rsid w:val="009C7748"/>
    <w:rsid w:val="00A25A9E"/>
    <w:rsid w:val="00A33703"/>
    <w:rsid w:val="00A50ED5"/>
    <w:rsid w:val="00A5556D"/>
    <w:rsid w:val="00AA0364"/>
    <w:rsid w:val="00AE019C"/>
    <w:rsid w:val="00B03829"/>
    <w:rsid w:val="00B751B3"/>
    <w:rsid w:val="00B93140"/>
    <w:rsid w:val="00BF1F59"/>
    <w:rsid w:val="00BF74F4"/>
    <w:rsid w:val="00C10475"/>
    <w:rsid w:val="00C21391"/>
    <w:rsid w:val="00C36FAD"/>
    <w:rsid w:val="00CB7EF1"/>
    <w:rsid w:val="00CC053C"/>
    <w:rsid w:val="00CD4188"/>
    <w:rsid w:val="00CF26D7"/>
    <w:rsid w:val="00D25EE4"/>
    <w:rsid w:val="00D47B11"/>
    <w:rsid w:val="00D50BD6"/>
    <w:rsid w:val="00D617B0"/>
    <w:rsid w:val="00D643FE"/>
    <w:rsid w:val="00E44463"/>
    <w:rsid w:val="00EC5DBC"/>
    <w:rsid w:val="00EE016F"/>
    <w:rsid w:val="00F07FA9"/>
    <w:rsid w:val="00F2456F"/>
    <w:rsid w:val="00F44ABC"/>
    <w:rsid w:val="00F65646"/>
    <w:rsid w:val="00F80E63"/>
    <w:rsid w:val="00F92428"/>
    <w:rsid w:val="00FD452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B66F5"/>
  <w15:docId w15:val="{EB5DF682-0E3F-496C-BE25-667CAFE4B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NSimSun" w:hAnsi="Times New Roman" w:cs="Narkisim"/>
        <w:kern w:val="2"/>
        <w:sz w:val="24"/>
        <w:szCs w:val="22"/>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style>
  <w:style w:type="character" w:customStyle="1" w:styleId="CITE">
    <w:name w:val="CITE"/>
    <w:qFormat/>
    <w:rPr>
      <w:i/>
    </w:rPr>
  </w:style>
  <w:style w:type="character" w:customStyle="1" w:styleId="CODE">
    <w:name w:val="CODE"/>
    <w:qFormat/>
    <w:rPr>
      <w:rFonts w:ascii="Courier New" w:hAnsi="Courier New"/>
      <w:sz w:val="20"/>
    </w:rPr>
  </w:style>
  <w:style w:type="character" w:customStyle="1" w:styleId="Keyboard">
    <w:name w:val="Keyboard"/>
    <w:qFormat/>
    <w:rPr>
      <w:rFonts w:ascii="Courier New" w:hAnsi="Courier New"/>
      <w:b/>
      <w:sz w:val="20"/>
    </w:rPr>
  </w:style>
  <w:style w:type="character" w:customStyle="1" w:styleId="Sample">
    <w:name w:val="Sample"/>
    <w:qFormat/>
    <w:rPr>
      <w:rFonts w:ascii="Courier New" w:hAnsi="Courier New"/>
    </w:rPr>
  </w:style>
  <w:style w:type="character" w:styleId="Strong">
    <w:name w:val="Strong"/>
    <w:qFormat/>
    <w:rPr>
      <w:b/>
    </w:rPr>
  </w:style>
  <w:style w:type="character" w:customStyle="1" w:styleId="Typewriter">
    <w:name w:val="Typewriter"/>
    <w:qFormat/>
    <w:rPr>
      <w:rFonts w:ascii="Courier New" w:hAnsi="Courier New"/>
      <w:sz w:val="20"/>
    </w:rPr>
  </w:style>
  <w:style w:type="character" w:customStyle="1" w:styleId="HTMLMarkup">
    <w:name w:val="HTML Markup"/>
    <w:qFormat/>
    <w:rPr>
      <w:vanish/>
      <w:color w:val="FF0000"/>
    </w:rPr>
  </w:style>
  <w:style w:type="character" w:customStyle="1" w:styleId="Comment">
    <w:name w:val="Comment"/>
    <w:qFormat/>
    <w:rPr>
      <w:vanish/>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Arial" w:eastAsia="Microsoft YaHei" w:hAnsi="Arial"/>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DefinitionTerm">
    <w:name w:val="Definition Term"/>
    <w:basedOn w:val="Normal"/>
    <w:qFormat/>
  </w:style>
  <w:style w:type="paragraph" w:customStyle="1" w:styleId="DefinitionList">
    <w:name w:val="Definition List"/>
    <w:basedOn w:val="Normal"/>
    <w:next w:val="DefinitionTerm"/>
    <w:qFormat/>
    <w:pPr>
      <w:ind w:left="360"/>
    </w:pPr>
  </w:style>
  <w:style w:type="paragraph" w:customStyle="1" w:styleId="H1">
    <w:name w:val="H1"/>
    <w:basedOn w:val="Normal"/>
    <w:next w:val="Normal"/>
    <w:qFormat/>
    <w:pPr>
      <w:keepNext/>
      <w:spacing w:before="100" w:after="100"/>
      <w:outlineLvl w:val="1"/>
    </w:pPr>
    <w:rPr>
      <w:b/>
      <w:sz w:val="48"/>
    </w:rPr>
  </w:style>
  <w:style w:type="paragraph" w:customStyle="1" w:styleId="H2">
    <w:name w:val="H2"/>
    <w:basedOn w:val="Normal"/>
    <w:next w:val="Normal"/>
    <w:qFormat/>
    <w:pPr>
      <w:keepNext/>
      <w:spacing w:before="100" w:after="100"/>
      <w:outlineLvl w:val="2"/>
    </w:pPr>
    <w:rPr>
      <w:b/>
      <w:sz w:val="36"/>
    </w:rPr>
  </w:style>
  <w:style w:type="paragraph" w:customStyle="1" w:styleId="H3">
    <w:name w:val="H3"/>
    <w:basedOn w:val="Normal"/>
    <w:next w:val="Normal"/>
    <w:qFormat/>
    <w:pPr>
      <w:keepNext/>
      <w:spacing w:before="100" w:after="100"/>
      <w:outlineLvl w:val="3"/>
    </w:pPr>
    <w:rPr>
      <w:b/>
      <w:sz w:val="28"/>
    </w:rPr>
  </w:style>
  <w:style w:type="paragraph" w:customStyle="1" w:styleId="H4">
    <w:name w:val="H4"/>
    <w:basedOn w:val="Normal"/>
    <w:next w:val="Normal"/>
    <w:qFormat/>
    <w:pPr>
      <w:keepNext/>
      <w:spacing w:before="100" w:after="100"/>
      <w:outlineLvl w:val="4"/>
    </w:pPr>
    <w:rPr>
      <w:b/>
    </w:rPr>
  </w:style>
  <w:style w:type="paragraph" w:customStyle="1" w:styleId="H5">
    <w:name w:val="H5"/>
    <w:basedOn w:val="Normal"/>
    <w:next w:val="Normal"/>
    <w:qFormat/>
    <w:pPr>
      <w:keepNext/>
      <w:spacing w:before="100" w:after="100"/>
      <w:outlineLvl w:val="5"/>
    </w:pPr>
    <w:rPr>
      <w:b/>
      <w:sz w:val="20"/>
    </w:rPr>
  </w:style>
  <w:style w:type="paragraph" w:customStyle="1" w:styleId="H6">
    <w:name w:val="H6"/>
    <w:basedOn w:val="Normal"/>
    <w:next w:val="Normal"/>
    <w:qFormat/>
    <w:pPr>
      <w:keepNext/>
      <w:spacing w:before="100" w:after="100"/>
      <w:outlineLvl w:val="6"/>
    </w:pPr>
    <w:rPr>
      <w:b/>
      <w:sz w:val="16"/>
    </w:rPr>
  </w:style>
  <w:style w:type="paragraph" w:customStyle="1" w:styleId="Address">
    <w:name w:val="Address"/>
    <w:basedOn w:val="Normal"/>
    <w:next w:val="Normal"/>
    <w:qFormat/>
    <w:rPr>
      <w:i/>
    </w:rPr>
  </w:style>
  <w:style w:type="paragraph" w:customStyle="1" w:styleId="Blockquote">
    <w:name w:val="Blockquote"/>
    <w:basedOn w:val="Normal"/>
    <w:qFormat/>
    <w:pPr>
      <w:spacing w:before="100" w:after="100"/>
      <w:ind w:left="360" w:right="360"/>
    </w:pPr>
  </w:style>
  <w:style w:type="paragraph" w:customStyle="1" w:styleId="Preformatted">
    <w:name w:val="Preformatted"/>
    <w:basedOn w:val="Normal"/>
    <w:qFormat/>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z w:val="20"/>
    </w:rPr>
  </w:style>
  <w:style w:type="paragraph" w:styleId="z-BottomofForm">
    <w:name w:val="HTML Bottom of Form"/>
    <w:next w:val="Normal"/>
    <w:qFormat/>
    <w:pPr>
      <w:pBdr>
        <w:top w:val="double" w:sz="2" w:space="0" w:color="000000"/>
      </w:pBdr>
      <w:overflowPunct w:val="0"/>
      <w:jc w:val="center"/>
    </w:pPr>
    <w:rPr>
      <w:rFonts w:ascii="Arial" w:eastAsia="Arial" w:hAnsi="Arial" w:cs="Courier New"/>
      <w:vanish/>
      <w:sz w:val="16"/>
      <w:szCs w:val="24"/>
    </w:rPr>
  </w:style>
  <w:style w:type="paragraph" w:styleId="z-TopofForm">
    <w:name w:val="HTML Top of Form"/>
    <w:next w:val="Normal"/>
    <w:qFormat/>
    <w:pPr>
      <w:pBdr>
        <w:bottom w:val="double" w:sz="2" w:space="0" w:color="000000"/>
      </w:pBdr>
      <w:overflowPunct w:val="0"/>
      <w:jc w:val="center"/>
    </w:pPr>
    <w:rPr>
      <w:rFonts w:ascii="Arial" w:eastAsia="Arial" w:hAnsi="Arial" w:cs="Courier New"/>
      <w:vanish/>
      <w:sz w:val="16"/>
      <w:szCs w:val="24"/>
    </w:rPr>
  </w:style>
  <w:style w:type="paragraph" w:styleId="FootnoteText">
    <w:name w:val="footnote text"/>
    <w:basedOn w:val="Normal"/>
    <w:link w:val="FootnoteTextChar"/>
    <w:pPr>
      <w:suppressLineNumbers/>
      <w:ind w:left="340" w:hanging="340"/>
    </w:pPr>
    <w:rPr>
      <w:sz w:val="20"/>
      <w:szCs w:val="20"/>
    </w:rPr>
  </w:style>
  <w:style w:type="paragraph" w:customStyle="1" w:styleId="TableNormal1">
    <w:name w:val="Table Normal1"/>
    <w:qFormat/>
    <w:rPr>
      <w:rFonts w:ascii="Calibri" w:eastAsia="Calibri" w:hAnsi="Calibri" w:cs="Arial"/>
      <w:sz w:val="22"/>
      <w:lang w:val="en-US" w:eastAsia="en-US" w:bidi="he-IL"/>
    </w:rPr>
  </w:style>
  <w:style w:type="paragraph" w:styleId="ListParagraph">
    <w:name w:val="List Paragraph"/>
    <w:basedOn w:val="Normal"/>
    <w:qFormat/>
    <w:pPr>
      <w:ind w:left="720" w:right="720"/>
      <w:contextualSpacing/>
    </w:pPr>
  </w:style>
  <w:style w:type="character" w:customStyle="1" w:styleId="FootnoteTextChar">
    <w:name w:val="Footnote Text Char"/>
    <w:basedOn w:val="DefaultParagraphFont"/>
    <w:link w:val="FootnoteText"/>
    <w:rsid w:val="00844FBB"/>
    <w:rPr>
      <w:sz w:val="20"/>
      <w:szCs w:val="20"/>
    </w:rPr>
  </w:style>
  <w:style w:type="paragraph" w:styleId="Header">
    <w:name w:val="header"/>
    <w:basedOn w:val="Normal"/>
    <w:link w:val="HeaderChar"/>
    <w:uiPriority w:val="99"/>
    <w:unhideWhenUsed/>
    <w:rsid w:val="0097115D"/>
    <w:pPr>
      <w:tabs>
        <w:tab w:val="center" w:pos="4680"/>
        <w:tab w:val="right" w:pos="9360"/>
      </w:tabs>
    </w:pPr>
    <w:rPr>
      <w:rFonts w:cs="Mangal"/>
    </w:rPr>
  </w:style>
  <w:style w:type="character" w:customStyle="1" w:styleId="HeaderChar">
    <w:name w:val="Header Char"/>
    <w:basedOn w:val="DefaultParagraphFont"/>
    <w:link w:val="Header"/>
    <w:uiPriority w:val="99"/>
    <w:rsid w:val="0097115D"/>
    <w:rPr>
      <w:rFonts w:cs="Mangal"/>
    </w:rPr>
  </w:style>
  <w:style w:type="paragraph" w:styleId="Footer">
    <w:name w:val="footer"/>
    <w:basedOn w:val="Normal"/>
    <w:link w:val="FooterChar"/>
    <w:uiPriority w:val="99"/>
    <w:unhideWhenUsed/>
    <w:rsid w:val="0097115D"/>
    <w:pPr>
      <w:tabs>
        <w:tab w:val="center" w:pos="4680"/>
        <w:tab w:val="right" w:pos="9360"/>
      </w:tabs>
    </w:pPr>
    <w:rPr>
      <w:rFonts w:cs="Mangal"/>
    </w:rPr>
  </w:style>
  <w:style w:type="character" w:customStyle="1" w:styleId="FooterChar">
    <w:name w:val="Footer Char"/>
    <w:basedOn w:val="DefaultParagraphFont"/>
    <w:link w:val="Footer"/>
    <w:uiPriority w:val="99"/>
    <w:rsid w:val="0097115D"/>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63636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0941D7-75FA-48A7-A318-AA4A76F5E0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870</TotalTime>
  <Pages>7</Pages>
  <Words>1276</Words>
  <Characters>7274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Admin</cp:lastModifiedBy>
  <cp:revision>165</cp:revision>
  <dcterms:created xsi:type="dcterms:W3CDTF">2024-05-23T12:38:00Z</dcterms:created>
  <dcterms:modified xsi:type="dcterms:W3CDTF">2024-07-02T13:39:00Z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Encoding">
    <vt:lpwstr>utf-8</vt:lpwstr>
  </property>
  <property fmtid="{D5CDD505-2E9C-101B-9397-08002B2CF9AE}" pid="3" name="HTML">
    <vt:bool>true</vt:bool>
  </property>
</Properties>
</file>