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5E80D4" w14:textId="77777777" w:rsidR="00C61BEF" w:rsidRPr="002B6F0E" w:rsidRDefault="004F6459">
      <w:pPr>
        <w:pStyle w:val="Heading1"/>
        <w:spacing w:before="120" w:after="120"/>
        <w:rPr>
          <w:rFonts w:ascii="Shofar" w:hAnsi="Shofar" w:cs="Shofar"/>
        </w:rPr>
      </w:pPr>
      <w:r w:rsidRPr="002B6F0E">
        <w:rPr>
          <w:rFonts w:ascii="Shofar" w:hAnsi="Shofar" w:cs="Shofar"/>
          <w:rtl/>
        </w:rPr>
        <w:t>הקדמה- בביאור חיוב קנס:</w:t>
      </w:r>
    </w:p>
    <w:p w14:paraId="11810BFA" w14:textId="77777777" w:rsidR="00C61BEF" w:rsidRPr="002B6F0E" w:rsidRDefault="004F6459">
      <w:pPr>
        <w:rPr>
          <w:rFonts w:ascii="Shofar" w:hAnsi="Shofar" w:cs="Shofar"/>
        </w:rPr>
      </w:pPr>
      <w:r w:rsidRPr="002B6F0E">
        <w:rPr>
          <w:rFonts w:ascii="Shofar" w:hAnsi="Shofar" w:cs="Shofar"/>
          <w:rtl/>
        </w:rPr>
        <w:t>התורה קנסה</w:t>
      </w:r>
      <w:r w:rsidRPr="002B6F0E">
        <w:rPr>
          <w:rStyle w:val="FootnoteReference"/>
          <w:rFonts w:ascii="Shofar" w:hAnsi="Shofar" w:cs="Shofar"/>
          <w:rtl/>
        </w:rPr>
        <w:footnoteReference w:id="1"/>
      </w:r>
      <w:r w:rsidRPr="002B6F0E">
        <w:rPr>
          <w:rFonts w:ascii="Shofar" w:hAnsi="Shofar" w:cs="Shofar"/>
          <w:rtl/>
        </w:rPr>
        <w:t xml:space="preserve"> למי שמאנס או מפתה נערה</w:t>
      </w:r>
      <w:r w:rsidRPr="002B6F0E">
        <w:rPr>
          <w:rStyle w:val="FootnoteReference"/>
          <w:rFonts w:ascii="Shofar" w:hAnsi="Shofar" w:cs="Shofar"/>
          <w:rtl/>
        </w:rPr>
        <w:footnoteReference w:id="2"/>
      </w:r>
      <w:r w:rsidRPr="002B6F0E">
        <w:rPr>
          <w:rFonts w:ascii="Shofar" w:hAnsi="Shofar" w:cs="Shofar"/>
          <w:rtl/>
        </w:rPr>
        <w:t>, וחייב לו לשלם לאביה חמישים שקל כסף</w:t>
      </w:r>
      <w:r w:rsidRPr="002B6F0E">
        <w:rPr>
          <w:rStyle w:val="FootnoteReference"/>
          <w:rFonts w:ascii="Shofar" w:hAnsi="Shofar" w:cs="Shofar"/>
          <w:rtl/>
        </w:rPr>
        <w:footnoteReference w:id="3"/>
      </w:r>
      <w:r w:rsidRPr="002B6F0E">
        <w:rPr>
          <w:rFonts w:ascii="Shofar" w:hAnsi="Shofar" w:cs="Shofar"/>
          <w:rtl/>
        </w:rPr>
        <w:t>. קנס, בדרך כלל, הוא ממון שצריך לשלם כדי שלא יעשה אותו דבר.</w:t>
      </w:r>
      <w:r w:rsidRPr="002B6F0E">
        <w:rPr>
          <w:rStyle w:val="FootnoteReference"/>
          <w:rFonts w:ascii="Shofar" w:hAnsi="Shofar" w:cs="Shofar"/>
          <w:rtl/>
        </w:rPr>
        <w:footnoteReference w:id="4"/>
      </w:r>
    </w:p>
    <w:p w14:paraId="1EB53836" w14:textId="77777777" w:rsidR="00C61BEF" w:rsidRPr="002B6F0E" w:rsidRDefault="004F6459">
      <w:pPr>
        <w:pStyle w:val="Heading2"/>
        <w:rPr>
          <w:rFonts w:ascii="Shofar" w:hAnsi="Shofar" w:cs="Shofar"/>
        </w:rPr>
      </w:pPr>
      <w:r w:rsidRPr="002B6F0E">
        <w:rPr>
          <w:rFonts w:ascii="Shofar" w:hAnsi="Shofar" w:cs="Shofar"/>
          <w:rtl/>
        </w:rPr>
        <w:lastRenderedPageBreak/>
        <w:t>למה קנסה תורה אותו:</w:t>
      </w:r>
    </w:p>
    <w:p w14:paraId="293A208C" w14:textId="77777777" w:rsidR="00C61BEF" w:rsidRPr="002B6F0E" w:rsidRDefault="004F6459">
      <w:pPr>
        <w:rPr>
          <w:rFonts w:ascii="Shofar" w:hAnsi="Shofar" w:cs="Shofar"/>
        </w:rPr>
      </w:pPr>
      <w:r w:rsidRPr="002B6F0E">
        <w:rPr>
          <w:rFonts w:ascii="Shofar" w:hAnsi="Shofar" w:cs="Shofar"/>
          <w:rtl/>
        </w:rPr>
        <w:t>נמצא שכל זמן שחייב קנס, צריך לומר שעשה דבר רע, דבר שתורה לא רצה שיעשה. צריך לפרש מהו הרע שממנו מרחיק הקנס. (לא מוכרח שקנס של פיתוי וקנס של אונס הם להרחיק מאותו דבר</w:t>
      </w:r>
      <w:r w:rsidRPr="002B6F0E">
        <w:rPr>
          <w:rStyle w:val="FootnoteReference"/>
          <w:rFonts w:ascii="Shofar" w:hAnsi="Shofar" w:cs="Shofar"/>
          <w:rtl/>
        </w:rPr>
        <w:footnoteReference w:id="5"/>
      </w:r>
      <w:r w:rsidRPr="002B6F0E">
        <w:rPr>
          <w:rFonts w:ascii="Shofar" w:hAnsi="Shofar" w:cs="Shofar"/>
          <w:rtl/>
        </w:rPr>
        <w:t>.)</w:t>
      </w:r>
    </w:p>
    <w:p w14:paraId="35FF65CA" w14:textId="77777777" w:rsidR="00C61BEF" w:rsidRPr="002B6F0E" w:rsidRDefault="004F6459">
      <w:pPr>
        <w:pStyle w:val="ListParagraph"/>
        <w:numPr>
          <w:ilvl w:val="0"/>
          <w:numId w:val="1"/>
        </w:numPr>
        <w:rPr>
          <w:rFonts w:ascii="Shofar" w:hAnsi="Shofar" w:cs="Shofar"/>
        </w:rPr>
      </w:pPr>
      <w:r w:rsidRPr="002B6F0E">
        <w:rPr>
          <w:rFonts w:ascii="Shofar" w:hAnsi="Shofar" w:cs="Shofar"/>
          <w:rtl/>
        </w:rPr>
        <w:t>באונס, קל לומר שעושה דבר נגד זכותה. זה אומר שכמו שיש לכל אדם זכות שלא להיות הוזק, יש לאשה זכות שלא להיות איש בא עליה. כמו כן, יש לומר שהוא גורם לה צער, ואסור לעשות וצער לאחר (ואולי לא מחמת זכות שלה, אלא מפני שרע לגרום צער, כמו שרע לגרום צער לכל בעל חי).</w:t>
      </w:r>
    </w:p>
    <w:p w14:paraId="21F0C270" w14:textId="77777777" w:rsidR="00C61BEF" w:rsidRPr="002B6F0E" w:rsidRDefault="004F6459">
      <w:pPr>
        <w:pStyle w:val="ListParagraph"/>
        <w:rPr>
          <w:rFonts w:ascii="Shofar" w:hAnsi="Shofar" w:cs="Shofar"/>
        </w:rPr>
      </w:pPr>
      <w:r w:rsidRPr="002B6F0E">
        <w:rPr>
          <w:rFonts w:ascii="Shofar" w:hAnsi="Shofar" w:cs="Shofar"/>
          <w:rtl/>
        </w:rPr>
        <w:t xml:space="preserve">נראה שאפשר לומר שאף במפתה הוא כן, שאולי עושה לה דבר שיצער אותה, ויעשה לה רע לאחר זמן. אבל, שם קצת קשה, שאף על פי כן, יהיה פטור, שממה שהסכימה להיות נבעלת, נאמר שמחלה על זה מחמת הנאת ביאה (וכמו שאומר גמ' לקמן (לט:, מ.)). (ויש לדון אם יכולה למחול על צער ורע של מחר.) באמת, גמ' משיב על כעין זה (לט:) שאינה שלה, אלא של אביה. (אבל, יש לדון אם זה מכוון לומר שהזכות הוא של אביה, ולכן אין לה יכולת למחול עליו, או שאי אפשר למחול על הסיבה לקנס (אולי זה יותר </w:t>
      </w:r>
      <w:r w:rsidRPr="002B6F0E">
        <w:rPr>
          <w:rFonts w:ascii="Shofar" w:hAnsi="Shofar" w:cs="Shofar"/>
          <w:rtl/>
        </w:rPr>
        <w:lastRenderedPageBreak/>
        <w:t>טוב אם אינו מחמת זכות), ושם מבאר למה לא מחלה על ממון הקנס.)</w:t>
      </w:r>
    </w:p>
    <w:p w14:paraId="2C60042D" w14:textId="77777777" w:rsidR="00C61BEF" w:rsidRPr="002B6F0E" w:rsidRDefault="004F6459">
      <w:pPr>
        <w:pStyle w:val="ListParagraph"/>
        <w:rPr>
          <w:rFonts w:ascii="Shofar" w:hAnsi="Shofar" w:cs="Shofar"/>
        </w:rPr>
      </w:pPr>
      <w:r w:rsidRPr="002B6F0E">
        <w:rPr>
          <w:rFonts w:ascii="Shofar" w:hAnsi="Shofar" w:cs="Shofar"/>
          <w:rtl/>
        </w:rPr>
        <w:t>אבל, לצד זה, לא פשוט למה קנס של אונס ופיתוי שווים, שלכאו', הצער שגרם הוא יותר גדול באונס מבפיתוי.</w:t>
      </w:r>
      <w:r w:rsidRPr="002B6F0E">
        <w:rPr>
          <w:rStyle w:val="FootnoteReference"/>
          <w:rFonts w:ascii="Shofar" w:hAnsi="Shofar" w:cs="Shofar"/>
          <w:rtl/>
        </w:rPr>
        <w:footnoteReference w:id="6"/>
      </w:r>
      <w:r w:rsidRPr="002B6F0E">
        <w:rPr>
          <w:rFonts w:ascii="Shofar" w:hAnsi="Shofar" w:cs="Shofar"/>
          <w:rtl/>
        </w:rPr>
        <w:t xml:space="preserve"> ויש לומר שכיון שמשלם יותר לאונס (שמשלם לצער שלה), אין עוד רע יתירה. לא נראה כן, שיש גם מה שהיא לא רוצה בפגם, והיא נפגמת. ויש לדון. גם יש לומר שכיון שכבר משלם יותר, הרי יש, כמעט, יותר קנס, שמסתמא הממון שחייב לשלם יהיה גם כן קנס. ותחשב. גם יש לומר שאולי הגרמת הרבה צער והגרמת מעט צער הם שווים ברעתם, שרעת שניהם שווה. לא נראה כן מסברה, שמה שהוא רע הוא היות צער, והרי, אז מסתבר שכשיש יותר צער, יש יותר רע. אף אם נחדש שאינו רע שיש צער, אלא הרע הוא שגורם צער (שזה מדביק אותו עם מידת אכזריות או כדומה), לכאו', הגרמת יותר צער יותר עושה מה שרע בהגרמת צער, ואז הוא יותר רע. ותחשב.</w:t>
      </w:r>
    </w:p>
    <w:p w14:paraId="7A8D02BE" w14:textId="77777777" w:rsidR="00C61BEF" w:rsidRPr="002B6F0E" w:rsidRDefault="004F6459">
      <w:pPr>
        <w:pStyle w:val="ListParagraph"/>
        <w:rPr>
          <w:rFonts w:ascii="Shofar" w:hAnsi="Shofar" w:cs="Shofar"/>
        </w:rPr>
      </w:pPr>
      <w:r w:rsidRPr="002B6F0E">
        <w:rPr>
          <w:rFonts w:ascii="Shofar" w:hAnsi="Shofar" w:cs="Shofar"/>
          <w:rtl/>
        </w:rPr>
        <w:t>נראה שאולי הביאור הוא כך: ידוע לכל שהוא רע לפנוי לבוא על פנויה.</w:t>
      </w:r>
      <w:r w:rsidRPr="002B6F0E">
        <w:rPr>
          <w:rStyle w:val="FootnoteReference"/>
          <w:rFonts w:ascii="Shofar" w:hAnsi="Shofar" w:cs="Shofar"/>
          <w:rtl/>
        </w:rPr>
        <w:footnoteReference w:id="7"/>
      </w:r>
      <w:r w:rsidRPr="002B6F0E">
        <w:rPr>
          <w:rFonts w:ascii="Shofar" w:hAnsi="Shofar" w:cs="Shofar"/>
          <w:rtl/>
        </w:rPr>
        <w:t xml:space="preserve"> אז, אם עבר, צריך להיות שתאו תאווה גדולה לבוא עליה. אולי הקנס אינו עושה שאחר שתאוו לא יעבור; זה קשה ביותר. אולי מה שעושה הוא שלא יתאוו, שישמור את עצמו ממה שגורם את התאווה. אולי, אז, שמירה מאונס שווה לשמירה מפיתוי, ששניהם הם שמירה מתאווה. אז, הקנס הוא על מה שלא שמר </w:t>
      </w:r>
      <w:r w:rsidRPr="002B6F0E">
        <w:rPr>
          <w:rFonts w:ascii="Shofar" w:hAnsi="Shofar" w:cs="Shofar"/>
          <w:rtl/>
        </w:rPr>
        <w:lastRenderedPageBreak/>
        <w:t>מתאווה (במילים אחרים, הקנס הוא כדי שישמור מתאווה). אם נניח שאותו תאווה שגורם פיתוי גורם אונס (או ששניהם נמנעים באופן אחד), אז מסתבר ששני הקנסות שווים, ששניהם הוא לגרום שיעשה מעשה שהוא טוב לשני סיבות- הרחק מפיתוי והרחק מאונס. ותחשב.</w:t>
      </w:r>
    </w:p>
    <w:p w14:paraId="0EAF2F68" w14:textId="77777777" w:rsidR="00C61BEF" w:rsidRPr="002B6F0E" w:rsidRDefault="004F6459">
      <w:pPr>
        <w:pStyle w:val="ListParagraph"/>
        <w:numPr>
          <w:ilvl w:val="0"/>
          <w:numId w:val="1"/>
        </w:numPr>
        <w:rPr>
          <w:rFonts w:ascii="Shofar" w:hAnsi="Shofar" w:cs="Shofar"/>
        </w:rPr>
      </w:pPr>
      <w:r w:rsidRPr="002B6F0E">
        <w:rPr>
          <w:rFonts w:ascii="Shofar" w:hAnsi="Shofar" w:cs="Shofar"/>
          <w:rtl/>
        </w:rPr>
        <w:t>לכאו', יש רע פשוט שממנו מרחיק, והוא איסור של פנוי הבא על הפנויה</w:t>
      </w:r>
      <w:r w:rsidRPr="002B6F0E">
        <w:rPr>
          <w:rStyle w:val="FootnoteReference"/>
          <w:rFonts w:ascii="Shofar" w:hAnsi="Shofar" w:cs="Shofar"/>
          <w:rtl/>
        </w:rPr>
        <w:footnoteReference w:id="8"/>
      </w:r>
      <w:r w:rsidRPr="002B6F0E">
        <w:rPr>
          <w:rFonts w:ascii="Shofar" w:hAnsi="Shofar" w:cs="Shofar"/>
          <w:rtl/>
        </w:rPr>
        <w:t>. ואם תאמר, הרי יש ראשונים שסוברים שרק נאסר פנוי הבא על הפנויה מדרבנן. אז, איך שייך שהתורה קנסה על זה. ויש לומר שאף שאין בו איסור מן התורה, יש בו רע שהוא רע ממש (אלא שתורה לא אסרה אותו מחמת הרע).</w:t>
      </w:r>
      <w:r w:rsidRPr="002B6F0E">
        <w:rPr>
          <w:rStyle w:val="FootnoteReference"/>
          <w:rFonts w:ascii="Shofar" w:hAnsi="Shofar" w:cs="Shofar"/>
          <w:rtl/>
        </w:rPr>
        <w:footnoteReference w:id="9"/>
      </w:r>
      <w:r w:rsidRPr="002B6F0E">
        <w:rPr>
          <w:rFonts w:ascii="Shofar" w:hAnsi="Shofar" w:cs="Shofar"/>
          <w:rtl/>
        </w:rPr>
        <w:t xml:space="preserve"> (ואם תאמר, אם רצתה תורה להרחיק בני אדם מביאת פנוי על פנויה, למה רק קנס, ולמה לא אסר את הביאה. ויש לומר שלא רצתה להטריח בני אדם כל כך</w:t>
      </w:r>
      <w:r w:rsidRPr="002B6F0E">
        <w:rPr>
          <w:rStyle w:val="FootnoteReference"/>
          <w:rFonts w:ascii="Shofar" w:hAnsi="Shofar" w:cs="Shofar"/>
          <w:rtl/>
        </w:rPr>
        <w:footnoteReference w:id="10"/>
      </w:r>
      <w:r w:rsidRPr="002B6F0E">
        <w:rPr>
          <w:rFonts w:ascii="Shofar" w:hAnsi="Shofar" w:cs="Shofar"/>
          <w:rtl/>
        </w:rPr>
        <w:t xml:space="preserve">, שהיה קשה להם אם היה ביאת פנוי על הפנויה אסורה לגמרי. אז, עשה שהוא מותר, אלא שחייב לשלם קנס </w:t>
      </w:r>
      <w:r w:rsidRPr="002B6F0E">
        <w:rPr>
          <w:rFonts w:ascii="Shofar" w:hAnsi="Shofar" w:cs="Shofar"/>
          <w:rtl/>
        </w:rPr>
        <w:lastRenderedPageBreak/>
        <w:t>עליו.</w:t>
      </w:r>
      <w:r w:rsidRPr="002B6F0E">
        <w:rPr>
          <w:rStyle w:val="FootnoteReference"/>
          <w:rFonts w:ascii="Shofar" w:hAnsi="Shofar" w:cs="Shofar"/>
          <w:rtl/>
        </w:rPr>
        <w:footnoteReference w:id="11"/>
      </w:r>
      <w:r w:rsidRPr="002B6F0E">
        <w:rPr>
          <w:rFonts w:ascii="Shofar" w:hAnsi="Shofar" w:cs="Shofar"/>
          <w:rtl/>
        </w:rPr>
        <w:t xml:space="preserve">) ויש להעיר שאז ענש (עיין לעיל שדנינו מהו קנס) בלי אזהרה. ותו"ת. </w:t>
      </w:r>
    </w:p>
    <w:p w14:paraId="71BA7056" w14:textId="77777777" w:rsidR="00C61BEF" w:rsidRPr="002B6F0E" w:rsidRDefault="004F6459">
      <w:pPr>
        <w:pStyle w:val="ListParagraph"/>
        <w:rPr>
          <w:rFonts w:ascii="Shofar" w:hAnsi="Shofar" w:cs="Shofar"/>
        </w:rPr>
      </w:pPr>
      <w:r w:rsidRPr="002B6F0E">
        <w:rPr>
          <w:rFonts w:ascii="Shofar" w:hAnsi="Shofar" w:cs="Shofar"/>
          <w:rtl/>
        </w:rPr>
        <w:t>אבל, אז קשה למה האיש המפתה משלם, ששניהם- האיש והאשה- עברו על איסור זה</w:t>
      </w:r>
      <w:r w:rsidRPr="002B6F0E">
        <w:rPr>
          <w:rStyle w:val="FootnoteReference"/>
          <w:rFonts w:ascii="Shofar" w:hAnsi="Shofar" w:cs="Shofar"/>
          <w:rtl/>
        </w:rPr>
        <w:footnoteReference w:id="12"/>
      </w:r>
      <w:r w:rsidRPr="002B6F0E">
        <w:rPr>
          <w:rFonts w:ascii="Shofar" w:hAnsi="Shofar" w:cs="Shofar"/>
          <w:rtl/>
        </w:rPr>
        <w:t>. אפשר שכיון שהיא אינה כל כך גדולה, מניחים שהוא הגורם לאיסור זה. כמו כן, יש לומר שאף אם אינו גורם ביותר, הוא יותר אחראי למעשיו, כיון שהוא  יותר גדול.</w:t>
      </w:r>
      <w:r w:rsidRPr="002B6F0E">
        <w:rPr>
          <w:rStyle w:val="FootnoteReference"/>
          <w:rFonts w:ascii="Shofar" w:hAnsi="Shofar" w:cs="Shofar"/>
          <w:rtl/>
        </w:rPr>
        <w:footnoteReference w:id="13"/>
      </w:r>
      <w:r w:rsidRPr="002B6F0E">
        <w:rPr>
          <w:rFonts w:ascii="Shofar" w:hAnsi="Shofar" w:cs="Shofar"/>
          <w:rtl/>
        </w:rPr>
        <w:t xml:space="preserve"> גם יש לומר שבדרך כלל, האיש יותר אחראי לזה, שבדרך כלל הוא המפתה את האשה, ואין האשה מפתה אותו.</w:t>
      </w:r>
      <w:r w:rsidRPr="002B6F0E">
        <w:rPr>
          <w:rStyle w:val="FootnoteReference"/>
          <w:rFonts w:ascii="Shofar" w:hAnsi="Shofar" w:cs="Shofar"/>
          <w:rtl/>
        </w:rPr>
        <w:footnoteReference w:id="14"/>
      </w:r>
      <w:r w:rsidRPr="002B6F0E">
        <w:rPr>
          <w:rFonts w:ascii="Shofar" w:hAnsi="Shofar" w:cs="Shofar"/>
          <w:rtl/>
        </w:rPr>
        <w:t xml:space="preserve"> גם יש לומר שחיוב עליו לשלם יותר יגרום שלא יבעל מחיוב עלה. </w:t>
      </w:r>
      <w:r w:rsidRPr="002B6F0E">
        <w:rPr>
          <w:rFonts w:ascii="Shofar" w:hAnsi="Shofar" w:cs="Shofar"/>
          <w:rtl/>
        </w:rPr>
        <w:lastRenderedPageBreak/>
        <w:t>ותחשב. (גי"ל שמניחים שיותר קל לו לשלם. אז, כיון שלא רצתה תורה להטריח כל כך, חייב אותו. לא נראה כן, שאז היה לו לחייב לה, ולחייב מנין יותר קטן. ויש לדון, שאולי רצה שהמקבל יקבל יותר, שנמצא שנהנה ביותר. ותחשב.) ועדיין קצת מוזר איך יהיה שתורה תתן, לפעמים, קנס פיתוי לה, כיון שזה גורם שתרצה לעבור על מה שהוא אסור לה.</w:t>
      </w:r>
      <w:r w:rsidRPr="002B6F0E">
        <w:rPr>
          <w:rStyle w:val="FootnoteReference"/>
          <w:rFonts w:ascii="Shofar" w:hAnsi="Shofar" w:cs="Shofar"/>
          <w:rtl/>
        </w:rPr>
        <w:footnoteReference w:id="15"/>
      </w:r>
    </w:p>
    <w:p w14:paraId="18747EFE" w14:textId="77777777" w:rsidR="00C61BEF" w:rsidRPr="002B6F0E" w:rsidRDefault="004F6459">
      <w:pPr>
        <w:pStyle w:val="ListParagraph"/>
        <w:numPr>
          <w:ilvl w:val="0"/>
          <w:numId w:val="1"/>
        </w:numPr>
        <w:rPr>
          <w:rFonts w:ascii="Shofar" w:hAnsi="Shofar" w:cs="Shofar"/>
        </w:rPr>
      </w:pPr>
      <w:r w:rsidRPr="002B6F0E">
        <w:rPr>
          <w:rFonts w:ascii="Shofar" w:hAnsi="Shofar" w:cs="Shofar"/>
          <w:rtl/>
        </w:rPr>
        <w:t>אולי חוששים שירגיל אותה לביאה.</w:t>
      </w:r>
      <w:r w:rsidRPr="002B6F0E">
        <w:rPr>
          <w:rStyle w:val="FootnoteReference"/>
          <w:rFonts w:ascii="Shofar" w:hAnsi="Shofar" w:cs="Shofar"/>
          <w:rtl/>
        </w:rPr>
        <w:footnoteReference w:id="16"/>
      </w:r>
      <w:r w:rsidRPr="002B6F0E">
        <w:rPr>
          <w:rFonts w:ascii="Shofar" w:hAnsi="Shofar" w:cs="Shofar"/>
          <w:rtl/>
        </w:rPr>
        <w:t xml:space="preserve"> אף אם פנוי הבא על הפנויה לא נאסר מדאו', אולי אז תרבה בזנות עד שתהיה הפקירה לכל (ומסתבר שזה רע, כמו שנבאר לקמן), ואולי תזנה באופן שאסור מן התורה. </w:t>
      </w:r>
    </w:p>
    <w:p w14:paraId="4838918B" w14:textId="77777777" w:rsidR="00C61BEF" w:rsidRPr="002B6F0E" w:rsidRDefault="004F6459">
      <w:pPr>
        <w:pStyle w:val="ListParagraph"/>
        <w:rPr>
          <w:rFonts w:ascii="Shofar" w:hAnsi="Shofar" w:cs="Shofar"/>
        </w:rPr>
      </w:pPr>
      <w:r w:rsidRPr="002B6F0E">
        <w:rPr>
          <w:rFonts w:ascii="Shofar" w:hAnsi="Shofar" w:cs="Shofar"/>
          <w:rtl/>
        </w:rPr>
        <w:t>נראה שיש חשש יותר גדול גבי פיתוי, שכיון שעברה מדעתה, יותר מסתבר שתעבור עוד. אבל, לאידך גיסא, רואים שהיא כבר היתה עלילה לעבור, שהיר נתפתתה, משא"כ באונס, שאין רואים שהיתה עלילה לעבור. אז, בין הכל, יש לומר שהם שווים. ותחשב.</w:t>
      </w:r>
    </w:p>
    <w:p w14:paraId="3D344EF9" w14:textId="77777777" w:rsidR="00C61BEF" w:rsidRPr="002B6F0E" w:rsidRDefault="004F6459">
      <w:pPr>
        <w:pStyle w:val="ListParagraph"/>
        <w:rPr>
          <w:rFonts w:ascii="Shofar" w:hAnsi="Shofar" w:cs="Shofar"/>
        </w:rPr>
      </w:pPr>
      <w:r w:rsidRPr="002B6F0E">
        <w:rPr>
          <w:rFonts w:ascii="Shofar" w:hAnsi="Shofar" w:cs="Shofar"/>
          <w:rtl/>
        </w:rPr>
        <w:t xml:space="preserve">הרע של הרגל ביאה יכול להיות רק צירוף של כמה ביאות אסורות, אבל אולי יש דבר שהוא יותר גרוע במה שעולם מלא זימה. אולי זה מפני שגמ' אומר שהעולם נידון בתר רובו, ונמצא </w:t>
      </w:r>
      <w:r w:rsidRPr="002B6F0E">
        <w:rPr>
          <w:rFonts w:ascii="Shofar" w:hAnsi="Shofar" w:cs="Shofar"/>
          <w:rtl/>
        </w:rPr>
        <w:lastRenderedPageBreak/>
        <w:t>שאולי גורם שעולם ייחרב. גם אפשר שקשה לבני אדם לדור באופן שגורם לעשיית מצוות. ותחשב.</w:t>
      </w:r>
    </w:p>
    <w:p w14:paraId="1AC67941" w14:textId="77777777" w:rsidR="00C61BEF" w:rsidRPr="002B6F0E" w:rsidRDefault="004F6459">
      <w:pPr>
        <w:rPr>
          <w:rFonts w:ascii="Shofar" w:hAnsi="Shofar" w:cs="Shofar"/>
        </w:rPr>
      </w:pPr>
      <w:r w:rsidRPr="002B6F0E">
        <w:rPr>
          <w:rFonts w:ascii="Shofar" w:hAnsi="Shofar" w:cs="Shofar"/>
          <w:rtl/>
        </w:rPr>
        <w:t xml:space="preserve">כמובן, גם יכול להיות צירוף מכמה מאלו. ותו"ת. </w:t>
      </w:r>
    </w:p>
    <w:p w14:paraId="4B268170" w14:textId="77777777" w:rsidR="00C61BEF" w:rsidRPr="002B6F0E" w:rsidRDefault="004F6459">
      <w:pPr>
        <w:pStyle w:val="Heading2"/>
        <w:rPr>
          <w:rFonts w:ascii="Shofar" w:hAnsi="Shofar" w:cs="Shofar"/>
        </w:rPr>
      </w:pPr>
      <w:r w:rsidRPr="002B6F0E">
        <w:rPr>
          <w:rFonts w:ascii="Shofar" w:hAnsi="Shofar" w:cs="Shofar"/>
          <w:rtl/>
        </w:rPr>
        <w:t>למה הקנס הוא רק בנערה:</w:t>
      </w:r>
    </w:p>
    <w:p w14:paraId="1F4082D3" w14:textId="77777777" w:rsidR="00C61BEF" w:rsidRPr="002B6F0E" w:rsidRDefault="004F6459">
      <w:pPr>
        <w:pStyle w:val="Heading3"/>
        <w:rPr>
          <w:rFonts w:ascii="Shofar" w:hAnsi="Shofar" w:cs="Shofar"/>
        </w:rPr>
      </w:pPr>
      <w:r w:rsidRPr="002B6F0E">
        <w:rPr>
          <w:rFonts w:ascii="Shofar" w:hAnsi="Shofar" w:cs="Shofar"/>
          <w:rtl/>
        </w:rPr>
        <w:t>למה אין קנס בבוגרת:</w:t>
      </w:r>
    </w:p>
    <w:p w14:paraId="08E7AA07" w14:textId="77777777" w:rsidR="00C61BEF" w:rsidRPr="002B6F0E" w:rsidRDefault="004F6459">
      <w:pPr>
        <w:rPr>
          <w:rFonts w:ascii="Shofar" w:hAnsi="Shofar" w:cs="Shofar"/>
        </w:rPr>
      </w:pPr>
      <w:r w:rsidRPr="002B6F0E">
        <w:rPr>
          <w:rFonts w:ascii="Shofar" w:hAnsi="Shofar" w:cs="Shofar"/>
          <w:rtl/>
        </w:rPr>
        <w:t>אם אדם מאנס או מפתה את הבוגרת, אינו חייב קנס של חמישים שקל. לכאו', זה נלמד מפשטות הפסוק, שקרא רק מחייב "נערה," שהוא מילה שמשמע קטנה (אלא שאולי יש מיעוט אחר על קטנה) ונערה</w:t>
      </w:r>
      <w:r w:rsidRPr="002B6F0E">
        <w:rPr>
          <w:rStyle w:val="FootnoteReference"/>
          <w:rFonts w:ascii="Shofar" w:hAnsi="Shofar" w:cs="Shofar"/>
          <w:rtl/>
        </w:rPr>
        <w:footnoteReference w:id="17"/>
      </w:r>
      <w:r w:rsidRPr="002B6F0E">
        <w:rPr>
          <w:rFonts w:ascii="Shofar" w:hAnsi="Shofar" w:cs="Shofar"/>
          <w:rtl/>
        </w:rPr>
        <w:t xml:space="preserve">. </w:t>
      </w:r>
    </w:p>
    <w:p w14:paraId="3A728C0F" w14:textId="77777777" w:rsidR="00C61BEF" w:rsidRPr="002B6F0E" w:rsidRDefault="004F6459">
      <w:pPr>
        <w:rPr>
          <w:rFonts w:ascii="Shofar" w:hAnsi="Shofar" w:cs="Shofar"/>
        </w:rPr>
      </w:pPr>
      <w:r w:rsidRPr="002B6F0E">
        <w:rPr>
          <w:rFonts w:ascii="Shofar" w:hAnsi="Shofar" w:cs="Shofar"/>
          <w:rtl/>
        </w:rPr>
        <w:t>יש לדון למה קנס זה רק בנערה, ולא בבוגרת</w:t>
      </w:r>
      <w:r w:rsidRPr="002B6F0E">
        <w:rPr>
          <w:rStyle w:val="FootnoteReference"/>
          <w:rFonts w:ascii="Shofar" w:hAnsi="Shofar" w:cs="Shofar"/>
          <w:rtl/>
        </w:rPr>
        <w:footnoteReference w:id="18"/>
      </w:r>
      <w:r w:rsidRPr="002B6F0E">
        <w:rPr>
          <w:rFonts w:ascii="Shofar" w:hAnsi="Shofar" w:cs="Shofar"/>
          <w:rtl/>
        </w:rPr>
        <w:t>.</w:t>
      </w:r>
    </w:p>
    <w:p w14:paraId="5773FA28" w14:textId="77777777" w:rsidR="00C61BEF" w:rsidRPr="002B6F0E" w:rsidRDefault="004F6459">
      <w:pPr>
        <w:pStyle w:val="ListParagraph"/>
        <w:numPr>
          <w:ilvl w:val="0"/>
          <w:numId w:val="2"/>
        </w:numPr>
        <w:rPr>
          <w:rFonts w:ascii="Shofar" w:hAnsi="Shofar" w:cs="Shofar"/>
        </w:rPr>
      </w:pPr>
      <w:r w:rsidRPr="002B6F0E">
        <w:rPr>
          <w:rFonts w:ascii="Shofar" w:hAnsi="Shofar" w:cs="Shofar"/>
          <w:rtl/>
        </w:rPr>
        <w:t>אפשר שאין אדם תאוו כל כך לבוגרת. (אולי זה מפני שאינה כל כך בתולה</w:t>
      </w:r>
      <w:r w:rsidRPr="002B6F0E">
        <w:rPr>
          <w:rStyle w:val="FootnoteReference"/>
          <w:rFonts w:ascii="Shofar" w:hAnsi="Shofar" w:cs="Shofar"/>
          <w:rtl/>
        </w:rPr>
        <w:footnoteReference w:id="19"/>
      </w:r>
      <w:r w:rsidRPr="002B6F0E">
        <w:rPr>
          <w:rFonts w:ascii="Shofar" w:hAnsi="Shofar" w:cs="Shofar"/>
          <w:rtl/>
        </w:rPr>
        <w:t xml:space="preserve">, ואולי זה מפני שאינה כל כך יפה.) כיון שלא מצוי כל כך, אין צורך לקנס עליו. (ע’ בגמ’ בגיטין (נג.) שאומר סברה כזה </w:t>
      </w:r>
      <w:r w:rsidRPr="002B6F0E">
        <w:rPr>
          <w:rFonts w:ascii="Shofar" w:hAnsi="Shofar" w:cs="Shofar"/>
          <w:rtl/>
        </w:rPr>
        <w:lastRenderedPageBreak/>
        <w:t>לסיבה שלא לקנס. אבל, שם רק אומר אותו בהו“א, ואפשר שאינו אמת במסקנא.)</w:t>
      </w:r>
    </w:p>
    <w:p w14:paraId="1750C127" w14:textId="77777777" w:rsidR="00C61BEF" w:rsidRPr="002B6F0E" w:rsidRDefault="004F6459">
      <w:pPr>
        <w:pStyle w:val="ListParagraph"/>
        <w:rPr>
          <w:rFonts w:ascii="Shofar" w:hAnsi="Shofar" w:cs="Shofar"/>
        </w:rPr>
      </w:pPr>
      <w:r w:rsidRPr="002B6F0E">
        <w:rPr>
          <w:rFonts w:ascii="Shofar" w:hAnsi="Shofar" w:cs="Shofar"/>
          <w:rtl/>
        </w:rPr>
        <w:t>כן היה נראה לומר בהשקפה ראשונה, אבל לא נראה למה הוא אמת. לכאו', קשה להבין למה מה שדבר לא מצוי גורם שלא נקנס עליו. לכאו', זה רק עושה שטובת הקנס יותר מעט. אבל, יש עוד טובה שבא מן הקנס, ומחמתו, עוד יעשה תורה את הקנס. במילים אחרים, כיון שאין שום דבר שידחה את הקנס, למה לא ייעשה אף על טובה קטנה. אם תאמר שיש דבר שדוחה קנס, והוא צער של מי שחייב לשלם, אדחה מה שאמרת, ואגיד לך שטורח והפסד זה הוא שווה בין אם הוא מצוי ולא מצוי, שלעולם רק קונסים למי שעבר. אם הוא טוב שהרבה אנשים יחסרו כדי שלא יעברו, גם יהיה טוב שמעט בני אדם יחסרו כדי שלא יעברו.</w:t>
      </w:r>
      <w:r w:rsidRPr="002B6F0E">
        <w:rPr>
          <w:rStyle w:val="FootnoteReference"/>
          <w:rFonts w:ascii="Shofar" w:hAnsi="Shofar" w:cs="Shofar"/>
          <w:rtl/>
        </w:rPr>
        <w:footnoteReference w:id="20"/>
      </w:r>
      <w:r w:rsidRPr="002B6F0E">
        <w:rPr>
          <w:rStyle w:val="FootnoteReference"/>
          <w:rFonts w:ascii="Shofar" w:hAnsi="Shofar" w:cs="Shofar"/>
          <w:rtl/>
        </w:rPr>
        <w:footnoteReference w:id="21"/>
      </w:r>
    </w:p>
    <w:p w14:paraId="100EA8DF" w14:textId="77777777" w:rsidR="00C61BEF" w:rsidRPr="002B6F0E" w:rsidRDefault="004F6459">
      <w:pPr>
        <w:pStyle w:val="ListParagraph"/>
        <w:numPr>
          <w:ilvl w:val="0"/>
          <w:numId w:val="2"/>
        </w:numPr>
        <w:rPr>
          <w:rFonts w:ascii="Shofar" w:hAnsi="Shofar" w:cs="Shofar"/>
        </w:rPr>
      </w:pPr>
      <w:r w:rsidRPr="002B6F0E">
        <w:rPr>
          <w:rFonts w:ascii="Shofar" w:hAnsi="Shofar" w:cs="Shofar"/>
          <w:rtl/>
        </w:rPr>
        <w:t xml:space="preserve">כמו כן, נוכל לומר שאינו כל כך קל לאנס או לפתה בוגרת. אז, אינו כל כך מצוי, ואז לא קנסה תורה עליו. </w:t>
      </w:r>
    </w:p>
    <w:p w14:paraId="1D71333A" w14:textId="77777777" w:rsidR="00C61BEF" w:rsidRPr="002B6F0E" w:rsidRDefault="004F6459">
      <w:pPr>
        <w:pStyle w:val="ListParagraph"/>
        <w:rPr>
          <w:rFonts w:ascii="Shofar" w:hAnsi="Shofar" w:cs="Shofar"/>
        </w:rPr>
      </w:pPr>
      <w:r w:rsidRPr="002B6F0E">
        <w:rPr>
          <w:rFonts w:ascii="Shofar" w:hAnsi="Shofar" w:cs="Shofar"/>
          <w:rtl/>
        </w:rPr>
        <w:lastRenderedPageBreak/>
        <w:t>יש לדון, לצד זה, במה שדנינו בצד ראשון.</w:t>
      </w:r>
    </w:p>
    <w:p w14:paraId="1AC70519" w14:textId="77777777" w:rsidR="00C61BEF" w:rsidRPr="002B6F0E" w:rsidRDefault="004F6459">
      <w:pPr>
        <w:pStyle w:val="ListParagraph"/>
        <w:numPr>
          <w:ilvl w:val="0"/>
          <w:numId w:val="2"/>
        </w:numPr>
        <w:rPr>
          <w:rFonts w:ascii="Shofar" w:hAnsi="Shofar" w:cs="Shofar"/>
        </w:rPr>
      </w:pPr>
      <w:r w:rsidRPr="002B6F0E">
        <w:rPr>
          <w:rFonts w:ascii="Shofar" w:hAnsi="Shofar" w:cs="Shofar"/>
          <w:rtl/>
        </w:rPr>
        <w:t>כמו כן, יש לומר שלא חוששים כל כך שיעשה כן לבוגרת, שאם יתאוו לה, ישא אותה. אבל, אולי יותר קשה לישא נערה (שהיא עוד בבית אביה, ועוד שאולי תשתנה אחר שגדלה, ולא רוצה כ"כ לישא אותה).</w:t>
      </w:r>
    </w:p>
    <w:p w14:paraId="601B5F6E" w14:textId="77777777" w:rsidR="00C61BEF" w:rsidRPr="002B6F0E" w:rsidRDefault="004F6459">
      <w:pPr>
        <w:rPr>
          <w:rFonts w:ascii="Shofar" w:hAnsi="Shofar" w:cs="Shofar"/>
        </w:rPr>
      </w:pPr>
      <w:r w:rsidRPr="002B6F0E">
        <w:rPr>
          <w:rFonts w:ascii="Shofar" w:hAnsi="Shofar" w:cs="Shofar"/>
          <w:rtl/>
        </w:rPr>
        <w:t>יש קצת סמך למציאות של צדדים אלו, והוא מה ששומעים על הרבה טשייל"ד מולאסט"רים, אבל לא על הרבה גדול מולאסט"רים. ויש לדון, שאולי זה רק מפני שאסור על פי חוק של כמעט כל מדינה לעשות כן לקטן, ואז שומעים עליו יותר (או שאז "מים גנובים ימתקו" ביותר(.</w:t>
      </w:r>
    </w:p>
    <w:p w14:paraId="1528E684" w14:textId="77777777" w:rsidR="00C61BEF" w:rsidRPr="002B6F0E" w:rsidRDefault="004F6459">
      <w:pPr>
        <w:pStyle w:val="ListParagraph"/>
        <w:numPr>
          <w:ilvl w:val="0"/>
          <w:numId w:val="2"/>
        </w:numPr>
        <w:rPr>
          <w:rFonts w:ascii="Shofar" w:hAnsi="Shofar" w:cs="Shofar"/>
        </w:rPr>
      </w:pPr>
      <w:r w:rsidRPr="002B6F0E">
        <w:rPr>
          <w:rFonts w:ascii="Shofar" w:hAnsi="Shofar" w:cs="Shofar"/>
          <w:rtl/>
        </w:rPr>
        <w:t xml:space="preserve">על פי מה שכתבנו לעיל לבאר למה הוא החייב, יש לומר שכשהיא גדולה, הגרמת שניהם שווים. אולי, אז, חיוב זה נדחה מחיוב זו, וחיוב זו נדחה מחיוב זה. (ויש לדון למה לא חייבים ממון לצדקה או כדו'.) </w:t>
      </w:r>
    </w:p>
    <w:p w14:paraId="5D200A7A" w14:textId="77777777" w:rsidR="00C61BEF" w:rsidRPr="002B6F0E" w:rsidRDefault="004F6459">
      <w:pPr>
        <w:pStyle w:val="ListParagraph"/>
        <w:rPr>
          <w:rFonts w:ascii="Shofar" w:hAnsi="Shofar" w:cs="Shofar"/>
        </w:rPr>
      </w:pPr>
      <w:r w:rsidRPr="002B6F0E">
        <w:rPr>
          <w:rFonts w:ascii="Shofar" w:hAnsi="Shofar" w:cs="Shofar"/>
          <w:rtl/>
        </w:rPr>
        <w:t>יותר קשה לומר כן באונס. (אולי צריכים לומר שהרע הוא שתאוו, כמו שכתבנו לעיל, וחוששים שגרמה לאותה תאווה כמו שהוא גרם. ותחשב.(</w:t>
      </w:r>
      <w:r w:rsidRPr="002B6F0E">
        <w:rPr>
          <w:rStyle w:val="FootnoteReference"/>
          <w:rFonts w:ascii="Shofar" w:hAnsi="Shofar" w:cs="Shofar"/>
          <w:rtl/>
        </w:rPr>
        <w:footnoteReference w:id="22"/>
      </w:r>
    </w:p>
    <w:p w14:paraId="313ED0D3" w14:textId="77777777" w:rsidR="00C61BEF" w:rsidRPr="002B6F0E" w:rsidRDefault="004F6459">
      <w:pPr>
        <w:pStyle w:val="ListParagraph"/>
        <w:numPr>
          <w:ilvl w:val="0"/>
          <w:numId w:val="2"/>
        </w:numPr>
        <w:rPr>
          <w:rFonts w:ascii="Shofar" w:hAnsi="Shofar" w:cs="Shofar"/>
        </w:rPr>
      </w:pPr>
      <w:r w:rsidRPr="002B6F0E">
        <w:rPr>
          <w:rFonts w:ascii="Shofar" w:hAnsi="Shofar" w:cs="Shofar"/>
          <w:rtl/>
        </w:rPr>
        <w:lastRenderedPageBreak/>
        <w:t>אפשר שאין מי ליתן לו, שאינו נותן לאב, שאינה ברשות אביה, ואינו נותן לה, שאז חוטא נשכר. (צריך לומר, אז, שאף אנוסה נחשבת חוטא לענין דין זה.</w:t>
      </w:r>
      <w:r w:rsidRPr="002B6F0E">
        <w:rPr>
          <w:rStyle w:val="FootnoteReference"/>
          <w:rFonts w:ascii="Shofar" w:hAnsi="Shofar" w:cs="Shofar"/>
          <w:rtl/>
        </w:rPr>
        <w:footnoteReference w:id="23"/>
      </w:r>
      <w:r w:rsidRPr="002B6F0E">
        <w:rPr>
          <w:rFonts w:ascii="Shofar" w:hAnsi="Shofar" w:cs="Shofar"/>
          <w:rtl/>
        </w:rPr>
        <w:t xml:space="preserve">) </w:t>
      </w:r>
    </w:p>
    <w:p w14:paraId="51DDF4B6" w14:textId="77777777" w:rsidR="00C61BEF" w:rsidRPr="002B6F0E" w:rsidRDefault="004F6459">
      <w:pPr>
        <w:pStyle w:val="ListParagraph"/>
        <w:rPr>
          <w:rFonts w:ascii="Shofar" w:hAnsi="Shofar" w:cs="Shofar"/>
        </w:rPr>
      </w:pPr>
      <w:r w:rsidRPr="002B6F0E">
        <w:rPr>
          <w:rFonts w:ascii="Shofar" w:hAnsi="Shofar" w:cs="Shofar"/>
          <w:rtl/>
        </w:rPr>
        <w:t>ואם תאמר, הרי מצאנו ציורים שבו נותן לה. ויש לומר ששם הוא לא פלוג. אבל, בוגרת היא חלוקה מנערה (או במציאות שלה או בדינים שלה) עד שאין סיבה לעשות דין לא פלוג. גם יש לומר ששם בעיקר החיוב הוא לאביה, אלא שכיון שאינו שם, החיוב הולך לה. אבל, כאן, היה החיוב בעיקר לה. יש שני חידושים בזה. החידוש הרשאון הוא דבר פשוט- ששם עיקר החיוב לאביה, וכאן עיקר החיוב לה. צריך לפרש למה, מהיכי תיתי, וגם מה זה אומר. החידוש השני הוא שזה מחלק. ותחשב.</w:t>
      </w:r>
    </w:p>
    <w:p w14:paraId="4B01BD96" w14:textId="77777777" w:rsidR="00C61BEF" w:rsidRPr="002B6F0E" w:rsidRDefault="004F6459">
      <w:pPr>
        <w:rPr>
          <w:rFonts w:ascii="Shofar" w:hAnsi="Shofar" w:cs="Shofar"/>
        </w:rPr>
      </w:pPr>
      <w:r w:rsidRPr="002B6F0E">
        <w:rPr>
          <w:rFonts w:ascii="Shofar" w:hAnsi="Shofar" w:cs="Shofar"/>
          <w:rtl/>
        </w:rPr>
        <w:t>צדדים אלו יכולים להיות בין לצד שקונסים מחמת ביאה שבעל ובין לצד שקונסים מחמת שלא עצר את עצמו מלבוא לידי תאווה (שאין תאווה כזה כל כך רע, שבדרך כלל לא גורם לביאה רעה).</w:t>
      </w:r>
      <w:r w:rsidRPr="002B6F0E">
        <w:rPr>
          <w:rStyle w:val="FootnoteReference"/>
          <w:rFonts w:ascii="Shofar" w:hAnsi="Shofar" w:cs="Shofar"/>
          <w:rtl/>
        </w:rPr>
        <w:footnoteReference w:id="24"/>
      </w:r>
    </w:p>
    <w:p w14:paraId="1CD30AAC" w14:textId="77777777" w:rsidR="00C61BEF" w:rsidRPr="002B6F0E" w:rsidRDefault="004F6459">
      <w:pPr>
        <w:pStyle w:val="Heading3"/>
        <w:rPr>
          <w:rFonts w:ascii="Shofar" w:hAnsi="Shofar" w:cs="Shofar"/>
        </w:rPr>
      </w:pPr>
      <w:r w:rsidRPr="002B6F0E">
        <w:rPr>
          <w:rFonts w:ascii="Shofar" w:hAnsi="Shofar" w:cs="Shofar"/>
          <w:rtl/>
        </w:rPr>
        <w:lastRenderedPageBreak/>
        <w:t>למה אין קנס בקטנה:</w:t>
      </w:r>
    </w:p>
    <w:p w14:paraId="674D2087" w14:textId="77777777" w:rsidR="00C61BEF" w:rsidRPr="002B6F0E" w:rsidRDefault="004F6459">
      <w:pPr>
        <w:rPr>
          <w:rFonts w:ascii="Shofar" w:hAnsi="Shofar" w:cs="Shofar"/>
        </w:rPr>
      </w:pPr>
      <w:r w:rsidRPr="002B6F0E">
        <w:rPr>
          <w:rFonts w:ascii="Shofar" w:hAnsi="Shofar" w:cs="Shofar"/>
          <w:rtl/>
        </w:rPr>
        <w:t>חולקים רבנן ורבי מאיר (מ:) אם מי שבא על קטנה חייב קנס או פטור מקנס. רבנן סוברים שחייב קנס, כיון שמילת "נערה," שכתוב מלא, מרבה קטנה.</w:t>
      </w:r>
      <w:r w:rsidRPr="002B6F0E">
        <w:rPr>
          <w:rStyle w:val="FootnoteReference"/>
          <w:rFonts w:ascii="Shofar" w:hAnsi="Shofar" w:cs="Shofar"/>
          <w:rtl/>
        </w:rPr>
        <w:footnoteReference w:id="25"/>
      </w:r>
      <w:r w:rsidRPr="002B6F0E">
        <w:rPr>
          <w:rFonts w:ascii="Shofar" w:hAnsi="Shofar" w:cs="Shofar"/>
          <w:rtl/>
        </w:rPr>
        <w:t xml:space="preserve"> רבי מאיר סובר שפטור מקנס, כיון שכ', "ולו תהיה." לשון "תהיה" משמע</w:t>
      </w:r>
      <w:r w:rsidRPr="002B6F0E">
        <w:rPr>
          <w:rStyle w:val="FootnoteReference"/>
          <w:rFonts w:ascii="Shofar" w:hAnsi="Shofar" w:cs="Shofar"/>
          <w:rtl/>
        </w:rPr>
        <w:footnoteReference w:id="26"/>
      </w:r>
      <w:r w:rsidRPr="002B6F0E">
        <w:rPr>
          <w:rFonts w:ascii="Shofar" w:hAnsi="Shofar" w:cs="Shofar"/>
          <w:rtl/>
        </w:rPr>
        <w:t xml:space="preserve"> שדנים במי שיכולה לעשות לעצמה קידושין. מניחים שכל אשה שיש לה דין קנס צריכה להיות כן. זה ממעט קטנה.</w:t>
      </w:r>
      <w:r w:rsidRPr="002B6F0E">
        <w:rPr>
          <w:rStyle w:val="FootnoteReference"/>
          <w:rFonts w:ascii="Shofar" w:hAnsi="Shofar" w:cs="Shofar"/>
          <w:rtl/>
        </w:rPr>
        <w:footnoteReference w:id="27"/>
      </w:r>
    </w:p>
    <w:p w14:paraId="14E5D627" w14:textId="77777777" w:rsidR="00C61BEF" w:rsidRPr="002B6F0E" w:rsidRDefault="004F6459">
      <w:pPr>
        <w:rPr>
          <w:rFonts w:ascii="Shofar" w:hAnsi="Shofar" w:cs="Shofar"/>
        </w:rPr>
      </w:pPr>
      <w:r w:rsidRPr="002B6F0E">
        <w:rPr>
          <w:rFonts w:ascii="Shofar" w:hAnsi="Shofar" w:cs="Shofar"/>
          <w:rtl/>
        </w:rPr>
        <w:t>אז, צריך לפרש למה לא יהיה קנס לקטנה:</w:t>
      </w:r>
    </w:p>
    <w:p w14:paraId="50555A5A" w14:textId="77777777" w:rsidR="00C61BEF" w:rsidRPr="002B6F0E" w:rsidRDefault="004F6459">
      <w:pPr>
        <w:pStyle w:val="ListParagraph"/>
        <w:numPr>
          <w:ilvl w:val="0"/>
          <w:numId w:val="3"/>
        </w:numPr>
        <w:rPr>
          <w:rFonts w:ascii="Shofar" w:hAnsi="Shofar" w:cs="Shofar"/>
        </w:rPr>
      </w:pPr>
      <w:r w:rsidRPr="002B6F0E">
        <w:rPr>
          <w:rFonts w:ascii="Shofar" w:hAnsi="Shofar" w:cs="Shofar"/>
          <w:rtl/>
        </w:rPr>
        <w:t>כעין צד ראשון שכתבנו לעיל, יש לומר שאין בני אדם מתאווים כל כך לבוא על קטנה. אז, אין צורך לקנס.</w:t>
      </w:r>
    </w:p>
    <w:p w14:paraId="757813C5" w14:textId="77777777" w:rsidR="00C61BEF" w:rsidRPr="002B6F0E" w:rsidRDefault="004F6459">
      <w:pPr>
        <w:pStyle w:val="ListParagraph"/>
        <w:numPr>
          <w:ilvl w:val="0"/>
          <w:numId w:val="3"/>
        </w:numPr>
        <w:rPr>
          <w:rFonts w:ascii="Shofar" w:hAnsi="Shofar" w:cs="Shofar"/>
        </w:rPr>
      </w:pPr>
      <w:r w:rsidRPr="002B6F0E">
        <w:rPr>
          <w:rFonts w:ascii="Shofar" w:hAnsi="Shofar" w:cs="Shofar"/>
          <w:rtl/>
        </w:rPr>
        <w:lastRenderedPageBreak/>
        <w:t>כעין צד שני שכתבנו לעיל, יש לומר שאב שומר ביותר על קטנה (מסתמא מפני שהיא לא יכולה לשמור כלל על עצמה, וגם מפני שהיא לא מקפדת כשאב שומר עליה). אז, קשה לאנס או לפתה קטנה.</w:t>
      </w:r>
    </w:p>
    <w:p w14:paraId="1A9B6E0C" w14:textId="77777777" w:rsidR="00C61BEF" w:rsidRPr="002B6F0E" w:rsidRDefault="004F6459">
      <w:pPr>
        <w:pStyle w:val="ListParagraph"/>
        <w:numPr>
          <w:ilvl w:val="0"/>
          <w:numId w:val="3"/>
        </w:numPr>
        <w:rPr>
          <w:rFonts w:ascii="Shofar" w:hAnsi="Shofar" w:cs="Shofar"/>
        </w:rPr>
      </w:pPr>
      <w:r w:rsidRPr="002B6F0E">
        <w:rPr>
          <w:rFonts w:ascii="Shofar" w:hAnsi="Shofar" w:cs="Shofar"/>
          <w:rtl/>
        </w:rPr>
        <w:t>כמו כן, יש לומר שקטנה עצמה לא רוצה ביאה כלל (שאינה בת תאווה). אז, לא יכול לפתות אותה. ואם תאמר זה מבאר למה לא חייב על פיתוי, אבל עדיין יחייב על אונס. ויש לומר שאף באונס, כיון שנערה קצת נהנה מן הביאה, יותר קל לאנס אותה. אז, יהיה יותר קשה לאנס קטנה מלארס נערה.</w:t>
      </w:r>
    </w:p>
    <w:p w14:paraId="57D9710A" w14:textId="77777777" w:rsidR="00C61BEF" w:rsidRPr="002B6F0E" w:rsidRDefault="004F6459">
      <w:pPr>
        <w:pStyle w:val="ListParagraph"/>
        <w:numPr>
          <w:ilvl w:val="0"/>
          <w:numId w:val="3"/>
        </w:numPr>
        <w:rPr>
          <w:rFonts w:ascii="Shofar" w:hAnsi="Shofar" w:cs="Shofar"/>
        </w:rPr>
      </w:pPr>
      <w:r w:rsidRPr="002B6F0E">
        <w:rPr>
          <w:rFonts w:ascii="Shofar" w:hAnsi="Shofar" w:cs="Shofar"/>
          <w:rtl/>
        </w:rPr>
        <w:t>כמו כן, יש לומר שלא חוששים שיעשה כן לקטנה, שכיון שלא מצוי לבני אדם להתאווות לה, מסתמא אביה יתן אותה לו לאשה, שאין אחר שרוצה לישא אותה. ויש לדון, שיכול לשהות עד שתהיה נערה וימצא איש אחר.</w:t>
      </w:r>
    </w:p>
    <w:p w14:paraId="4BD26CB1" w14:textId="77777777" w:rsidR="00C61BEF" w:rsidRPr="002B6F0E" w:rsidRDefault="004F6459">
      <w:pPr>
        <w:pStyle w:val="ListParagraph"/>
        <w:numPr>
          <w:ilvl w:val="0"/>
          <w:numId w:val="3"/>
        </w:numPr>
        <w:rPr>
          <w:rFonts w:ascii="Shofar" w:hAnsi="Shofar" w:cs="Shofar"/>
        </w:rPr>
      </w:pPr>
      <w:r w:rsidRPr="002B6F0E">
        <w:rPr>
          <w:rFonts w:ascii="Shofar" w:hAnsi="Shofar" w:cs="Shofar"/>
          <w:rtl/>
        </w:rPr>
        <w:t>גבי אונס, אפשר שלא מקפדת קטנה כל כך, ואז לא מצערת כל כך. אז, אין כל כך רע בביאה כזה עם קטנה. זה רק אפשר אם נניח שחלק מסיבה של הקנס הוא צער שלה באותו זמן. אז, בפיתוי נראה שזה לא אפשר. ואפשר ששם אין צורך מחמת צד אחר (ואז נוכל לצרך צד זה עם צד שלישי).</w:t>
      </w:r>
    </w:p>
    <w:p w14:paraId="62A096E5" w14:textId="77777777" w:rsidR="00C61BEF" w:rsidRPr="002B6F0E" w:rsidRDefault="004F6459">
      <w:pPr>
        <w:pStyle w:val="Heading2"/>
        <w:rPr>
          <w:rFonts w:ascii="Shofar" w:hAnsi="Shofar" w:cs="Shofar"/>
        </w:rPr>
      </w:pPr>
      <w:r w:rsidRPr="002B6F0E">
        <w:rPr>
          <w:rFonts w:ascii="Shofar" w:hAnsi="Shofar" w:cs="Shofar"/>
          <w:rtl/>
        </w:rPr>
        <w:t>למה הקנס הוא רק בבתולה:</w:t>
      </w:r>
    </w:p>
    <w:p w14:paraId="45C9ABCE" w14:textId="77777777" w:rsidR="00C61BEF" w:rsidRPr="002B6F0E" w:rsidRDefault="004F6459">
      <w:pPr>
        <w:rPr>
          <w:rFonts w:ascii="Shofar" w:hAnsi="Shofar" w:cs="Shofar"/>
        </w:rPr>
      </w:pPr>
      <w:r w:rsidRPr="002B6F0E">
        <w:rPr>
          <w:rFonts w:ascii="Shofar" w:hAnsi="Shofar" w:cs="Shofar"/>
          <w:rtl/>
        </w:rPr>
        <w:t>רק מי שבא על בתולה חייב לשלם לקנס זה. אבל, מי שבא על בעולה (באופן שפתחה פתוח, אבל לא אם נבעלה שלא כדרכה</w:t>
      </w:r>
      <w:r w:rsidRPr="002B6F0E">
        <w:rPr>
          <w:rStyle w:val="FootnoteReference"/>
          <w:rFonts w:ascii="Shofar" w:hAnsi="Shofar" w:cs="Shofar"/>
          <w:rtl/>
        </w:rPr>
        <w:footnoteReference w:id="28"/>
      </w:r>
      <w:r w:rsidRPr="002B6F0E">
        <w:rPr>
          <w:rFonts w:ascii="Shofar" w:hAnsi="Shofar" w:cs="Shofar"/>
          <w:rtl/>
        </w:rPr>
        <w:t>), לא חייב לשלם לקנס זה. דין זה כתוב בפי' בפסוק (ועיין לקמן בגמ').</w:t>
      </w:r>
    </w:p>
    <w:p w14:paraId="64D0C4CB" w14:textId="77777777" w:rsidR="00C61BEF" w:rsidRPr="002B6F0E" w:rsidRDefault="004F6459">
      <w:pPr>
        <w:rPr>
          <w:rFonts w:ascii="Shofar" w:hAnsi="Shofar" w:cs="Shofar"/>
        </w:rPr>
      </w:pPr>
      <w:r w:rsidRPr="002B6F0E">
        <w:rPr>
          <w:rFonts w:ascii="Shofar" w:hAnsi="Shofar" w:cs="Shofar"/>
          <w:rtl/>
        </w:rPr>
        <w:lastRenderedPageBreak/>
        <w:t>צריך לבאר מה מחלק נערה בעולה מנערה בתולה שיעשה שאדם פטור על ביאה של נערה בעולה ויחייב על ביאה של נערה בתולה:</w:t>
      </w:r>
    </w:p>
    <w:p w14:paraId="381A7A1C" w14:textId="77777777" w:rsidR="00C61BEF" w:rsidRPr="002B6F0E" w:rsidRDefault="004F6459">
      <w:pPr>
        <w:pStyle w:val="ListParagraph"/>
        <w:numPr>
          <w:ilvl w:val="0"/>
          <w:numId w:val="4"/>
        </w:numPr>
        <w:rPr>
          <w:rFonts w:ascii="Shofar" w:hAnsi="Shofar" w:cs="Shofar"/>
        </w:rPr>
      </w:pPr>
      <w:r w:rsidRPr="002B6F0E">
        <w:rPr>
          <w:rFonts w:ascii="Shofar" w:hAnsi="Shofar" w:cs="Shofar"/>
          <w:rtl/>
        </w:rPr>
        <w:t>יש לומר שאין ביאה עם בעולה כל כך מצוי, שהרי בני אדם יותר מתאווים לביאה של בתולה. כיון שכן, לא היה צורך לתורה לחייב קנס למי שבא על בעולה.</w:t>
      </w:r>
    </w:p>
    <w:p w14:paraId="6ACB6042" w14:textId="77777777" w:rsidR="00C61BEF" w:rsidRPr="002B6F0E" w:rsidRDefault="004F6459">
      <w:pPr>
        <w:pStyle w:val="ListParagraph"/>
        <w:rPr>
          <w:rFonts w:ascii="Shofar" w:hAnsi="Shofar" w:cs="Shofar"/>
        </w:rPr>
      </w:pPr>
      <w:r w:rsidRPr="002B6F0E">
        <w:rPr>
          <w:rFonts w:ascii="Shofar" w:hAnsi="Shofar" w:cs="Shofar"/>
          <w:rtl/>
        </w:rPr>
        <w:t>ויש לדון אם נכון הוא שבני אדם אוהבים יותר ביאה של בתולה. נביא שני סיבות שיכולים להיות ההסבר לזה, וגם נביא ראיה לו וראיה נגדו.</w:t>
      </w:r>
    </w:p>
    <w:p w14:paraId="1738A6E2" w14:textId="77777777" w:rsidR="00C61BEF" w:rsidRPr="002B6F0E" w:rsidRDefault="004F6459">
      <w:pPr>
        <w:pStyle w:val="ListParagraph"/>
        <w:rPr>
          <w:rFonts w:ascii="Shofar" w:hAnsi="Shofar" w:cs="Shofar"/>
        </w:rPr>
      </w:pPr>
      <w:r w:rsidRPr="002B6F0E">
        <w:rPr>
          <w:rFonts w:ascii="Shofar" w:hAnsi="Shofar" w:cs="Shofar"/>
          <w:rtl/>
        </w:rPr>
        <w:t>השני סיבות הם:</w:t>
      </w:r>
    </w:p>
    <w:p w14:paraId="7366FCF2" w14:textId="77777777" w:rsidR="00C61BEF" w:rsidRPr="002B6F0E" w:rsidRDefault="004F6459">
      <w:pPr>
        <w:pStyle w:val="ListParagraph"/>
        <w:numPr>
          <w:ilvl w:val="1"/>
          <w:numId w:val="4"/>
        </w:numPr>
        <w:rPr>
          <w:rFonts w:ascii="Shofar" w:hAnsi="Shofar" w:cs="Shofar"/>
        </w:rPr>
      </w:pPr>
      <w:r w:rsidRPr="002B6F0E">
        <w:rPr>
          <w:rFonts w:ascii="Shofar" w:hAnsi="Shofar" w:cs="Shofar"/>
          <w:rtl/>
        </w:rPr>
        <w:t>אפשר שאותו הנאת הגוף שבא מביאה נתרבה אם לא נבעלה לפני כן. לכאו', זה אומר שיותר מהנה לכנס לפתח סתום מליכנס לפתח פתוח, והנאה הוא לפתוח את הפתח בכניסה.</w:t>
      </w:r>
    </w:p>
    <w:p w14:paraId="5102CFBE" w14:textId="77777777" w:rsidR="00C61BEF" w:rsidRPr="002B6F0E" w:rsidRDefault="004F6459">
      <w:pPr>
        <w:pStyle w:val="ListParagraph"/>
        <w:numPr>
          <w:ilvl w:val="1"/>
          <w:numId w:val="4"/>
        </w:numPr>
        <w:rPr>
          <w:rFonts w:ascii="Shofar" w:hAnsi="Shofar" w:cs="Shofar"/>
        </w:rPr>
      </w:pPr>
      <w:r w:rsidRPr="002B6F0E">
        <w:rPr>
          <w:rFonts w:ascii="Shofar" w:hAnsi="Shofar" w:cs="Shofar"/>
          <w:rtl/>
        </w:rPr>
        <w:t>אפשר שיש הנאת המוח, והוא שאדם רוצה יותר לבעול מי שלא נבעלה קודם לכן. אולי זה מפני שינוי בה- היא לא נבעלה- או מפני יחסה עם אחרים- שרוצה שהיא אשה שלו בביאה זו, ולא של אחרים שכבר בעלו אותה. ותחשב על זה.</w:t>
      </w:r>
      <w:r w:rsidRPr="002B6F0E">
        <w:rPr>
          <w:rStyle w:val="FootnoteReference"/>
          <w:rFonts w:ascii="Shofar" w:hAnsi="Shofar" w:cs="Shofar"/>
          <w:rtl/>
        </w:rPr>
        <w:footnoteReference w:id="29"/>
      </w:r>
    </w:p>
    <w:p w14:paraId="73E8815D" w14:textId="77777777" w:rsidR="00C61BEF" w:rsidRPr="002B6F0E" w:rsidRDefault="004F6459">
      <w:pPr>
        <w:pStyle w:val="ListParagraph"/>
        <w:rPr>
          <w:rFonts w:ascii="Shofar" w:hAnsi="Shofar" w:cs="Shofar"/>
        </w:rPr>
      </w:pPr>
      <w:r w:rsidRPr="002B6F0E">
        <w:rPr>
          <w:rFonts w:ascii="Shofar" w:hAnsi="Shofar" w:cs="Shofar"/>
          <w:rtl/>
        </w:rPr>
        <w:lastRenderedPageBreak/>
        <w:t>הראיה לצד זה הוא מה שמצאנו שיש לבתולה כתובה יותר גבוה. כמו כן, יש ראיה לזה ממה שמצאנו חיוב של פגם במי שמאנס או מפתה אשה. אילו לא היתה בעולה גרוע מבתולה, לא היה במעשה זה פגם לה.</w:t>
      </w:r>
      <w:r w:rsidRPr="002B6F0E">
        <w:rPr>
          <w:rStyle w:val="FootnoteReference"/>
          <w:rFonts w:ascii="Shofar" w:hAnsi="Shofar" w:cs="Shofar"/>
          <w:rtl/>
        </w:rPr>
        <w:footnoteReference w:id="30"/>
      </w:r>
    </w:p>
    <w:p w14:paraId="39B7C8B8" w14:textId="77777777" w:rsidR="00C61BEF" w:rsidRPr="002B6F0E" w:rsidRDefault="004F6459">
      <w:pPr>
        <w:pStyle w:val="ListParagraph"/>
        <w:rPr>
          <w:rFonts w:ascii="Shofar" w:hAnsi="Shofar" w:cs="Shofar"/>
        </w:rPr>
      </w:pPr>
      <w:r w:rsidRPr="002B6F0E">
        <w:rPr>
          <w:rFonts w:ascii="Shofar" w:hAnsi="Shofar" w:cs="Shofar"/>
          <w:rtl/>
        </w:rPr>
        <w:t>אבל, יש ראיה נגד זה מגמ' במגילה</w:t>
      </w:r>
      <w:r w:rsidRPr="002B6F0E">
        <w:rPr>
          <w:rStyle w:val="FootnoteReference"/>
          <w:rFonts w:ascii="Shofar" w:hAnsi="Shofar" w:cs="Shofar"/>
          <w:rtl/>
        </w:rPr>
        <w:footnoteReference w:id="31"/>
      </w:r>
      <w:r w:rsidRPr="002B6F0E">
        <w:rPr>
          <w:rFonts w:ascii="Shofar" w:hAnsi="Shofar" w:cs="Shofar"/>
          <w:rtl/>
        </w:rPr>
        <w:t>, שאומר שאסתר נשאה חן לפני אחשורוש במה שכשרצה לטעום טעם בתולה, טעם בה, וכשרצה לטעום טעם בעולה, טעם בה. משמע שיש טובה בביאת בעולה, ולפעמים הוא יותר טוב מביאת בתולה, כמו שביאת בתולה הוא, לפעמים, יותר טוב ממנה.</w:t>
      </w:r>
    </w:p>
    <w:p w14:paraId="5A9BFF1A" w14:textId="77777777" w:rsidR="00C61BEF" w:rsidRPr="002B6F0E" w:rsidRDefault="004F6459">
      <w:pPr>
        <w:pStyle w:val="ListParagraph"/>
        <w:rPr>
          <w:rFonts w:ascii="Shofar" w:hAnsi="Shofar" w:cs="Shofar"/>
        </w:rPr>
      </w:pPr>
      <w:r w:rsidRPr="002B6F0E">
        <w:rPr>
          <w:rFonts w:ascii="Shofar" w:hAnsi="Shofar" w:cs="Shofar"/>
          <w:rtl/>
        </w:rPr>
        <w:t>נראה שיכולים לדחות שני הראיות.</w:t>
      </w:r>
    </w:p>
    <w:p w14:paraId="2D96747E" w14:textId="77777777" w:rsidR="00C61BEF" w:rsidRPr="002B6F0E" w:rsidRDefault="004F6459">
      <w:pPr>
        <w:pStyle w:val="ListParagraph"/>
        <w:rPr>
          <w:rFonts w:ascii="Shofar" w:hAnsi="Shofar" w:cs="Shofar"/>
        </w:rPr>
      </w:pPr>
      <w:r w:rsidRPr="002B6F0E">
        <w:rPr>
          <w:rFonts w:ascii="Shofar" w:hAnsi="Shofar" w:cs="Shofar"/>
          <w:rtl/>
        </w:rPr>
        <w:t>אפשר לדחות ראיה לזה לומר שהטובה שם הוא שטועם טעם בתולה וטועם טעם בעולה, שכשנושא אותה, ובא עליה בפעם ראשונה, טועם טעם בתולה, ואחר זה, טועם טעם בעולה. אבל, אין מעלה במה שהוא טועם טעם בתולה.</w:t>
      </w:r>
    </w:p>
    <w:p w14:paraId="7FFFDCC3" w14:textId="77777777" w:rsidR="00C61BEF" w:rsidRPr="002B6F0E" w:rsidRDefault="004F6459">
      <w:pPr>
        <w:pStyle w:val="ListParagraph"/>
        <w:rPr>
          <w:rFonts w:ascii="Shofar" w:hAnsi="Shofar" w:cs="Shofar"/>
        </w:rPr>
      </w:pPr>
      <w:r w:rsidRPr="002B6F0E">
        <w:rPr>
          <w:rFonts w:ascii="Shofar" w:hAnsi="Shofar" w:cs="Shofar"/>
          <w:rtl/>
        </w:rPr>
        <w:lastRenderedPageBreak/>
        <w:t>אפשר לדחות ראיה נגד זה בשני אופנים.</w:t>
      </w:r>
    </w:p>
    <w:p w14:paraId="15C520A0" w14:textId="77777777" w:rsidR="00C61BEF" w:rsidRPr="002B6F0E" w:rsidRDefault="004F6459">
      <w:pPr>
        <w:pStyle w:val="ListParagraph"/>
        <w:rPr>
          <w:rFonts w:ascii="Shofar" w:hAnsi="Shofar" w:cs="Shofar"/>
        </w:rPr>
      </w:pPr>
      <w:r w:rsidRPr="002B6F0E">
        <w:rPr>
          <w:rFonts w:ascii="Shofar" w:hAnsi="Shofar" w:cs="Shofar"/>
          <w:rtl/>
        </w:rPr>
        <w:t>אפשר לומר שיש פעמים שרוצה ביאת בעולה יותר, אבל בדרך כלל, רוצים ביאת בתולה יותר, והוא, בדר"כ, הכי טוב. המשל לזה יהיה החילוק בין וניל לשוקולד. פשוט לכל מבין שוניל זה יותר טוב- ואף על פי כן, אף מי שאוהב וניל יותר יקח, לפעמים, שוקולד. ותחשב.</w:t>
      </w:r>
    </w:p>
    <w:p w14:paraId="4681504C" w14:textId="77777777" w:rsidR="00C61BEF" w:rsidRPr="002B6F0E" w:rsidRDefault="004F6459">
      <w:pPr>
        <w:pStyle w:val="ListParagraph"/>
        <w:rPr>
          <w:rFonts w:ascii="Shofar" w:hAnsi="Shofar" w:cs="Shofar"/>
        </w:rPr>
      </w:pPr>
      <w:r w:rsidRPr="002B6F0E">
        <w:rPr>
          <w:rFonts w:ascii="Shofar" w:hAnsi="Shofar" w:cs="Shofar"/>
          <w:rtl/>
        </w:rPr>
        <w:t>גם אפשר לדחות שטעם בעולה שווה לטעם בתולה בביאות שלאחרי ביאה ראשונה. אבל, ביאה ראשונה של ביאת בתולה היא הכי טובה, שאז בא לו (גם) הנאה שניה שכתבנו בביאת בתולה.</w:t>
      </w:r>
    </w:p>
    <w:p w14:paraId="69F259F6" w14:textId="77777777" w:rsidR="00C61BEF" w:rsidRPr="002B6F0E" w:rsidRDefault="004F6459">
      <w:pPr>
        <w:pStyle w:val="ListParagraph"/>
        <w:numPr>
          <w:ilvl w:val="0"/>
          <w:numId w:val="4"/>
        </w:numPr>
        <w:rPr>
          <w:rFonts w:ascii="Shofar" w:hAnsi="Shofar" w:cs="Shofar"/>
        </w:rPr>
      </w:pPr>
      <w:r w:rsidRPr="002B6F0E">
        <w:rPr>
          <w:rFonts w:ascii="Shofar" w:hAnsi="Shofar" w:cs="Shofar"/>
          <w:rtl/>
        </w:rPr>
        <w:t>כמו כן, יש לומר שלא מצוי שיבעול את הבעולה באונס או פיתוי. אם רוצה לבעול אותה, ישא אותה, ויוכל לבעול כמה פעמים, ובהיתר. אבל, בבתולה, יש לומר שרק רוצה ביאת בתולה שלה (אם נניח שזה יותר טוב, כמו שכתבנו לעיל), ואז לא ישא אותה.</w:t>
      </w:r>
    </w:p>
    <w:p w14:paraId="117210DB" w14:textId="77777777" w:rsidR="00C61BEF" w:rsidRPr="002B6F0E" w:rsidRDefault="004F6459">
      <w:pPr>
        <w:pStyle w:val="ListParagraph"/>
        <w:numPr>
          <w:ilvl w:val="0"/>
          <w:numId w:val="4"/>
        </w:numPr>
        <w:rPr>
          <w:rFonts w:ascii="Shofar" w:hAnsi="Shofar" w:cs="Shofar"/>
        </w:rPr>
      </w:pPr>
      <w:r w:rsidRPr="002B6F0E">
        <w:rPr>
          <w:rFonts w:ascii="Shofar" w:hAnsi="Shofar" w:cs="Shofar"/>
          <w:rtl/>
        </w:rPr>
        <w:t>אם נאמר שהקנס בא מחמת הצער והרע שעשה לה, יש לומר שעושה יותר רע לבתולה משעושה לבעולה. מהפך את הבתולה לבעולה (אולי הרע הוא שבעולה יותר טוב, כמו שכתבנו, אולי מפני שהיא בתולה ואולי מפני שיהיו לה שני טעמים, ואולי הרע הוא שעושה בה דבר גנאי באופן שהוא יותר רושם עליה.)</w:t>
      </w:r>
    </w:p>
    <w:p w14:paraId="5FFD56E8" w14:textId="77777777" w:rsidR="00C61BEF" w:rsidRPr="002B6F0E" w:rsidRDefault="004F6459">
      <w:pPr>
        <w:pStyle w:val="ListParagraph"/>
        <w:numPr>
          <w:ilvl w:val="0"/>
          <w:numId w:val="4"/>
        </w:numPr>
        <w:rPr>
          <w:rFonts w:ascii="Shofar" w:hAnsi="Shofar" w:cs="Shofar"/>
        </w:rPr>
      </w:pPr>
      <w:r w:rsidRPr="002B6F0E">
        <w:rPr>
          <w:rFonts w:ascii="Shofar" w:hAnsi="Shofar" w:cs="Shofar"/>
          <w:rtl/>
        </w:rPr>
        <w:lastRenderedPageBreak/>
        <w:t>אם נאמר שהקנס בא מחמת שמרגיל אותה לביאה, יש לומר שבעולה כבר מורגלת לכך</w:t>
      </w:r>
      <w:r w:rsidRPr="002B6F0E">
        <w:rPr>
          <w:rStyle w:val="FootnoteReference"/>
          <w:rFonts w:ascii="Shofar" w:hAnsi="Shofar" w:cs="Shofar"/>
          <w:rtl/>
        </w:rPr>
        <w:footnoteReference w:id="32"/>
      </w:r>
      <w:r w:rsidRPr="002B6F0E">
        <w:rPr>
          <w:rFonts w:ascii="Shofar" w:hAnsi="Shofar" w:cs="Shofar"/>
          <w:rtl/>
        </w:rPr>
        <w:t>. אז, לא חייב לשלם קנס, שלא רוצה תורה, כל כך, למנוע אותו.</w:t>
      </w:r>
    </w:p>
    <w:p w14:paraId="14FBE8B6" w14:textId="77777777" w:rsidR="00C61BEF" w:rsidRPr="002B6F0E" w:rsidRDefault="00C61BEF">
      <w:pPr>
        <w:spacing w:before="120" w:after="120"/>
        <w:rPr>
          <w:rFonts w:ascii="Shofar" w:hAnsi="Shofar" w:cs="Shofar"/>
        </w:rPr>
      </w:pPr>
    </w:p>
    <w:sectPr w:rsidR="00C61BEF" w:rsidRPr="002B6F0E" w:rsidSect="002B6F0E">
      <w:headerReference w:type="even" r:id="rId7"/>
      <w:headerReference w:type="default" r:id="rId8"/>
      <w:footerReference w:type="even" r:id="rId9"/>
      <w:footerReference w:type="default" r:id="rId10"/>
      <w:headerReference w:type="first" r:id="rId11"/>
      <w:footerReference w:type="first" r:id="rId12"/>
      <w:pgSz w:w="8391" w:h="11906" w:code="11"/>
      <w:pgMar w:top="1440" w:right="1080" w:bottom="1440" w:left="1080" w:header="0"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090921" w14:textId="77777777" w:rsidR="00371DC4" w:rsidRDefault="00371DC4">
      <w:pPr>
        <w:spacing w:before="0" w:after="0" w:line="240" w:lineRule="auto"/>
      </w:pPr>
      <w:r>
        <w:separator/>
      </w:r>
    </w:p>
  </w:endnote>
  <w:endnote w:type="continuationSeparator" w:id="0">
    <w:p w14:paraId="4C5CB159" w14:textId="77777777" w:rsidR="00371DC4" w:rsidRDefault="00371DC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Calibri"/>
    <w:charset w:val="01"/>
    <w:family w:val="auto"/>
    <w:pitch w:val="default"/>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BL Hebrew">
    <w:altName w:val="Arial"/>
    <w:charset w:val="00"/>
    <w:family w:val="auto"/>
    <w:pitch w:val="variable"/>
    <w:sig w:usb0="8000086F" w:usb1="4000204A" w:usb2="00000000" w:usb3="00000000" w:csb0="0000002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Narkisim">
    <w:panose1 w:val="020E0502050101010101"/>
    <w:charset w:val="00"/>
    <w:family w:val="swiss"/>
    <w:pitch w:val="variable"/>
    <w:sig w:usb0="00000803" w:usb1="00000000" w:usb2="00000000" w:usb3="00000000" w:csb0="00000021" w:csb1="00000000"/>
  </w:font>
  <w:font w:name="Guttman Rashi">
    <w:panose1 w:val="02010401010101010101"/>
    <w:charset w:val="B1"/>
    <w:family w:val="auto"/>
    <w:pitch w:val="variable"/>
    <w:sig w:usb0="00000801" w:usb1="40000000" w:usb2="00000000" w:usb3="00000000" w:csb0="00000020" w:csb1="00000000"/>
  </w:font>
  <w:font w:name="Shofar">
    <w:panose1 w:val="02000000000000000000"/>
    <w:charset w:val="00"/>
    <w:family w:val="auto"/>
    <w:pitch w:val="variable"/>
    <w:sig w:usb0="8000086F" w:usb1="4000204A" w:usb2="00000000" w:usb3="00000000" w:csb0="00000021" w:csb1="00000000"/>
  </w:font>
  <w:font w:name="BenOr Rashi">
    <w:panose1 w:val="03020502040505020200"/>
    <w:charset w:val="00"/>
    <w:family w:val="script"/>
    <w:notTrueType/>
    <w:pitch w:val="variable"/>
    <w:sig w:usb0="80000803" w:usb1="50002000" w:usb2="04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7F4E5" w14:textId="77777777" w:rsidR="005F2554" w:rsidRDefault="005F25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37E405" w14:textId="404D6F4A" w:rsidR="00C61BEF" w:rsidRDefault="004F6459">
    <w:pPr>
      <w:pStyle w:val="Footer"/>
      <w:spacing w:after="567"/>
      <w:jc w:val="center"/>
      <w:rPr>
        <w:lang w:bidi="he-IL"/>
      </w:rPr>
    </w:pPr>
    <w:r>
      <w:rPr>
        <w:rtl/>
        <w:lang w:bidi="he-IL"/>
      </w:rPr>
      <w:t xml:space="preserve">חרב </w:t>
    </w:r>
    <w:r>
      <w:rPr>
        <w:rtl/>
        <w:lang w:bidi="he-IL"/>
      </w:rPr>
      <w:t>אל ה</w:t>
    </w:r>
    <w:r w:rsidR="005F2554">
      <w:rPr>
        <w:rFonts w:hint="cs"/>
        <w:rtl/>
        <w:lang w:bidi="he-IL"/>
      </w:rPr>
      <w:t>ב</w:t>
    </w:r>
    <w:r>
      <w:rPr>
        <w:rtl/>
        <w:lang w:bidi="he-IL"/>
      </w:rPr>
      <w:t>דים- אלו נערות</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164CD" w14:textId="77777777" w:rsidR="005F2554" w:rsidRDefault="005F25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8FC18F" w14:textId="77777777" w:rsidR="00371DC4" w:rsidRDefault="00371DC4">
      <w:pPr>
        <w:rPr>
          <w:sz w:val="12"/>
        </w:rPr>
      </w:pPr>
      <w:r>
        <w:separator/>
      </w:r>
    </w:p>
  </w:footnote>
  <w:footnote w:type="continuationSeparator" w:id="0">
    <w:p w14:paraId="03657A85" w14:textId="77777777" w:rsidR="00371DC4" w:rsidRDefault="00371DC4">
      <w:pPr>
        <w:rPr>
          <w:sz w:val="12"/>
        </w:rPr>
      </w:pPr>
      <w:r>
        <w:continuationSeparator/>
      </w:r>
    </w:p>
  </w:footnote>
  <w:footnote w:id="1">
    <w:p w14:paraId="76F06474" w14:textId="77777777" w:rsidR="00C61BEF" w:rsidRDefault="004F6459">
      <w:pPr>
        <w:pStyle w:val="FootnoteText"/>
      </w:pPr>
      <w:r>
        <w:rPr>
          <w:rStyle w:val="FootnoteCharacters"/>
        </w:rPr>
        <w:footnoteRef/>
      </w:r>
      <w:r>
        <w:rPr>
          <w:rtl/>
        </w:rPr>
        <w:tab/>
        <w:t xml:space="preserve"> דברים כב.</w:t>
      </w:r>
    </w:p>
  </w:footnote>
  <w:footnote w:id="2">
    <w:p w14:paraId="7F4A9D77" w14:textId="77777777" w:rsidR="00C61BEF" w:rsidRDefault="004F6459">
      <w:pPr>
        <w:pStyle w:val="FootnoteText"/>
      </w:pPr>
      <w:r>
        <w:rPr>
          <w:rStyle w:val="FootnoteCharacters"/>
        </w:rPr>
        <w:footnoteRef/>
      </w:r>
      <w:r>
        <w:rPr>
          <w:rtl/>
        </w:rPr>
        <w:tab/>
        <w:t xml:space="preserve"> </w:t>
      </w:r>
      <w:r>
        <w:rPr>
          <w:rtl/>
        </w:rPr>
        <w:t xml:space="preserve">כולי </w:t>
      </w:r>
      <w:r>
        <w:rPr>
          <w:rtl/>
        </w:rPr>
        <w:t>עלמא מודו שקנס זה הוא למי שמאנס או מפתה נערה. כמו שנראה לקמן, חולקים אם קנס זה הוא גם למי שמאנס או מפתה קטנה.</w:t>
      </w:r>
    </w:p>
  </w:footnote>
  <w:footnote w:id="3">
    <w:p w14:paraId="6C87CAA6" w14:textId="77777777" w:rsidR="00C61BEF" w:rsidRDefault="004F6459">
      <w:pPr>
        <w:pStyle w:val="FootnoteText"/>
      </w:pPr>
      <w:r>
        <w:rPr>
          <w:rStyle w:val="FootnoteCharacters"/>
        </w:rPr>
        <w:footnoteRef/>
      </w:r>
      <w:r>
        <w:rPr>
          <w:rtl/>
        </w:rPr>
        <w:tab/>
        <w:t xml:space="preserve"> </w:t>
      </w:r>
      <w:r>
        <w:rPr>
          <w:rtl/>
        </w:rPr>
        <w:t xml:space="preserve">לקמן, </w:t>
      </w:r>
      <w:r>
        <w:rPr>
          <w:rtl/>
        </w:rPr>
        <w:t>נבאר את המקור למנין זה בדיוק.</w:t>
      </w:r>
    </w:p>
  </w:footnote>
  <w:footnote w:id="4">
    <w:p w14:paraId="30763C37" w14:textId="77777777" w:rsidR="00C61BEF" w:rsidRDefault="004F6459">
      <w:pPr>
        <w:pStyle w:val="FootnoteText"/>
      </w:pPr>
      <w:r>
        <w:rPr>
          <w:rStyle w:val="FootnoteCharacters"/>
        </w:rPr>
        <w:footnoteRef/>
      </w:r>
      <w:r>
        <w:rPr>
          <w:rtl/>
        </w:rPr>
        <w:tab/>
        <w:t xml:space="preserve"> </w:t>
      </w:r>
      <w:r>
        <w:rPr>
          <w:rtl/>
        </w:rPr>
        <w:t xml:space="preserve">באמת, </w:t>
      </w:r>
      <w:r>
        <w:rPr>
          <w:rtl/>
        </w:rPr>
        <w:t>אין זה כל כך פשוט. לכאו', הביאור שהוא יותר יסודי של קנס הוא שהוא ממון שחייב לשלם, אף שאינו פיי"ר לשלם אותו ממון. (הבעיה עם ביאור זה הוא שקשה להגדיר פיי"ר. אבל, בין כך ובין כך, בביאור דיני ממון, יהיה איזה ביאור לו שחייבים לבאר.) אז, אפשר שכל קנס, או מקצת קנסות, הם רק גזירות מחמת חיוב ממון, או הם עונשים (והוא שכיון שעשה דבר רע, טוב שייעשה דבר רע לו, ואותו דבר רע הוא תשלומי ממון.). (עיין בתחילת בכורות שמשמע כן.)</w:t>
      </w:r>
    </w:p>
    <w:p w14:paraId="42F0D1D6" w14:textId="77777777" w:rsidR="00C61BEF" w:rsidRDefault="004F6459">
      <w:pPr>
        <w:pStyle w:val="FootnoteText"/>
        <w:ind w:firstLine="0"/>
      </w:pPr>
      <w:r>
        <w:rPr>
          <w:rtl/>
        </w:rPr>
        <w:t>אף במה שכתבנו, יש שני צדדים. אפשר שהוא שלא יעשה כן בפעם ראשונה, כיון שמכיר שאין קנס; ואפשר שהוא שלא ישנה על החטא בפעם שניה, כיון שמכיר שחייב לשלם, ולא רוצה לשלם. (הסיבה לומר צד שני הוא אחד משני דברים. לא פשוט שקנס כזה נצרך לפעם ראשון, שאולי לא כל כך מצוי שיקרה או לא כל כך רע כשיקרה. גם לא פשוט שקנס יהני. אולי רק יהני אם כבר שלם קנס כזה, שאז מכיר בו, ויודע שלא רוצה לשלם אותו. ויש לדון.)</w:t>
      </w:r>
    </w:p>
    <w:p w14:paraId="2BAEE000" w14:textId="77777777" w:rsidR="00C61BEF" w:rsidRDefault="004F6459">
      <w:pPr>
        <w:pStyle w:val="FootnoteText"/>
      </w:pPr>
      <w:r>
        <w:rPr>
          <w:rtl/>
        </w:rPr>
        <w:t>ויש לציין לרש"י בכתובות (י.). ע“ש, ותחשב.</w:t>
      </w:r>
    </w:p>
    <w:p w14:paraId="6ED430FF" w14:textId="77777777" w:rsidR="00C61BEF" w:rsidRDefault="004F6459">
      <w:pPr>
        <w:pStyle w:val="FootnoteText"/>
      </w:pPr>
      <w:r>
        <w:rPr>
          <w:rtl/>
        </w:rPr>
        <w:t>גם- אולי זה נוגע לביאור מהו קנס- יש מחלקת בגיטין (נג.) אם לומדים קנס מקנס. לכאו,’ צריך ביאור למה לא נוכל ללמוד, שבוודאי יש סיבה בקנס, ואם הסיבה יותר גדולה, אז יש יותר צד שיהיה קנס. אולי ביאור של קנס יכול לתרץ לזה. וצריך לחשוב עליו.</w:t>
      </w:r>
    </w:p>
  </w:footnote>
  <w:footnote w:id="5">
    <w:p w14:paraId="5D688E09" w14:textId="77777777" w:rsidR="00C61BEF" w:rsidRDefault="004F6459">
      <w:pPr>
        <w:pStyle w:val="FootnoteText"/>
      </w:pPr>
      <w:r>
        <w:rPr>
          <w:rStyle w:val="FootnoteCharacters"/>
        </w:rPr>
        <w:footnoteRef/>
      </w:r>
      <w:r>
        <w:rPr>
          <w:rtl/>
        </w:rPr>
        <w:tab/>
        <w:t xml:space="preserve"> </w:t>
      </w:r>
      <w:r>
        <w:rPr>
          <w:rtl/>
        </w:rPr>
        <w:t xml:space="preserve">בכל </w:t>
      </w:r>
      <w:r>
        <w:rPr>
          <w:rtl/>
        </w:rPr>
        <w:t>זמן שמצאנו שני דברים עם דין השווה, צריכים לשאול אם הם דין אחד או שני דינים. אז, למשל, יש לדון אם איסור אכילת חדש ואיסור הקרבת חדש שווים; ויש לדון אם ערלה של א"י וערלה של חו"ל שווים. ותחשב.</w:t>
      </w:r>
    </w:p>
  </w:footnote>
  <w:footnote w:id="6">
    <w:p w14:paraId="0F1DE296" w14:textId="77777777" w:rsidR="00C61BEF" w:rsidRDefault="004F6459">
      <w:pPr>
        <w:pStyle w:val="FootnoteText"/>
      </w:pPr>
      <w:r>
        <w:rPr>
          <w:rStyle w:val="FootnoteCharacters"/>
        </w:rPr>
        <w:footnoteRef/>
      </w:r>
      <w:r>
        <w:rPr>
          <w:rtl/>
        </w:rPr>
        <w:tab/>
        <w:t xml:space="preserve"> </w:t>
      </w:r>
      <w:r>
        <w:rPr>
          <w:rtl/>
        </w:rPr>
        <w:t xml:space="preserve">קושיה </w:t>
      </w:r>
      <w:r>
        <w:rPr>
          <w:rtl/>
        </w:rPr>
        <w:t>זו בולטת יותר לצד זה, אבל נראה שהוא קשה לכל הצדדים, שלכאו', מסתבר שזה דבר רע, ואז מסתבר שיהיה חלק מן הקנס. ותחשב. ויש לומר שאחר חמישים שקל, אין ההנאה שווה הטורח, שאינו מרחיק אותו כל כך יותר מן העבירה. ותחשב.</w:t>
      </w:r>
    </w:p>
  </w:footnote>
  <w:footnote w:id="7">
    <w:p w14:paraId="088A5CE0" w14:textId="77777777" w:rsidR="00C61BEF" w:rsidRDefault="004F6459">
      <w:pPr>
        <w:pStyle w:val="FootnoteText"/>
      </w:pPr>
      <w:r>
        <w:rPr>
          <w:rStyle w:val="FootnoteCharacters"/>
        </w:rPr>
        <w:footnoteRef/>
      </w:r>
      <w:r>
        <w:rPr>
          <w:rtl/>
        </w:rPr>
        <w:tab/>
        <w:t xml:space="preserve"> </w:t>
      </w:r>
      <w:r>
        <w:rPr>
          <w:rtl/>
        </w:rPr>
        <w:t xml:space="preserve">כמובן, </w:t>
      </w:r>
      <w:r>
        <w:rPr>
          <w:rtl/>
        </w:rPr>
        <w:t>לפי ראשונים שמותר מדאו', אין זה נכון מדאו'. צריך לומר, אז, שידוע שהוא מעשה זנות, והוא פריצות. ותחשב. (במילים אחרים, יש בו, כמו שנכתב לקמן, דבר רע מדאו'.)</w:t>
      </w:r>
    </w:p>
  </w:footnote>
  <w:footnote w:id="8">
    <w:p w14:paraId="3F19C2AF" w14:textId="77777777" w:rsidR="00C61BEF" w:rsidRDefault="004F6459">
      <w:pPr>
        <w:pStyle w:val="FootnoteText"/>
      </w:pPr>
      <w:r>
        <w:rPr>
          <w:rStyle w:val="FootnoteCharacters"/>
        </w:rPr>
        <w:footnoteRef/>
      </w:r>
      <w:r>
        <w:rPr>
          <w:rtl/>
        </w:rPr>
        <w:tab/>
      </w:r>
      <w:r>
        <w:rPr>
          <w:rtl/>
        </w:rPr>
        <w:t xml:space="preserve">יש </w:t>
      </w:r>
      <w:r>
        <w:rPr>
          <w:rtl/>
        </w:rPr>
        <w:t>להעיר שמרחיק משני איסורים- מאיסור שלו ומאיסור שלה. אולי, אז, יש יותר צורך לקנס בפיתוי מבאונס, שלכאו’ אין איסור באונס לה, כיון שהיא נאנסה. אבל, הוא עדיין גורם אותו רע (אם לא נניח שאין רע בעבירה באונס).</w:t>
      </w:r>
    </w:p>
  </w:footnote>
  <w:footnote w:id="9">
    <w:p w14:paraId="5A4E8E16" w14:textId="77777777" w:rsidR="00C61BEF" w:rsidRDefault="004F6459">
      <w:pPr>
        <w:pStyle w:val="FootnoteText"/>
        <w:tabs>
          <w:tab w:val="center" w:pos="4320"/>
        </w:tabs>
      </w:pPr>
      <w:r>
        <w:rPr>
          <w:rStyle w:val="FootnoteCharacters"/>
        </w:rPr>
        <w:footnoteRef/>
      </w:r>
      <w:r>
        <w:rPr>
          <w:rtl/>
        </w:rPr>
        <w:tab/>
        <w:t xml:space="preserve"> </w:t>
      </w:r>
      <w:r>
        <w:rPr>
          <w:rtl/>
        </w:rPr>
        <w:t xml:space="preserve">יש </w:t>
      </w:r>
      <w:r>
        <w:rPr>
          <w:rtl/>
        </w:rPr>
        <w:t>להביא קצת ראיה לזה משיטת רבי אלעזר ביבמות (נט:), ש"זונה" שנזכרה בתורה (גבי איסורי כהן) היא מי שנבעלה בביאת פנוי על פנויה. אז, לכאו', יש רע בביאה זו. יש לדחות ראיה זו בשני אופנים. ראשון, יש לדחות שרבי אליעזר סובר שנאסר מן התורה, ותנאים האחרים חולקים עליו. לא נראה כן כל כך, שמיהי תיתי, אז, לרבות את המחלקת, לומר שחולקים תנאים אם נאסר מן התורה. שני, יש לדחות שעושה זונה, אף שאינו רע. ותחשב.</w:t>
      </w:r>
    </w:p>
  </w:footnote>
  <w:footnote w:id="10">
    <w:p w14:paraId="12ADCC05" w14:textId="77777777" w:rsidR="00C61BEF" w:rsidRDefault="004F6459">
      <w:pPr>
        <w:pStyle w:val="FootnoteText"/>
      </w:pPr>
      <w:r>
        <w:rPr>
          <w:rStyle w:val="FootnoteCharacters"/>
        </w:rPr>
        <w:footnoteRef/>
      </w:r>
      <w:r>
        <w:rPr>
          <w:rtl/>
        </w:rPr>
        <w:tab/>
        <w:t xml:space="preserve"> </w:t>
      </w:r>
      <w:r>
        <w:rPr>
          <w:rtl/>
        </w:rPr>
        <w:t xml:space="preserve">אולי </w:t>
      </w:r>
      <w:r>
        <w:rPr>
          <w:rtl/>
        </w:rPr>
        <w:t>מפני שחשש להפסד שלהם, ואולי מפני שחשש שיעשו נגד דיני תורה, ונמצא שעברו על עוד דבר. (אגב, בענין שני, עיין בסוף פרק חזקת הבתים, שמשמע בכעין זה שהבעיה הוא שאז האם מזידים על דבר הרע. היה אפשר לומר שאז גם עוברים על איסור. ותחשב.)</w:t>
      </w:r>
    </w:p>
  </w:footnote>
  <w:footnote w:id="11">
    <w:p w14:paraId="3078901E" w14:textId="77777777" w:rsidR="00C61BEF" w:rsidRDefault="004F6459">
      <w:pPr>
        <w:pStyle w:val="FootnoteText"/>
      </w:pPr>
      <w:r>
        <w:rPr>
          <w:rStyle w:val="FootnoteCharacters"/>
        </w:rPr>
        <w:footnoteRef/>
      </w:r>
      <w:r>
        <w:rPr>
          <w:rtl/>
        </w:rPr>
        <w:tab/>
        <w:t xml:space="preserve"> </w:t>
      </w:r>
      <w:r>
        <w:rPr>
          <w:rtl/>
        </w:rPr>
        <w:t xml:space="preserve">כמובן, </w:t>
      </w:r>
      <w:r>
        <w:rPr>
          <w:rtl/>
        </w:rPr>
        <w:t>יש לדון אם אז אינו כל כך קשה מפני שאם רוצים אותו הרבה, יעשו כן וישלמו, או שכיון ש"פת בסלו," שיכול לעשות כן ולשלם, אין לו כל כך יצר. ותחשב.</w:t>
      </w:r>
    </w:p>
  </w:footnote>
  <w:footnote w:id="12">
    <w:p w14:paraId="1C3DA07F" w14:textId="77777777" w:rsidR="00C61BEF" w:rsidRDefault="004F6459">
      <w:pPr>
        <w:pStyle w:val="FootnoteText"/>
      </w:pPr>
      <w:r>
        <w:rPr>
          <w:rStyle w:val="FootnoteCharacters"/>
        </w:rPr>
        <w:footnoteRef/>
      </w:r>
      <w:r>
        <w:rPr>
          <w:rtl/>
        </w:rPr>
        <w:tab/>
        <w:t xml:space="preserve"> </w:t>
      </w:r>
      <w:r>
        <w:rPr>
          <w:rtl/>
        </w:rPr>
        <w:t xml:space="preserve">ויש </w:t>
      </w:r>
      <w:r>
        <w:rPr>
          <w:rtl/>
        </w:rPr>
        <w:t>לדון מה יקרה אז. לכאו', אי אפשר ששניהם ישלמו, שאז זה לא שילם וזה לא שילם, כמובן. אפשר ששניהם יחייבו לשלם לצדקה או כדומה. דחוק, שלא מצאנו קנס כזה. אבל, עדיין למה זה משלם יותר מזה, שיהיו שווים. (אבל, בכל מצב של שווים, קשה מה נעשה. ותחשב.) ודע שאפשר שיש צורך שיתן למי שחטא עמו (אולי מפני שהרע לו, במה שגרם לו או לה לחטוא). יכול לעשות כעין זה אם האיש משלם, שיתן לאב. אבל, לא יכול לעשות כזה באשה המשלמת לאיש, שאז נמצא שחוטא נשכר. (גם אין ענין לתת לאב של האיש, אלא רק לאב של הבת. ותחשב.)</w:t>
      </w:r>
    </w:p>
    <w:p w14:paraId="0342FA90" w14:textId="77777777" w:rsidR="00C61BEF" w:rsidRDefault="004F6459">
      <w:pPr>
        <w:pStyle w:val="FootnoteText"/>
        <w:ind w:firstLine="0"/>
      </w:pPr>
      <w:r>
        <w:rPr>
          <w:rtl/>
        </w:rPr>
        <w:t>שו"ר בענין זה גמ' ב"ק (לט.). עיין שם.</w:t>
      </w:r>
    </w:p>
  </w:footnote>
  <w:footnote w:id="13">
    <w:p w14:paraId="3B93124C" w14:textId="77777777" w:rsidR="00C61BEF" w:rsidRDefault="004F6459">
      <w:pPr>
        <w:pStyle w:val="FootnoteText"/>
      </w:pPr>
      <w:r>
        <w:rPr>
          <w:rStyle w:val="FootnoteCharacters"/>
        </w:rPr>
        <w:footnoteRef/>
      </w:r>
      <w:r>
        <w:rPr>
          <w:rtl/>
        </w:rPr>
        <w:tab/>
        <w:t xml:space="preserve"> </w:t>
      </w:r>
      <w:r>
        <w:rPr>
          <w:rtl/>
        </w:rPr>
        <w:t xml:space="preserve">על </w:t>
      </w:r>
      <w:r>
        <w:rPr>
          <w:rtl/>
        </w:rPr>
        <w:t>שנים אלו קשה, כמובן, דין איש שהוא בן יג' שנה ויום אחד, שבא על נערה. ויש לדון בזה, שאולי כיון שאיש נעשה בין יג' שנה, הוא גדול לגמרי, ואין לו נערות כמו אשה. (ויש לדון, שמצאנו חילוק בזה לענין בן סורר ומורה.) ודע שלעולם יכולים לומר לא פלוג.</w:t>
      </w:r>
    </w:p>
  </w:footnote>
  <w:footnote w:id="14">
    <w:p w14:paraId="1431B8FE" w14:textId="77777777" w:rsidR="00C61BEF" w:rsidRDefault="004F6459">
      <w:pPr>
        <w:pStyle w:val="FootnoteText"/>
      </w:pPr>
      <w:r>
        <w:rPr>
          <w:rStyle w:val="FootnoteCharacters"/>
        </w:rPr>
        <w:footnoteRef/>
      </w:r>
      <w:r>
        <w:rPr>
          <w:rtl/>
        </w:rPr>
        <w:tab/>
        <w:t xml:space="preserve"> </w:t>
      </w:r>
      <w:r>
        <w:rPr>
          <w:rtl/>
        </w:rPr>
        <w:t xml:space="preserve">אבל, </w:t>
      </w:r>
      <w:r>
        <w:rPr>
          <w:rtl/>
        </w:rPr>
        <w:t>עיין ביבמות (פה:), שלא נראה כן, על כל פנים לתנא אחד.</w:t>
      </w:r>
    </w:p>
  </w:footnote>
  <w:footnote w:id="15">
    <w:p w14:paraId="5292A869" w14:textId="77777777" w:rsidR="00C61BEF" w:rsidRDefault="004F6459">
      <w:pPr>
        <w:pStyle w:val="FootnoteText"/>
      </w:pPr>
      <w:r>
        <w:rPr>
          <w:rStyle w:val="FootnoteCharacters"/>
        </w:rPr>
        <w:footnoteRef/>
      </w:r>
      <w:r>
        <w:rPr>
          <w:rtl/>
        </w:rPr>
        <w:tab/>
        <w:t xml:space="preserve"> </w:t>
      </w:r>
      <w:r>
        <w:rPr>
          <w:rtl/>
        </w:rPr>
        <w:t xml:space="preserve">עיין </w:t>
      </w:r>
      <w:r>
        <w:rPr>
          <w:rtl/>
        </w:rPr>
        <w:t>לקמן, שבע"ה נדון אם קנס פיתוי הולך לה משלה או משל אביה. לצד שני, אולי אינו כל כך קשה.</w:t>
      </w:r>
    </w:p>
  </w:footnote>
  <w:footnote w:id="16">
    <w:p w14:paraId="5F53B090" w14:textId="77777777" w:rsidR="00C61BEF" w:rsidRDefault="004F6459">
      <w:pPr>
        <w:pStyle w:val="FootnoteText"/>
      </w:pPr>
      <w:r>
        <w:rPr>
          <w:rStyle w:val="FootnoteCharacters"/>
        </w:rPr>
        <w:footnoteRef/>
      </w:r>
      <w:r>
        <w:rPr>
          <w:rtl/>
        </w:rPr>
        <w:tab/>
        <w:t xml:space="preserve"> </w:t>
      </w:r>
      <w:r>
        <w:rPr>
          <w:rtl/>
        </w:rPr>
        <w:t xml:space="preserve">אפשר </w:t>
      </w:r>
      <w:r>
        <w:rPr>
          <w:rtl/>
        </w:rPr>
        <w:t>שההרגל יבוא ממה שטעמה ביאה. גם אפשר שההרגל בא ממה שחסר מניעה של בתוליה. בדר"כ, לא רוצה להיות נבעלת, שלא תהיה בתולה (והכל יידעו שזנתה, או שאז לא ירצה איש לישא אותה, שרוצה בתולה). אבל, כיון שהיא כבר אינה בתולה, לא חוששת לזנות.</w:t>
      </w:r>
    </w:p>
  </w:footnote>
  <w:footnote w:id="17">
    <w:p w14:paraId="28A97E26" w14:textId="77777777" w:rsidR="00C61BEF" w:rsidRDefault="004F6459">
      <w:pPr>
        <w:pStyle w:val="FootnoteText"/>
      </w:pPr>
      <w:r>
        <w:rPr>
          <w:rStyle w:val="FootnoteCharacters"/>
        </w:rPr>
        <w:footnoteRef/>
      </w:r>
      <w:r>
        <w:rPr>
          <w:rtl/>
        </w:rPr>
        <w:tab/>
        <w:t xml:space="preserve"> </w:t>
      </w:r>
      <w:r>
        <w:rPr>
          <w:rtl/>
        </w:rPr>
        <w:t xml:space="preserve">גם </w:t>
      </w:r>
      <w:r>
        <w:rPr>
          <w:rtl/>
        </w:rPr>
        <w:t>יש לומר שמה שדורשים שאב זוכה בקנסה (ויל"ד, שאולי זה רק מפני שלא רוצים שחוטא נשכר. אבל, אולי כעין זה יש להוכיח כן ממה שהוא המתחייב, כמו שכ' לעיל.) או במה שיכול לעכב על הנישואין שלאחר האונס או הפיתוי משמע שהיא עדיין ברשותו. אז, צ"ל שהיא נערה או קטנה, ולא בוגרת.</w:t>
      </w:r>
    </w:p>
  </w:footnote>
  <w:footnote w:id="18">
    <w:p w14:paraId="0959389F" w14:textId="77777777" w:rsidR="00C61BEF" w:rsidRDefault="004F6459">
      <w:pPr>
        <w:pStyle w:val="FootnoteText"/>
      </w:pPr>
      <w:r>
        <w:rPr>
          <w:rStyle w:val="FootnoteCharacters"/>
        </w:rPr>
        <w:footnoteRef/>
      </w:r>
      <w:r>
        <w:rPr>
          <w:rtl/>
        </w:rPr>
        <w:tab/>
        <w:t xml:space="preserve"> </w:t>
      </w:r>
      <w:r>
        <w:rPr>
          <w:rtl/>
        </w:rPr>
        <w:t xml:space="preserve">יש </w:t>
      </w:r>
      <w:r>
        <w:rPr>
          <w:rtl/>
        </w:rPr>
        <w:t>להעיר שיכולים לומר כל פשט שנבאר, בע"ה, למה אין קנס לבתולה גם בה, שאינה כל כך בתולה.</w:t>
      </w:r>
    </w:p>
  </w:footnote>
  <w:footnote w:id="19">
    <w:p w14:paraId="3EDDE3CF" w14:textId="77777777" w:rsidR="00C61BEF" w:rsidRDefault="004F6459">
      <w:pPr>
        <w:pStyle w:val="FootnoteText"/>
      </w:pPr>
      <w:r>
        <w:rPr>
          <w:rStyle w:val="FootnoteCharacters"/>
        </w:rPr>
        <w:footnoteRef/>
      </w:r>
      <w:r>
        <w:rPr>
          <w:rtl/>
        </w:rPr>
        <w:tab/>
        <w:t xml:space="preserve"> </w:t>
      </w:r>
      <w:r>
        <w:rPr>
          <w:rtl/>
        </w:rPr>
        <w:t xml:space="preserve">עיין </w:t>
      </w:r>
      <w:r>
        <w:rPr>
          <w:rtl/>
        </w:rPr>
        <w:t>לקמן, שבע"ה נדון קצת יותר בזה (אם אדם רוצה בתולה).</w:t>
      </w:r>
    </w:p>
  </w:footnote>
  <w:footnote w:id="20">
    <w:p w14:paraId="617950F1" w14:textId="77777777" w:rsidR="00C61BEF" w:rsidRDefault="004F6459">
      <w:pPr>
        <w:pStyle w:val="FootnoteText"/>
      </w:pPr>
      <w:r>
        <w:rPr>
          <w:rStyle w:val="FootnoteCharacters"/>
        </w:rPr>
        <w:footnoteRef/>
      </w:r>
      <w:r>
        <w:rPr>
          <w:rtl/>
        </w:rPr>
        <w:tab/>
        <w:t xml:space="preserve"> </w:t>
      </w:r>
      <w:r>
        <w:rPr>
          <w:rtl/>
        </w:rPr>
        <w:t xml:space="preserve">דחוק </w:t>
      </w:r>
      <w:r>
        <w:rPr>
          <w:rtl/>
        </w:rPr>
        <w:t>לומר שיש רע שהוא שלא נשתנה על פי כמה בנ אדם יש בכלל הרע. לכאו', הרע צריך להיות שקשה לתורה לצוות (מעט ה' מצוות כפי היכולת). ותחשב.</w:t>
      </w:r>
    </w:p>
  </w:footnote>
  <w:footnote w:id="21">
    <w:p w14:paraId="0623181A" w14:textId="77777777" w:rsidR="00C61BEF" w:rsidRDefault="004F6459">
      <w:pPr>
        <w:pStyle w:val="FootnoteText"/>
      </w:pPr>
      <w:r>
        <w:rPr>
          <w:rStyle w:val="FootnoteCharacters"/>
        </w:rPr>
        <w:footnoteRef/>
      </w:r>
      <w:r>
        <w:rPr>
          <w:rtl/>
        </w:rPr>
        <w:tab/>
        <w:t xml:space="preserve"> </w:t>
      </w:r>
      <w:r>
        <w:rPr>
          <w:rtl/>
        </w:rPr>
        <w:t xml:space="preserve">יש, </w:t>
      </w:r>
      <w:r>
        <w:rPr>
          <w:rtl/>
        </w:rPr>
        <w:t>באמת, שני דרכים לדחות את זה. אולי יש למצוא שיש יותר רע במה שהוא חשש יותר קטן, או שיש רע מחמת שהוא חשש קטן או שיש רע שלא משנה בגודל החשש. עיין לעיל (בהערה) שכתבנו צד כזה. הצד האחר לדחות הוא שיש צורך שהוא יותר גדול במה שהוא יותר גדול, ואינו רק כפי גדולתו. (נראה שאולי יש לומר שכל מי שאשה זו תתפתה לו, מחמת שנתפתתה זמן ראשון, תתפתה לעוד אחר, ועוד ועוד ועוד. אז, בין הכל, נתרבה יותר ממה שחסרון נתרבה. ותחשב. כמו כן, יש לומר שיש מושג שרע אם עולם מלא חמס. (מסתבר לבאר ע"פ גמרא בקידושין שאומר שאף עולם נדון על פי רוב מעשיו.)</w:t>
      </w:r>
    </w:p>
  </w:footnote>
  <w:footnote w:id="22">
    <w:p w14:paraId="0B605C2A" w14:textId="77777777" w:rsidR="00C61BEF" w:rsidRDefault="004F6459">
      <w:pPr>
        <w:pStyle w:val="FootnoteText"/>
      </w:pPr>
      <w:r>
        <w:rPr>
          <w:rStyle w:val="FootnoteCharacters"/>
        </w:rPr>
        <w:footnoteRef/>
      </w:r>
      <w:r>
        <w:rPr>
          <w:rtl/>
        </w:rPr>
        <w:tab/>
        <w:t xml:space="preserve"> </w:t>
      </w:r>
      <w:r>
        <w:rPr>
          <w:rtl/>
        </w:rPr>
        <w:t xml:space="preserve">ויש </w:t>
      </w:r>
      <w:r>
        <w:rPr>
          <w:rtl/>
        </w:rPr>
        <w:t>לדון, שאף לאותו צד שכתבנו, לא נראה שהרע הוא מה שתאוו, אלא הרע הוא מה שבעל. מה שקנס בא לעצור ה וא התאווה, שרק יכול למנוע אותו מלבוא לידי תאווה, ולא מלעבור אחר שתאוו. ותחשב.</w:t>
      </w:r>
    </w:p>
  </w:footnote>
  <w:footnote w:id="23">
    <w:p w14:paraId="0ABC6C03" w14:textId="77777777" w:rsidR="00C61BEF" w:rsidRDefault="004F6459">
      <w:pPr>
        <w:pStyle w:val="FootnoteText"/>
      </w:pPr>
      <w:r>
        <w:rPr>
          <w:rStyle w:val="FootnoteCharacters"/>
        </w:rPr>
        <w:footnoteRef/>
      </w:r>
      <w:r>
        <w:rPr>
          <w:rtl/>
        </w:rPr>
        <w:tab/>
        <w:t xml:space="preserve"> </w:t>
      </w:r>
      <w:r>
        <w:rPr>
          <w:rtl/>
        </w:rPr>
        <w:t xml:space="preserve">נראה </w:t>
      </w:r>
      <w:r>
        <w:rPr>
          <w:rtl/>
        </w:rPr>
        <w:t>שזה תלוי בשני דברים. ראשון, זה תלוי בסיבה לדין "אין חוטא נשכר," אם הוא שלא רוצים שטוב יבוא מרע (ויש לדון למה), או שחוששים שיגרם שתעבור (שאז לא נראה שיהיה שייך כאן). שני, זה תלוי באם היא נקראת חוטא. לכאו', רק אפשר שהיא חוטא אם נניח שהיא קצת גרמה, או היתה יכולה לעצור, תאוותו.</w:t>
      </w:r>
    </w:p>
  </w:footnote>
  <w:footnote w:id="24">
    <w:p w14:paraId="79885DC4" w14:textId="77777777" w:rsidR="00C61BEF" w:rsidRDefault="004F6459">
      <w:pPr>
        <w:pStyle w:val="FootnoteText"/>
      </w:pPr>
      <w:r>
        <w:rPr>
          <w:rStyle w:val="FootnoteCharacters"/>
        </w:rPr>
        <w:footnoteRef/>
      </w:r>
      <w:r>
        <w:rPr>
          <w:rtl/>
        </w:rPr>
        <w:tab/>
        <w:t xml:space="preserve"> </w:t>
      </w:r>
      <w:r>
        <w:rPr>
          <w:rtl/>
        </w:rPr>
        <w:t xml:space="preserve">ויש </w:t>
      </w:r>
      <w:r>
        <w:rPr>
          <w:rtl/>
        </w:rPr>
        <w:t>לדון, שלצד שני, אולי נאמר שממה שבעל, מסתמא היה לו תאווה גדולה מאד, וזה בוודאי היה לו למנוע ממנו. אז, בוודאי נחייב אותו. ותחשב. (אז, אולי, נוכל לומר צד אחר- והוא שעל תאווה כזה, לא מסתבר שקנס יכול לפעול די. לא נראה כן כל כך מסברה.)</w:t>
      </w:r>
    </w:p>
  </w:footnote>
  <w:footnote w:id="25">
    <w:p w14:paraId="7F822E9F" w14:textId="77777777" w:rsidR="00C61BEF" w:rsidRDefault="004F6459">
      <w:pPr>
        <w:pStyle w:val="FootnoteText"/>
      </w:pPr>
      <w:r>
        <w:rPr>
          <w:rStyle w:val="FootnoteCharacters"/>
        </w:rPr>
        <w:footnoteRef/>
      </w:r>
      <w:r>
        <w:rPr>
          <w:rtl/>
        </w:rPr>
        <w:tab/>
        <w:t xml:space="preserve"> </w:t>
      </w:r>
      <w:r>
        <w:rPr>
          <w:rtl/>
        </w:rPr>
        <w:t xml:space="preserve">דורשים </w:t>
      </w:r>
      <w:r>
        <w:rPr>
          <w:rtl/>
        </w:rPr>
        <w:t>את זה ממה שכתוב גבי מוציא שם רע, "נער," במקום "נערה." מוציא שם רע הוא רק בגדולה (ששם כתוב חיוב מיתה לה), ואז דורשים מזה שרק כאן, שכ' "נער," צריך להיות גדולה, אבל במקום אחר, שכ', "נערה," יכול להיות נערה ויכול להיות קטנה.</w:t>
      </w:r>
    </w:p>
  </w:footnote>
  <w:footnote w:id="26">
    <w:p w14:paraId="404384DF" w14:textId="77777777" w:rsidR="00C61BEF" w:rsidRDefault="004F6459">
      <w:pPr>
        <w:pStyle w:val="FootnoteText"/>
      </w:pPr>
      <w:r>
        <w:rPr>
          <w:rStyle w:val="FootnoteCharacters"/>
        </w:rPr>
        <w:footnoteRef/>
      </w:r>
      <w:r>
        <w:rPr>
          <w:rtl/>
        </w:rPr>
        <w:tab/>
        <w:t xml:space="preserve"> </w:t>
      </w:r>
      <w:r>
        <w:rPr>
          <w:rtl/>
        </w:rPr>
        <w:t xml:space="preserve">נראה </w:t>
      </w:r>
      <w:r>
        <w:rPr>
          <w:rtl/>
        </w:rPr>
        <w:t>שכולי עלמא מודו לנקודה זו, שיש דינים אחרים שבאים ממנו, ולא מצאנו שגמ' יעורר שרבנן חולקים על אותם דינים.</w:t>
      </w:r>
    </w:p>
  </w:footnote>
  <w:footnote w:id="27">
    <w:p w14:paraId="794D2345" w14:textId="77777777" w:rsidR="00C61BEF" w:rsidRDefault="004F6459">
      <w:pPr>
        <w:pStyle w:val="FootnoteText"/>
      </w:pPr>
      <w:r>
        <w:rPr>
          <w:rStyle w:val="FootnoteCharacters"/>
        </w:rPr>
        <w:footnoteRef/>
      </w:r>
      <w:r>
        <w:rPr>
          <w:rtl/>
        </w:rPr>
        <w:tab/>
        <w:t xml:space="preserve"> </w:t>
      </w:r>
      <w:r>
        <w:rPr>
          <w:rtl/>
        </w:rPr>
        <w:t xml:space="preserve">לא </w:t>
      </w:r>
      <w:r>
        <w:rPr>
          <w:rtl/>
        </w:rPr>
        <w:t>כל כך פשוט לגמ' מה עושה רבנן עם מקור של רבי מאיר ומה עושה רבי מאיר עם מקור של רבנן. לא כל כך קשה מה עושים רבנן עם מקור של רבי מאיר, שיש לומר שיש אשה שמהווה את עצמה, וכתוב כן כדי ללמד לנו דינים (כמו שמפורש לקמן בגמ'), אבל לא כל אשה צריכה להיות כן. לא כל כך פשוט איך רבי מאיר דוחה מקור של רבנן. אולי לא סובר שיש משמעות זה ל"נערה" כלל. אבל, קשה אז למה צריכים קרא למעט, ולמה לא די במה שכ' "נערה." אולי מסברה היינו מרבים קטנה. (ויש לדון, שאז נקשה על כל סברה שנכתב בביאור הדין, כיון שהוא גם כן פירכא לאותו הו"א.)</w:t>
      </w:r>
    </w:p>
  </w:footnote>
  <w:footnote w:id="28">
    <w:p w14:paraId="1F4EFA1E" w14:textId="77777777" w:rsidR="00C61BEF" w:rsidRDefault="004F6459">
      <w:pPr>
        <w:pStyle w:val="FootnoteText"/>
      </w:pPr>
      <w:r>
        <w:rPr>
          <w:rStyle w:val="FootnoteCharacters"/>
        </w:rPr>
        <w:footnoteRef/>
      </w:r>
      <w:r>
        <w:rPr>
          <w:rtl/>
        </w:rPr>
        <w:tab/>
        <w:t xml:space="preserve"> </w:t>
      </w:r>
      <w:r>
        <w:rPr>
          <w:rtl/>
        </w:rPr>
        <w:t xml:space="preserve">גמ' </w:t>
      </w:r>
      <w:r>
        <w:rPr>
          <w:rtl/>
        </w:rPr>
        <w:t>בקידושין.</w:t>
      </w:r>
    </w:p>
  </w:footnote>
  <w:footnote w:id="29">
    <w:p w14:paraId="33DE01AE" w14:textId="77777777" w:rsidR="00C61BEF" w:rsidRDefault="004F6459">
      <w:pPr>
        <w:pStyle w:val="FootnoteText"/>
      </w:pPr>
      <w:r>
        <w:rPr>
          <w:rStyle w:val="FootnoteCharacters"/>
        </w:rPr>
        <w:footnoteRef/>
      </w:r>
      <w:r>
        <w:rPr>
          <w:rtl/>
        </w:rPr>
        <w:tab/>
        <w:t xml:space="preserve"> </w:t>
      </w:r>
      <w:r>
        <w:rPr>
          <w:rtl/>
        </w:rPr>
        <w:t xml:space="preserve">לא </w:t>
      </w:r>
      <w:r>
        <w:rPr>
          <w:rtl/>
        </w:rPr>
        <w:t xml:space="preserve">נראה שזהו ההנאה היחידי, מגמ' שנביא לקמן (מגילה יג.) גבי אסתר. לכאו', אין צורך, אז, בטעם בתולה אחר ביאה ראשונה, ומשמע שעוד היתה באסתר מעלה של ביאת בתולה אחר כך. ויש לדחות על פי מה שכתבנו בהרבה מקומת בביאור ענין רצון בני אדם. נראה שבני אדם רוצים, מתחילה, דבר שהוא טוב. אבל, כיון שרוצים כן, שמים את זה בליבם עם שם "טוב." אז, אפשר שמעלת ביאה בתולה היה, מתחילה, דבר שני שכתבנו, אבל אחר זה, נעשה כל ביאת בתולה טוב. ותחשב. </w:t>
      </w:r>
    </w:p>
  </w:footnote>
  <w:footnote w:id="30">
    <w:p w14:paraId="66F32D33" w14:textId="77777777" w:rsidR="00C61BEF" w:rsidRDefault="004F6459">
      <w:pPr>
        <w:pStyle w:val="FootnoteText"/>
      </w:pPr>
      <w:r>
        <w:rPr>
          <w:rStyle w:val="FootnoteCharacters"/>
        </w:rPr>
        <w:footnoteRef/>
      </w:r>
      <w:r>
        <w:rPr>
          <w:rtl/>
        </w:rPr>
        <w:tab/>
        <w:t xml:space="preserve"> </w:t>
      </w:r>
      <w:r>
        <w:rPr>
          <w:rtl/>
        </w:rPr>
        <w:t xml:space="preserve">אין </w:t>
      </w:r>
      <w:r>
        <w:rPr>
          <w:rtl/>
        </w:rPr>
        <w:t>זה כל כך פשוט, שנראה שאפשר שפגם הוא מה שלא רוצים בני אדם ליש אותה כיון שהיא נבעלת כבר לאיש. ואם תאמר, הרי זה כבר בכלל בושת. ויש לדון, שאולי בושת הוא הצער של הבושת, וההיזק (הפגם) הוא מה שזה גורם שהיא שווה יותר, ושבני אדם עושים בה דברים שאינם כל כך טובים. (אבל- וצריך לעיין לקמן- הגדרה של גמ' בשומה של הפגם לא משמע כן כלל, אלא משמע שהפגם יותר תלוי במה שנעשה בעולה.)</w:t>
      </w:r>
    </w:p>
  </w:footnote>
  <w:footnote w:id="31">
    <w:p w14:paraId="1A19F830" w14:textId="77777777" w:rsidR="00C61BEF" w:rsidRDefault="004F6459">
      <w:pPr>
        <w:pStyle w:val="FootnoteText"/>
      </w:pPr>
      <w:r>
        <w:rPr>
          <w:rStyle w:val="FootnoteCharacters"/>
        </w:rPr>
        <w:footnoteRef/>
      </w:r>
      <w:r>
        <w:rPr>
          <w:rtl/>
        </w:rPr>
        <w:tab/>
        <w:t xml:space="preserve"> </w:t>
      </w:r>
      <w:r>
        <w:rPr>
          <w:rtl/>
        </w:rPr>
        <w:t>יג.</w:t>
      </w:r>
    </w:p>
  </w:footnote>
  <w:footnote w:id="32">
    <w:p w14:paraId="71530A2C" w14:textId="77777777" w:rsidR="00C61BEF" w:rsidRDefault="004F6459">
      <w:pPr>
        <w:pStyle w:val="FootnoteText"/>
      </w:pPr>
      <w:r>
        <w:rPr>
          <w:rStyle w:val="FootnoteCharacters"/>
        </w:rPr>
        <w:footnoteRef/>
      </w:r>
      <w:r>
        <w:rPr>
          <w:rtl/>
        </w:rPr>
        <w:tab/>
        <w:t xml:space="preserve"> </w:t>
      </w:r>
      <w:r>
        <w:rPr>
          <w:rtl/>
        </w:rPr>
        <w:t>אפשר שמה שהיא כבר בעולה הוא סימן שהיא מורגלת (ואז נראה שיהיה קנס במוכת עץ), ואפשר שהוא רק שאין לה מניעה (במה שאז תחסר בתולים).</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88448" w14:textId="77777777" w:rsidR="005F2554" w:rsidRDefault="005F25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70815" w14:textId="77777777" w:rsidR="00C61BEF" w:rsidRDefault="004F6459">
    <w:pPr>
      <w:pStyle w:val="Header"/>
      <w:spacing w:before="567"/>
      <w:jc w:val="center"/>
    </w:pPr>
    <w:r>
      <w:rPr>
        <w:rtl/>
        <w:lang w:bidi="he-IL"/>
      </w:rPr>
      <w:t>הקדמה לפרק</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4D002" w14:textId="77777777" w:rsidR="005F2554" w:rsidRDefault="005F25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A4FE9"/>
    <w:multiLevelType w:val="multilevel"/>
    <w:tmpl w:val="CA8E57E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87D6B8A"/>
    <w:multiLevelType w:val="multilevel"/>
    <w:tmpl w:val="D3E2099C"/>
    <w:lvl w:ilvl="0">
      <w:start w:val="1"/>
      <w:numFmt w:val="decimal"/>
      <w:lvlText w:val="%1."/>
      <w:lvlJc w:val="left"/>
      <w:pPr>
        <w:tabs>
          <w:tab w:val="num" w:pos="0"/>
        </w:tabs>
        <w:ind w:left="720" w:hanging="360"/>
      </w:pPr>
      <w:rPr>
        <w:rFonts w:cs="Symbol"/>
      </w:rPr>
    </w:lvl>
    <w:lvl w:ilvl="1">
      <w:start w:val="1"/>
      <w:numFmt w:val="lowerLetter"/>
      <w:lvlText w:val="%2."/>
      <w:lvlJc w:val="left"/>
      <w:pPr>
        <w:tabs>
          <w:tab w:val="num" w:pos="0"/>
        </w:tabs>
        <w:ind w:left="1440" w:hanging="360"/>
      </w:pPr>
      <w:rPr>
        <w:rFonts w:cs="OpenSymbol"/>
      </w:rPr>
    </w:lvl>
    <w:lvl w:ilvl="2">
      <w:start w:val="1"/>
      <w:numFmt w:val="lowerRoman"/>
      <w:lvlText w:val="%3."/>
      <w:lvlJc w:val="right"/>
      <w:pPr>
        <w:tabs>
          <w:tab w:val="num" w:pos="0"/>
        </w:tabs>
        <w:ind w:left="2160" w:hanging="180"/>
      </w:pPr>
      <w:rPr>
        <w:rFonts w:cs="OpenSymbol"/>
      </w:rPr>
    </w:lvl>
    <w:lvl w:ilvl="3">
      <w:start w:val="1"/>
      <w:numFmt w:val="decimal"/>
      <w:lvlText w:val="%4."/>
      <w:lvlJc w:val="left"/>
      <w:pPr>
        <w:tabs>
          <w:tab w:val="num" w:pos="0"/>
        </w:tabs>
        <w:ind w:left="2880" w:hanging="360"/>
      </w:pPr>
      <w:rPr>
        <w:rFonts w:cs="Symbol"/>
      </w:rPr>
    </w:lvl>
    <w:lvl w:ilvl="4">
      <w:start w:val="1"/>
      <w:numFmt w:val="lowerLetter"/>
      <w:lvlText w:val="%5."/>
      <w:lvlJc w:val="left"/>
      <w:pPr>
        <w:tabs>
          <w:tab w:val="num" w:pos="0"/>
        </w:tabs>
        <w:ind w:left="3600" w:hanging="360"/>
      </w:pPr>
      <w:rPr>
        <w:rFonts w:cs="OpenSymbol"/>
      </w:rPr>
    </w:lvl>
    <w:lvl w:ilvl="5">
      <w:start w:val="1"/>
      <w:numFmt w:val="lowerRoman"/>
      <w:lvlText w:val="%6."/>
      <w:lvlJc w:val="right"/>
      <w:pPr>
        <w:tabs>
          <w:tab w:val="num" w:pos="0"/>
        </w:tabs>
        <w:ind w:left="4320" w:hanging="180"/>
      </w:pPr>
      <w:rPr>
        <w:rFonts w:cs="OpenSymbol"/>
      </w:rPr>
    </w:lvl>
    <w:lvl w:ilvl="6">
      <w:start w:val="1"/>
      <w:numFmt w:val="decimal"/>
      <w:lvlText w:val="%7."/>
      <w:lvlJc w:val="left"/>
      <w:pPr>
        <w:tabs>
          <w:tab w:val="num" w:pos="0"/>
        </w:tabs>
        <w:ind w:left="5040" w:hanging="360"/>
      </w:pPr>
      <w:rPr>
        <w:rFonts w:cs="Symbol"/>
      </w:rPr>
    </w:lvl>
    <w:lvl w:ilvl="7">
      <w:start w:val="1"/>
      <w:numFmt w:val="lowerLetter"/>
      <w:lvlText w:val="%8."/>
      <w:lvlJc w:val="left"/>
      <w:pPr>
        <w:tabs>
          <w:tab w:val="num" w:pos="0"/>
        </w:tabs>
        <w:ind w:left="5760" w:hanging="360"/>
      </w:pPr>
      <w:rPr>
        <w:rFonts w:cs="OpenSymbol"/>
      </w:rPr>
    </w:lvl>
    <w:lvl w:ilvl="8">
      <w:start w:val="1"/>
      <w:numFmt w:val="lowerRoman"/>
      <w:lvlText w:val="%9."/>
      <w:lvlJc w:val="right"/>
      <w:pPr>
        <w:tabs>
          <w:tab w:val="num" w:pos="0"/>
        </w:tabs>
        <w:ind w:left="6480" w:hanging="180"/>
      </w:pPr>
      <w:rPr>
        <w:rFonts w:cs="OpenSymbol"/>
      </w:rPr>
    </w:lvl>
  </w:abstractNum>
  <w:abstractNum w:abstractNumId="2" w15:restartNumberingAfterBreak="0">
    <w:nsid w:val="666E5276"/>
    <w:multiLevelType w:val="multilevel"/>
    <w:tmpl w:val="7152E38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68A30CC4"/>
    <w:multiLevelType w:val="multilevel"/>
    <w:tmpl w:val="BF1AF002"/>
    <w:lvl w:ilvl="0">
      <w:start w:val="1"/>
      <w:numFmt w:val="decimal"/>
      <w:lvlText w:val="%1."/>
      <w:lvlJc w:val="left"/>
      <w:pPr>
        <w:tabs>
          <w:tab w:val="num" w:pos="0"/>
        </w:tabs>
        <w:ind w:left="720" w:hanging="360"/>
      </w:pPr>
      <w:rPr>
        <w:rFonts w:cs="Symbol"/>
      </w:rPr>
    </w:lvl>
    <w:lvl w:ilvl="1">
      <w:start w:val="1"/>
      <w:numFmt w:val="lowerLetter"/>
      <w:lvlText w:val="%2."/>
      <w:lvlJc w:val="left"/>
      <w:pPr>
        <w:tabs>
          <w:tab w:val="num" w:pos="0"/>
        </w:tabs>
        <w:ind w:left="1440" w:hanging="360"/>
      </w:pPr>
      <w:rPr>
        <w:rFonts w:cs="OpenSymbol"/>
      </w:rPr>
    </w:lvl>
    <w:lvl w:ilvl="2">
      <w:start w:val="1"/>
      <w:numFmt w:val="lowerRoman"/>
      <w:lvlText w:val="%3."/>
      <w:lvlJc w:val="right"/>
      <w:pPr>
        <w:tabs>
          <w:tab w:val="num" w:pos="0"/>
        </w:tabs>
        <w:ind w:left="2160" w:hanging="180"/>
      </w:pPr>
      <w:rPr>
        <w:rFonts w:cs="OpenSymbol"/>
      </w:rPr>
    </w:lvl>
    <w:lvl w:ilvl="3">
      <w:start w:val="1"/>
      <w:numFmt w:val="decimal"/>
      <w:lvlText w:val="%4."/>
      <w:lvlJc w:val="left"/>
      <w:pPr>
        <w:tabs>
          <w:tab w:val="num" w:pos="0"/>
        </w:tabs>
        <w:ind w:left="2880" w:hanging="360"/>
      </w:pPr>
      <w:rPr>
        <w:rFonts w:cs="Symbol"/>
      </w:rPr>
    </w:lvl>
    <w:lvl w:ilvl="4">
      <w:start w:val="1"/>
      <w:numFmt w:val="lowerLetter"/>
      <w:lvlText w:val="%5."/>
      <w:lvlJc w:val="left"/>
      <w:pPr>
        <w:tabs>
          <w:tab w:val="num" w:pos="0"/>
        </w:tabs>
        <w:ind w:left="3600" w:hanging="360"/>
      </w:pPr>
      <w:rPr>
        <w:rFonts w:cs="OpenSymbol"/>
      </w:rPr>
    </w:lvl>
    <w:lvl w:ilvl="5">
      <w:start w:val="1"/>
      <w:numFmt w:val="lowerRoman"/>
      <w:lvlText w:val="%6."/>
      <w:lvlJc w:val="right"/>
      <w:pPr>
        <w:tabs>
          <w:tab w:val="num" w:pos="0"/>
        </w:tabs>
        <w:ind w:left="4320" w:hanging="180"/>
      </w:pPr>
      <w:rPr>
        <w:rFonts w:cs="OpenSymbol"/>
      </w:rPr>
    </w:lvl>
    <w:lvl w:ilvl="6">
      <w:start w:val="1"/>
      <w:numFmt w:val="decimal"/>
      <w:lvlText w:val="%7."/>
      <w:lvlJc w:val="left"/>
      <w:pPr>
        <w:tabs>
          <w:tab w:val="num" w:pos="0"/>
        </w:tabs>
        <w:ind w:left="5040" w:hanging="360"/>
      </w:pPr>
      <w:rPr>
        <w:rFonts w:cs="Symbol"/>
      </w:rPr>
    </w:lvl>
    <w:lvl w:ilvl="7">
      <w:start w:val="1"/>
      <w:numFmt w:val="lowerLetter"/>
      <w:lvlText w:val="%8."/>
      <w:lvlJc w:val="left"/>
      <w:pPr>
        <w:tabs>
          <w:tab w:val="num" w:pos="0"/>
        </w:tabs>
        <w:ind w:left="5760" w:hanging="360"/>
      </w:pPr>
      <w:rPr>
        <w:rFonts w:cs="OpenSymbol"/>
      </w:rPr>
    </w:lvl>
    <w:lvl w:ilvl="8">
      <w:start w:val="1"/>
      <w:numFmt w:val="lowerRoman"/>
      <w:lvlText w:val="%9."/>
      <w:lvlJc w:val="right"/>
      <w:pPr>
        <w:tabs>
          <w:tab w:val="num" w:pos="0"/>
        </w:tabs>
        <w:ind w:left="6480" w:hanging="180"/>
      </w:pPr>
      <w:rPr>
        <w:rFonts w:cs="OpenSymbol"/>
      </w:rPr>
    </w:lvl>
  </w:abstractNum>
  <w:abstractNum w:abstractNumId="4" w15:restartNumberingAfterBreak="0">
    <w:nsid w:val="708D0EF2"/>
    <w:multiLevelType w:val="multilevel"/>
    <w:tmpl w:val="3A6833AC"/>
    <w:lvl w:ilvl="0">
      <w:start w:val="1"/>
      <w:numFmt w:val="decimal"/>
      <w:lvlText w:val="%1."/>
      <w:lvlJc w:val="left"/>
      <w:pPr>
        <w:tabs>
          <w:tab w:val="num" w:pos="0"/>
        </w:tabs>
        <w:ind w:left="720" w:hanging="360"/>
      </w:pPr>
      <w:rPr>
        <w:rFonts w:cs="Wingdings"/>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1"/>
  </w:num>
  <w:num w:numId="2">
    <w:abstractNumId w:val="4"/>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BEF"/>
    <w:rsid w:val="002B6F0E"/>
    <w:rsid w:val="00371DC4"/>
    <w:rsid w:val="004F6459"/>
    <w:rsid w:val="005237CC"/>
    <w:rsid w:val="005F2554"/>
    <w:rsid w:val="008E19F1"/>
    <w:rsid w:val="00C61BEF"/>
  </w:rsids>
  <m:mathPr>
    <m:mathFont m:val="Cambria Math"/>
    <m:brkBin m:val="before"/>
    <m:brkBinSub m:val="--"/>
    <m:smallFrac m:val="0"/>
    <m:dispDef/>
    <m:lMargin m:val="0"/>
    <m:rMargin m:val="0"/>
    <m:defJc m:val="centerGroup"/>
    <m:wrapIndent m:val="1440"/>
    <m:intLim m:val="subSup"/>
    <m:naryLim m:val="undOvr"/>
  </m:mathPr>
  <w:themeFontLang w:val="en-US"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74FEF"/>
  <w15:docId w15:val="{EAEDBA89-47A2-45B1-8FD8-53381A38B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zh-CN" w:bidi="he-I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AD3"/>
    <w:pPr>
      <w:bidi/>
      <w:spacing w:before="283" w:after="283" w:line="259" w:lineRule="auto"/>
    </w:pPr>
    <w:rPr>
      <w:rFonts w:ascii="SBL Hebrew" w:eastAsiaTheme="minorHAnsi" w:hAnsi="SBL Hebrew" w:cs="SBL Hebrew"/>
      <w:sz w:val="22"/>
      <w:szCs w:val="22"/>
      <w:lang w:val="en-US" w:eastAsia="en-US" w:bidi="ar-SA"/>
    </w:rPr>
  </w:style>
  <w:style w:type="paragraph" w:styleId="Heading1">
    <w:name w:val="heading 1"/>
    <w:basedOn w:val="Normal"/>
    <w:next w:val="Normal"/>
    <w:link w:val="Heading1Char"/>
    <w:uiPriority w:val="9"/>
    <w:qFormat/>
    <w:rsid w:val="005E0AD3"/>
    <w:pPr>
      <w:keepNext/>
      <w:keepLines/>
      <w:ind w:left="283"/>
      <w:outlineLvl w:val="0"/>
    </w:pPr>
    <w:rPr>
      <w:rFonts w:ascii="Calibri Light" w:eastAsia="SimSun" w:hAnsi="Calibri Light"/>
      <w:bCs/>
      <w:color w:val="000000"/>
      <w:sz w:val="32"/>
      <w:lang w:bidi="he-IL"/>
    </w:rPr>
  </w:style>
  <w:style w:type="paragraph" w:styleId="Heading2">
    <w:name w:val="heading 2"/>
    <w:basedOn w:val="Normal"/>
    <w:next w:val="Normal"/>
    <w:link w:val="Heading2Char"/>
    <w:uiPriority w:val="9"/>
    <w:unhideWhenUsed/>
    <w:qFormat/>
    <w:rsid w:val="005E0AD3"/>
    <w:pPr>
      <w:keepNext/>
      <w:keepLines/>
      <w:ind w:left="567"/>
      <w:outlineLvl w:val="1"/>
    </w:pPr>
    <w:rPr>
      <w:rFonts w:ascii="Calibri Light" w:eastAsia="SimSun" w:hAnsi="Calibri Light"/>
      <w:bCs/>
      <w:color w:val="000000"/>
      <w:sz w:val="26"/>
      <w:lang w:bidi="he-IL"/>
    </w:rPr>
  </w:style>
  <w:style w:type="paragraph" w:styleId="Heading3">
    <w:name w:val="heading 3"/>
    <w:basedOn w:val="Normal"/>
    <w:next w:val="Normal"/>
    <w:link w:val="Heading3Char"/>
    <w:uiPriority w:val="9"/>
    <w:unhideWhenUsed/>
    <w:qFormat/>
    <w:rsid w:val="005E0AD3"/>
    <w:pPr>
      <w:keepNext/>
      <w:keepLines/>
      <w:ind w:left="850"/>
      <w:outlineLvl w:val="2"/>
    </w:pPr>
    <w:rPr>
      <w:rFonts w:ascii="Calibri Light" w:eastAsia="SimSun" w:hAnsi="Calibri Light"/>
      <w:bCs/>
      <w:color w:val="000000"/>
      <w:sz w:val="24"/>
    </w:rPr>
  </w:style>
  <w:style w:type="paragraph" w:styleId="Heading4">
    <w:name w:val="heading 4"/>
    <w:basedOn w:val="Normal"/>
    <w:next w:val="Normal"/>
    <w:link w:val="Heading4Char"/>
    <w:qFormat/>
    <w:pPr>
      <w:keepNext/>
      <w:keepLines/>
      <w:ind w:left="1134"/>
      <w:outlineLvl w:val="3"/>
    </w:pPr>
    <w:rPr>
      <w:rFonts w:ascii="Calibri Light" w:eastAsia="SimSun" w:hAnsi="Calibri Light"/>
      <w:bCs/>
      <w:i/>
      <w:color w:val="000000"/>
    </w:rPr>
  </w:style>
  <w:style w:type="paragraph" w:styleId="Heading5">
    <w:name w:val="heading 5"/>
    <w:basedOn w:val="Normal"/>
    <w:next w:val="Normal"/>
    <w:link w:val="Heading5Char"/>
    <w:qFormat/>
    <w:pPr>
      <w:keepNext/>
      <w:keepLines/>
      <w:ind w:left="1417"/>
      <w:outlineLvl w:val="4"/>
    </w:pPr>
    <w:rPr>
      <w:rFonts w:ascii="Calibri Light" w:eastAsia="SimSun" w:hAnsi="Calibri Light"/>
      <w:bCs/>
      <w:color w:val="000000"/>
    </w:rPr>
  </w:style>
  <w:style w:type="paragraph" w:styleId="Heading6">
    <w:name w:val="heading 6"/>
    <w:basedOn w:val="Normal"/>
    <w:next w:val="Normal"/>
    <w:qFormat/>
    <w:pPr>
      <w:keepNext/>
      <w:keepLines/>
      <w:spacing w:line="12" w:lineRule="auto"/>
      <w:ind w:left="1701"/>
      <w:outlineLvl w:val="5"/>
    </w:pPr>
    <w:rPr>
      <w:b/>
      <w:bCs/>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5E0AD3"/>
    <w:rPr>
      <w:rFonts w:ascii="Calibri Light" w:eastAsia="SimSun" w:hAnsi="Calibri Light" w:cs="DengXian Light"/>
      <w:color w:val="2F5496"/>
      <w:sz w:val="32"/>
      <w:szCs w:val="32"/>
    </w:rPr>
  </w:style>
  <w:style w:type="character" w:customStyle="1" w:styleId="Heading2Char">
    <w:name w:val="Heading 2 Char"/>
    <w:basedOn w:val="DefaultParagraphFont"/>
    <w:link w:val="Heading2"/>
    <w:uiPriority w:val="9"/>
    <w:qFormat/>
    <w:rsid w:val="005E0AD3"/>
    <w:rPr>
      <w:rFonts w:ascii="Calibri Light" w:eastAsia="SimSun" w:hAnsi="Calibri Light" w:cs="DengXian Light"/>
      <w:color w:val="2F5496"/>
      <w:sz w:val="26"/>
      <w:szCs w:val="26"/>
    </w:rPr>
  </w:style>
  <w:style w:type="character" w:customStyle="1" w:styleId="Heading3Char">
    <w:name w:val="Heading 3 Char"/>
    <w:basedOn w:val="DefaultParagraphFont"/>
    <w:link w:val="Heading3"/>
    <w:uiPriority w:val="9"/>
    <w:qFormat/>
    <w:rsid w:val="005E0AD3"/>
    <w:rPr>
      <w:rFonts w:ascii="Calibri Light" w:eastAsia="SimSun" w:hAnsi="Calibri Light" w:cs="DengXian Light"/>
      <w:color w:val="1F3864"/>
      <w:sz w:val="24"/>
      <w:szCs w:val="24"/>
    </w:rPr>
  </w:style>
  <w:style w:type="character" w:customStyle="1" w:styleId="FootnoteTextChar">
    <w:name w:val="Footnote Text Char"/>
    <w:basedOn w:val="DefaultParagraphFont"/>
    <w:link w:val="FootnoteText"/>
    <w:uiPriority w:val="99"/>
    <w:qFormat/>
    <w:rsid w:val="005E0AD3"/>
    <w:rPr>
      <w:sz w:val="20"/>
      <w:szCs w:val="20"/>
    </w:rPr>
  </w:style>
  <w:style w:type="character" w:customStyle="1" w:styleId="FootnoteCharacters">
    <w:name w:val="Footnote Characters"/>
    <w:uiPriority w:val="99"/>
    <w:semiHidden/>
    <w:unhideWhenUsed/>
    <w:qFormat/>
    <w:rsid w:val="005E0AD3"/>
    <w:rPr>
      <w:vertAlign w:val="superscript"/>
    </w:rPr>
  </w:style>
  <w:style w:type="character" w:styleId="FootnoteReference">
    <w:name w:val="footnote reference"/>
    <w:rPr>
      <w:vertAlign w:val="superscript"/>
    </w:rPr>
  </w:style>
  <w:style w:type="character" w:styleId="LineNumber">
    <w:name w:val="line numbe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a">
    <w:name w:val="תווי הערת סיום"/>
    <w:qFormat/>
    <w:rPr>
      <w:vertAlign w:val="superscript"/>
    </w:rPr>
  </w:style>
  <w:style w:type="character" w:customStyle="1" w:styleId="a0">
    <w:name w:val="תווי הערת שוליים"/>
    <w:qFormat/>
    <w:rPr>
      <w:vertAlign w:val="superscript"/>
    </w:rPr>
  </w:style>
  <w:style w:type="character" w:styleId="Hyperlink">
    <w:name w:val="Hyperlink"/>
    <w:rPr>
      <w:color w:val="000080"/>
      <w:u w:val="single"/>
    </w:rPr>
  </w:style>
  <w:style w:type="character" w:styleId="Strong">
    <w:name w:val="Strong"/>
    <w:qFormat/>
    <w:rPr>
      <w:b/>
    </w:rPr>
  </w:style>
  <w:style w:type="character" w:customStyle="1" w:styleId="Heading4Char">
    <w:name w:val="Heading 4 Char"/>
    <w:basedOn w:val="DefaultParagraphFont"/>
    <w:link w:val="Heading4"/>
    <w:qFormat/>
    <w:rPr>
      <w:rFonts w:ascii="Calibri Light" w:eastAsia="SimSun" w:hAnsi="Calibri Light" w:cs="DengXian Light"/>
      <w:i/>
      <w:iCs/>
      <w:color w:val="2F5496"/>
    </w:rPr>
  </w:style>
  <w:style w:type="character" w:customStyle="1" w:styleId="Heading5Char">
    <w:name w:val="Heading 5 Char"/>
    <w:basedOn w:val="DefaultParagraphFont"/>
    <w:link w:val="Heading5"/>
    <w:qFormat/>
    <w:rPr>
      <w:rFonts w:ascii="Calibri Light" w:eastAsia="SimSun" w:hAnsi="Calibri Light" w:cs="DengXian Light"/>
      <w:color w:val="2F5496"/>
    </w:rPr>
  </w:style>
  <w:style w:type="character" w:customStyle="1" w:styleId="a1">
    <w:name w:val="סמלי מספור"/>
    <w:qFormat/>
  </w:style>
  <w:style w:type="character" w:customStyle="1" w:styleId="Bullets">
    <w:name w:val="Bullets"/>
    <w:qFormat/>
    <w:rPr>
      <w:rFonts w:ascii="OpenSymbol" w:eastAsia="OpenSymbol" w:hAnsi="OpenSymbol" w:cs="OpenSymbol"/>
    </w:rPr>
  </w:style>
  <w:style w:type="character" w:customStyle="1" w:styleId="CITE">
    <w:name w:val="CITE"/>
    <w:qFormat/>
    <w:rPr>
      <w:i/>
    </w:rPr>
  </w:style>
  <w:style w:type="character" w:customStyle="1" w:styleId="CODE">
    <w:name w:val="CODE"/>
    <w:qFormat/>
    <w:rPr>
      <w:rFonts w:ascii="Courier New" w:hAnsi="Courier New"/>
      <w:sz w:val="20"/>
    </w:rPr>
  </w:style>
  <w:style w:type="character" w:customStyle="1" w:styleId="Keyboard">
    <w:name w:val="Keyboard"/>
    <w:qFormat/>
    <w:rPr>
      <w:rFonts w:ascii="Courier New" w:hAnsi="Courier New"/>
      <w:b/>
      <w:sz w:val="20"/>
    </w:rPr>
  </w:style>
  <w:style w:type="character" w:customStyle="1" w:styleId="Sample">
    <w:name w:val="Sample"/>
    <w:qFormat/>
    <w:rPr>
      <w:rFonts w:ascii="Courier New" w:hAnsi="Courier New"/>
    </w:rPr>
  </w:style>
  <w:style w:type="character" w:customStyle="1" w:styleId="Typewriter">
    <w:name w:val="Typewriter"/>
    <w:qFormat/>
    <w:rPr>
      <w:rFonts w:ascii="Courier New" w:hAnsi="Courier New"/>
      <w:sz w:val="20"/>
    </w:rPr>
  </w:style>
  <w:style w:type="character" w:customStyle="1" w:styleId="HTMLMarkup">
    <w:name w:val="HTML Markup"/>
    <w:qFormat/>
    <w:rPr>
      <w:vanish/>
      <w:color w:val="FF0000"/>
    </w:rPr>
  </w:style>
  <w:style w:type="character" w:customStyle="1" w:styleId="Comment">
    <w:name w:val="Comment"/>
    <w:qFormat/>
    <w:rPr>
      <w:vanish/>
    </w:rPr>
  </w:style>
  <w:style w:type="character" w:customStyle="1" w:styleId="BodyTextChar">
    <w:name w:val="Body Text Char"/>
    <w:basedOn w:val="DefaultParagraphFont"/>
    <w:link w:val="BodyText"/>
    <w:qFormat/>
    <w:rPr>
      <w:rFonts w:ascii="Calibri" w:eastAsia="Calibri" w:hAnsi="Calibri"/>
      <w:sz w:val="22"/>
      <w:szCs w:val="22"/>
      <w:lang w:val="en-US" w:eastAsia="en-US" w:bidi="ar-SA"/>
    </w:rPr>
  </w:style>
  <w:style w:type="character" w:customStyle="1" w:styleId="HeaderChar">
    <w:name w:val="Header Char"/>
    <w:basedOn w:val="DefaultParagraphFont"/>
    <w:link w:val="Header"/>
    <w:uiPriority w:val="99"/>
    <w:qFormat/>
    <w:rsid w:val="005E4F12"/>
    <w:rPr>
      <w:rFonts w:ascii="SBL Hebrew" w:eastAsiaTheme="minorHAnsi" w:hAnsi="SBL Hebrew" w:cs="SBL Hebrew"/>
      <w:sz w:val="22"/>
      <w:szCs w:val="22"/>
      <w:lang w:val="en-US" w:eastAsia="en-US" w:bidi="ar-SA"/>
    </w:rPr>
  </w:style>
  <w:style w:type="paragraph" w:customStyle="1" w:styleId="Heading">
    <w:name w:val="Heading"/>
    <w:basedOn w:val="Normal"/>
    <w:next w:val="BodyText"/>
    <w:qFormat/>
    <w:pPr>
      <w:keepNext/>
      <w:spacing w:before="240" w:after="120"/>
    </w:pPr>
    <w:rPr>
      <w:rFonts w:ascii="Arial" w:eastAsia="Microsoft YaHei" w:hAnsi="Arial" w:cs="Narkisim"/>
      <w:sz w:val="28"/>
      <w:szCs w:val="28"/>
    </w:rPr>
  </w:style>
  <w:style w:type="paragraph" w:styleId="BodyText">
    <w:name w:val="Body Text"/>
    <w:basedOn w:val="Normal"/>
    <w:link w:val="BodyTextChar"/>
    <w:pPr>
      <w:spacing w:before="0" w:after="140" w:line="276" w:lineRule="auto"/>
    </w:pPr>
  </w:style>
  <w:style w:type="paragraph" w:styleId="List">
    <w:name w:val="List"/>
    <w:basedOn w:val="BodyText"/>
    <w:rPr>
      <w:rFonts w:cs="Narkisim"/>
    </w:rPr>
  </w:style>
  <w:style w:type="paragraph" w:styleId="Caption">
    <w:name w:val="caption"/>
    <w:basedOn w:val="Normal"/>
    <w:next w:val="Normal"/>
    <w:qFormat/>
    <w:pPr>
      <w:suppressLineNumbers/>
      <w:spacing w:before="120" w:after="120"/>
    </w:pPr>
    <w:rPr>
      <w:rFonts w:cs="Narkisim"/>
      <w:i/>
      <w:iCs/>
      <w:sz w:val="24"/>
    </w:rPr>
  </w:style>
  <w:style w:type="paragraph" w:customStyle="1" w:styleId="Index">
    <w:name w:val="Index"/>
    <w:basedOn w:val="Normal"/>
    <w:qFormat/>
    <w:pPr>
      <w:suppressLineNumbers/>
    </w:pPr>
    <w:rPr>
      <w:rFonts w:cs="Narkisim"/>
    </w:rPr>
  </w:style>
  <w:style w:type="paragraph" w:styleId="FootnoteText">
    <w:name w:val="footnote text"/>
    <w:basedOn w:val="Normal"/>
    <w:link w:val="FootnoteTextChar"/>
    <w:uiPriority w:val="99"/>
    <w:unhideWhenUsed/>
    <w:rsid w:val="005E0AD3"/>
    <w:pPr>
      <w:spacing w:line="240" w:lineRule="auto"/>
      <w:ind w:left="340" w:hanging="340"/>
    </w:pPr>
    <w:rPr>
      <w:rFonts w:cs="Guttman Rashi"/>
      <w:sz w:val="20"/>
      <w:szCs w:val="20"/>
    </w:rPr>
  </w:style>
  <w:style w:type="paragraph" w:styleId="ListParagraph">
    <w:name w:val="List Paragraph"/>
    <w:basedOn w:val="Normal"/>
    <w:uiPriority w:val="34"/>
    <w:qFormat/>
    <w:rsid w:val="005E0AD3"/>
    <w:pPr>
      <w:ind w:left="720"/>
    </w:pPr>
  </w:style>
  <w:style w:type="paragraph" w:customStyle="1" w:styleId="a2">
    <w:name w:val="שורת כותרת"/>
    <w:basedOn w:val="Normal"/>
    <w:next w:val="BodyText"/>
    <w:qFormat/>
    <w:pPr>
      <w:keepNext/>
      <w:spacing w:before="240" w:after="120"/>
    </w:pPr>
    <w:rPr>
      <w:rFonts w:ascii="Arial" w:eastAsia="Microsoft YaHei" w:hAnsi="Arial" w:cs="Narkisim"/>
      <w:sz w:val="28"/>
      <w:szCs w:val="28"/>
    </w:rPr>
  </w:style>
  <w:style w:type="paragraph" w:customStyle="1" w:styleId="a3">
    <w:name w:val="מפתחות"/>
    <w:basedOn w:val="Normal"/>
    <w:qFormat/>
    <w:pPr>
      <w:suppressLineNumbers/>
    </w:pPr>
    <w:rPr>
      <w:rFonts w:cs="Narkisim"/>
    </w:rPr>
  </w:style>
  <w:style w:type="paragraph" w:customStyle="1" w:styleId="HeaderandFooter">
    <w:name w:val="Header and Footer"/>
    <w:basedOn w:val="Normal"/>
    <w:qFormat/>
    <w:pPr>
      <w:suppressLineNumbers/>
      <w:tabs>
        <w:tab w:val="center" w:pos="4680"/>
        <w:tab w:val="right" w:pos="9360"/>
      </w:tabs>
    </w:pPr>
  </w:style>
  <w:style w:type="paragraph" w:styleId="Footer">
    <w:name w:val="footer"/>
    <w:basedOn w:val="HeaderandFooter"/>
  </w:style>
  <w:style w:type="paragraph" w:styleId="NormalWeb">
    <w:name w:val="Normal (Web)"/>
    <w:qFormat/>
    <w:pPr>
      <w:widowControl w:val="0"/>
      <w:bidi/>
      <w:spacing w:before="280" w:after="280"/>
      <w:jc w:val="right"/>
    </w:pPr>
    <w:rPr>
      <w:sz w:val="24"/>
      <w:szCs w:val="24"/>
      <w:lang w:val="en-US" w:bidi="ar-SA"/>
    </w:rPr>
  </w:style>
  <w:style w:type="paragraph" w:customStyle="1" w:styleId="Style1">
    <w:name w:val="Style1"/>
    <w:basedOn w:val="Normal"/>
    <w:qFormat/>
    <w:pPr>
      <w:spacing w:before="0" w:after="0" w:line="240" w:lineRule="auto"/>
      <w:contextualSpacing/>
    </w:pPr>
    <w:rPr>
      <w:rFonts w:cs="Shofar"/>
    </w:rPr>
  </w:style>
  <w:style w:type="paragraph" w:customStyle="1" w:styleId="Style2">
    <w:name w:val="Style2"/>
    <w:basedOn w:val="Style1"/>
    <w:qFormat/>
    <w:rPr>
      <w:rFonts w:cs="BenOr Rashi"/>
    </w:rPr>
  </w:style>
  <w:style w:type="paragraph" w:customStyle="1" w:styleId="DefinitionTerm">
    <w:name w:val="Definition Term"/>
    <w:basedOn w:val="Normal"/>
    <w:qFormat/>
  </w:style>
  <w:style w:type="paragraph" w:customStyle="1" w:styleId="DefinitionList">
    <w:name w:val="Definition List"/>
    <w:basedOn w:val="Normal"/>
    <w:next w:val="DefinitionTerm"/>
    <w:qFormat/>
    <w:pPr>
      <w:ind w:left="360"/>
    </w:pPr>
  </w:style>
  <w:style w:type="paragraph" w:customStyle="1" w:styleId="H1">
    <w:name w:val="H1"/>
    <w:basedOn w:val="Normal"/>
    <w:next w:val="Normal"/>
    <w:qFormat/>
    <w:pPr>
      <w:keepNext/>
      <w:spacing w:before="100" w:after="100"/>
      <w:outlineLvl w:val="1"/>
    </w:pPr>
    <w:rPr>
      <w:b/>
      <w:kern w:val="2"/>
      <w:sz w:val="48"/>
    </w:rPr>
  </w:style>
  <w:style w:type="paragraph" w:customStyle="1" w:styleId="H2">
    <w:name w:val="H2"/>
    <w:basedOn w:val="Normal"/>
    <w:next w:val="Normal"/>
    <w:qFormat/>
    <w:pPr>
      <w:keepNext/>
      <w:spacing w:before="100" w:after="100"/>
      <w:outlineLvl w:val="2"/>
    </w:pPr>
    <w:rPr>
      <w:b/>
      <w:sz w:val="36"/>
    </w:rPr>
  </w:style>
  <w:style w:type="paragraph" w:customStyle="1" w:styleId="H3">
    <w:name w:val="H3"/>
    <w:basedOn w:val="Normal"/>
    <w:next w:val="Normal"/>
    <w:qFormat/>
    <w:pPr>
      <w:keepNext/>
      <w:spacing w:before="100" w:after="100"/>
      <w:outlineLvl w:val="3"/>
    </w:pPr>
    <w:rPr>
      <w:b/>
      <w:sz w:val="28"/>
    </w:rPr>
  </w:style>
  <w:style w:type="paragraph" w:customStyle="1" w:styleId="H4">
    <w:name w:val="H4"/>
    <w:basedOn w:val="Normal"/>
    <w:next w:val="Normal"/>
    <w:qFormat/>
    <w:pPr>
      <w:keepNext/>
      <w:spacing w:before="100" w:after="100"/>
      <w:outlineLvl w:val="4"/>
    </w:pPr>
    <w:rPr>
      <w:b/>
      <w:sz w:val="24"/>
    </w:rPr>
  </w:style>
  <w:style w:type="paragraph" w:customStyle="1" w:styleId="H5">
    <w:name w:val="H5"/>
    <w:basedOn w:val="Normal"/>
    <w:next w:val="Normal"/>
    <w:qFormat/>
    <w:pPr>
      <w:keepNext/>
      <w:spacing w:before="100" w:after="100"/>
      <w:outlineLvl w:val="5"/>
    </w:pPr>
    <w:rPr>
      <w:b/>
      <w:sz w:val="20"/>
    </w:rPr>
  </w:style>
  <w:style w:type="paragraph" w:customStyle="1" w:styleId="H6">
    <w:name w:val="H6"/>
    <w:basedOn w:val="Normal"/>
    <w:next w:val="Normal"/>
    <w:qFormat/>
    <w:pPr>
      <w:keepNext/>
      <w:spacing w:before="100" w:after="100"/>
      <w:outlineLvl w:val="6"/>
    </w:pPr>
    <w:rPr>
      <w:b/>
      <w:sz w:val="16"/>
    </w:rPr>
  </w:style>
  <w:style w:type="paragraph" w:customStyle="1" w:styleId="Address">
    <w:name w:val="Address"/>
    <w:basedOn w:val="Normal"/>
    <w:next w:val="Normal"/>
    <w:qFormat/>
    <w:rPr>
      <w:i/>
    </w:rPr>
  </w:style>
  <w:style w:type="paragraph" w:customStyle="1" w:styleId="Blockquote">
    <w:name w:val="Blockquote"/>
    <w:basedOn w:val="Normal"/>
    <w:qFormat/>
    <w:pPr>
      <w:spacing w:before="100" w:after="100"/>
      <w:ind w:left="360" w:right="360"/>
    </w:pPr>
  </w:style>
  <w:style w:type="paragraph" w:customStyle="1" w:styleId="Preformatted">
    <w:name w:val="Preformatted"/>
    <w:basedOn w:val="Normal"/>
    <w:qFormat/>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hAnsi="Courier New"/>
      <w:sz w:val="20"/>
    </w:rPr>
  </w:style>
  <w:style w:type="paragraph" w:customStyle="1" w:styleId="z-BottomofForm1">
    <w:name w:val="z-Bottom of Form1"/>
    <w:next w:val="Normal"/>
    <w:qFormat/>
    <w:pPr>
      <w:pBdr>
        <w:top w:val="double" w:sz="2" w:space="0" w:color="000000"/>
      </w:pBdr>
      <w:jc w:val="center"/>
    </w:pPr>
    <w:rPr>
      <w:rFonts w:ascii="Arial" w:eastAsia="Arial" w:hAnsi="Arial" w:cs="Courier New"/>
      <w:vanish/>
      <w:sz w:val="16"/>
      <w:szCs w:val="24"/>
      <w:lang w:bidi="hi-IN"/>
    </w:rPr>
  </w:style>
  <w:style w:type="paragraph" w:customStyle="1" w:styleId="z-TopofForm1">
    <w:name w:val="z-Top of Form1"/>
    <w:next w:val="Normal"/>
    <w:qFormat/>
    <w:pPr>
      <w:pBdr>
        <w:bottom w:val="double" w:sz="2" w:space="0" w:color="000000"/>
      </w:pBdr>
      <w:jc w:val="center"/>
    </w:pPr>
    <w:rPr>
      <w:rFonts w:ascii="Arial" w:eastAsia="Arial" w:hAnsi="Arial" w:cs="Courier New"/>
      <w:vanish/>
      <w:sz w:val="16"/>
      <w:szCs w:val="24"/>
      <w:lang w:bidi="hi-IN"/>
    </w:rPr>
  </w:style>
  <w:style w:type="paragraph" w:styleId="Salutation">
    <w:name w:val="Salutation"/>
    <w:basedOn w:val="Normal"/>
    <w:pPr>
      <w:suppressLineNumbers/>
    </w:pPr>
  </w:style>
  <w:style w:type="paragraph" w:styleId="Header">
    <w:name w:val="header"/>
    <w:basedOn w:val="Normal"/>
    <w:link w:val="HeaderChar"/>
    <w:uiPriority w:val="99"/>
    <w:unhideWhenUsed/>
    <w:rsid w:val="005E4F12"/>
    <w:pPr>
      <w:tabs>
        <w:tab w:val="center" w:pos="4680"/>
        <w:tab w:val="right" w:pos="9360"/>
      </w:tabs>
      <w:spacing w:before="0"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16</Pages>
  <Words>1616</Words>
  <Characters>9217</Characters>
  <Application>Microsoft Office Word</Application>
  <DocSecurity>0</DocSecurity>
  <Lines>76</Lines>
  <Paragraphs>21</Paragraphs>
  <ScaleCrop>false</ScaleCrop>
  <Company/>
  <LinksUpToDate>false</LinksUpToDate>
  <CharactersWithSpaces>10812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שי הכהן</dc:creator>
  <dc:description/>
  <cp:lastModifiedBy>Admin</cp:lastModifiedBy>
  <cp:revision>16</cp:revision>
  <dcterms:created xsi:type="dcterms:W3CDTF">2023-12-24T13:24:00Z</dcterms:created>
  <dcterms:modified xsi:type="dcterms:W3CDTF">2024-08-01T19:08:00Z</dcterms:modified>
  <dc:language>en-US</dc:language>
</cp:coreProperties>
</file>