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CEF5D" w14:textId="77777777" w:rsidR="00467802" w:rsidRPr="00901643" w:rsidRDefault="00E06679">
      <w:pPr>
        <w:pStyle w:val="Heading1"/>
        <w:rPr>
          <w:rFonts w:ascii="Shofar" w:hAnsi="Shofar" w:cs="Shofar"/>
        </w:rPr>
      </w:pPr>
      <w:r w:rsidRPr="00901643">
        <w:rPr>
          <w:rFonts w:ascii="Shofar" w:hAnsi="Shofar" w:cs="Shofar"/>
          <w:rtl/>
        </w:rPr>
        <w:t>ביאור דיון גמ’ על בריי’ של גניבה בשבת:</w:t>
      </w:r>
    </w:p>
    <w:p w14:paraId="0AB79549" w14:textId="77777777" w:rsidR="00467802" w:rsidRPr="00901643" w:rsidRDefault="00E06679">
      <w:pPr>
        <w:rPr>
          <w:rFonts w:ascii="Shofar" w:hAnsi="Shofar" w:cs="Shofar"/>
        </w:rPr>
      </w:pPr>
      <w:r w:rsidRPr="00901643">
        <w:rPr>
          <w:rFonts w:ascii="Shofar" w:hAnsi="Shofar" w:cs="Shofar"/>
          <w:rtl/>
        </w:rPr>
        <w:t>לעיל, הביא גמ’ בריי’, שהיה שייך למימרת רבי אבין. עכשיו, מתחיל גמ’ לדון באותו בריי’, להקשות עליו. נביא את הבריי’ עוד פעם, ונבאר דיון הגמ’ עליו.</w:t>
      </w:r>
    </w:p>
    <w:p w14:paraId="3FE6C479" w14:textId="77777777" w:rsidR="00467802" w:rsidRPr="00901643" w:rsidRDefault="00E06679">
      <w:pPr>
        <w:pStyle w:val="Heading2"/>
        <w:rPr>
          <w:rFonts w:ascii="Shofar" w:hAnsi="Shofar" w:cs="Shofar"/>
        </w:rPr>
      </w:pPr>
      <w:r w:rsidRPr="00901643">
        <w:rPr>
          <w:rFonts w:ascii="Shofar" w:hAnsi="Shofar" w:cs="Shofar"/>
          <w:rtl/>
        </w:rPr>
        <w:t>הבריי’:</w:t>
      </w:r>
    </w:p>
    <w:p w14:paraId="130C1D38" w14:textId="77777777" w:rsidR="00467802" w:rsidRPr="00901643" w:rsidRDefault="00E06679">
      <w:pPr>
        <w:rPr>
          <w:rFonts w:ascii="Shofar" w:hAnsi="Shofar" w:cs="Shofar"/>
        </w:rPr>
      </w:pPr>
      <w:r w:rsidRPr="00901643">
        <w:rPr>
          <w:rFonts w:ascii="Shofar" w:hAnsi="Shofar" w:cs="Shofar"/>
          <w:rtl/>
        </w:rPr>
        <w:t>ברייתא מדבר על מי שגונב בשבת. בגניבותו, מוציא את החפץ מרשות חברו (שהוא רשות היחיד) לחוץ (שהוא רשות הרבים).</w:t>
      </w:r>
    </w:p>
    <w:p w14:paraId="52C996DA" w14:textId="77777777" w:rsidR="00467802" w:rsidRPr="00901643" w:rsidRDefault="00E06679">
      <w:pPr>
        <w:pStyle w:val="Heading3"/>
        <w:rPr>
          <w:rFonts w:ascii="Shofar" w:hAnsi="Shofar" w:cs="Shofar"/>
        </w:rPr>
      </w:pPr>
      <w:r w:rsidRPr="00901643">
        <w:rPr>
          <w:rFonts w:ascii="Shofar" w:hAnsi="Shofar" w:cs="Shofar"/>
          <w:rtl/>
        </w:rPr>
        <w:t>הקדמה:</w:t>
      </w:r>
    </w:p>
    <w:p w14:paraId="1AAD1B2A" w14:textId="77777777" w:rsidR="00467802" w:rsidRPr="00901643" w:rsidRDefault="00E06679">
      <w:pPr>
        <w:rPr>
          <w:rFonts w:ascii="Shofar" w:hAnsi="Shofar" w:cs="Shofar"/>
        </w:rPr>
      </w:pPr>
      <w:r w:rsidRPr="00901643">
        <w:rPr>
          <w:rFonts w:ascii="Shofar" w:hAnsi="Shofar" w:cs="Shofar"/>
          <w:rtl/>
        </w:rPr>
        <w:t>להקדים, נזכיר שני דינים פשוטים:</w:t>
      </w:r>
    </w:p>
    <w:p w14:paraId="7DF7D84C" w14:textId="77777777" w:rsidR="00467802" w:rsidRPr="00901643" w:rsidRDefault="00E06679">
      <w:pPr>
        <w:numPr>
          <w:ilvl w:val="0"/>
          <w:numId w:val="2"/>
        </w:numPr>
        <w:rPr>
          <w:rFonts w:ascii="Shofar" w:hAnsi="Shofar" w:cs="Shofar"/>
        </w:rPr>
      </w:pPr>
      <w:r w:rsidRPr="00901643">
        <w:rPr>
          <w:rFonts w:ascii="Shofar" w:hAnsi="Shofar" w:cs="Shofar"/>
          <w:rtl/>
        </w:rPr>
        <w:t>אם אדם גונב, חייב ממון. מה שעשוה גניבה הוא קנין על החפץ שגונב. אותם גדרים שקובעים מתי אדם קונה חפץ קובעים מתי אדם נחשב גנב על חפץ.</w:t>
      </w:r>
    </w:p>
    <w:p w14:paraId="2831C4BC" w14:textId="77777777" w:rsidR="00467802" w:rsidRPr="00901643" w:rsidRDefault="00E06679">
      <w:pPr>
        <w:numPr>
          <w:ilvl w:val="0"/>
          <w:numId w:val="2"/>
        </w:numPr>
        <w:rPr>
          <w:rFonts w:ascii="Shofar" w:hAnsi="Shofar" w:cs="Shofar"/>
        </w:rPr>
      </w:pPr>
      <w:r w:rsidRPr="00901643">
        <w:rPr>
          <w:rFonts w:ascii="Shofar" w:hAnsi="Shofar" w:cs="Shofar"/>
          <w:rtl/>
        </w:rPr>
        <w:t>אם אדם מוציא בשבת מרשות היחיד לרשות הרבים, חייב מיתה (סקילה). הוצאה כולל עקירה מרשות אחת, הוצאה לרשות אחר, והנחה שם.</w:t>
      </w:r>
    </w:p>
    <w:p w14:paraId="18553425" w14:textId="77777777" w:rsidR="00467802" w:rsidRPr="00901643" w:rsidRDefault="00E06679">
      <w:pPr>
        <w:pStyle w:val="Heading3"/>
        <w:rPr>
          <w:rFonts w:ascii="Shofar" w:hAnsi="Shofar" w:cs="Shofar"/>
        </w:rPr>
      </w:pPr>
      <w:r w:rsidRPr="00901643">
        <w:rPr>
          <w:rFonts w:ascii="Shofar" w:hAnsi="Shofar" w:cs="Shofar"/>
          <w:rtl/>
        </w:rPr>
        <w:t>בבא ראשונה:</w:t>
      </w:r>
    </w:p>
    <w:p w14:paraId="17BE2CBC" w14:textId="77777777" w:rsidR="00467802" w:rsidRPr="00901643" w:rsidRDefault="00E06679">
      <w:pPr>
        <w:rPr>
          <w:rFonts w:ascii="Shofar" w:hAnsi="Shofar" w:cs="Shofar"/>
        </w:rPr>
      </w:pPr>
      <w:r w:rsidRPr="00901643">
        <w:rPr>
          <w:rFonts w:ascii="Shofar" w:hAnsi="Shofar" w:cs="Shofar"/>
          <w:rtl/>
        </w:rPr>
        <w:t>אם אדם גונב כיס בשבת, יש אופן שהוא חייב על הגניבה. אם מגביה את הכיס, ושוב מוציא אותו לרשות הרבים, הוא חייב, שהרי גנב אותו כשעשה מעשה קנין של הגבהה ברשות ביחיד, ואז נתחייב בממון, ורק הוציא כשהניח אותו ברשות הרבים, ואז חייב מיתה.</w:t>
      </w:r>
    </w:p>
    <w:p w14:paraId="75C6F219" w14:textId="77777777" w:rsidR="00467802" w:rsidRPr="00901643" w:rsidRDefault="00E06679">
      <w:pPr>
        <w:pStyle w:val="Heading3"/>
        <w:rPr>
          <w:rFonts w:ascii="Shofar" w:hAnsi="Shofar" w:cs="Shofar"/>
        </w:rPr>
      </w:pPr>
      <w:r w:rsidRPr="00901643">
        <w:rPr>
          <w:rFonts w:ascii="Shofar" w:hAnsi="Shofar" w:cs="Shofar"/>
          <w:rtl/>
        </w:rPr>
        <w:lastRenderedPageBreak/>
        <w:t>בבא שניה:</w:t>
      </w:r>
    </w:p>
    <w:p w14:paraId="6C42A60F" w14:textId="77777777" w:rsidR="00467802" w:rsidRPr="00901643" w:rsidRDefault="00E06679">
      <w:pPr>
        <w:rPr>
          <w:rFonts w:ascii="Shofar" w:hAnsi="Shofar" w:cs="Shofar"/>
        </w:rPr>
      </w:pPr>
      <w:r w:rsidRPr="00901643">
        <w:rPr>
          <w:rFonts w:ascii="Shofar" w:hAnsi="Shofar" w:cs="Shofar"/>
          <w:rtl/>
        </w:rPr>
        <w:t>אם אדם גונב כיס בשבת, יש אופן שהוא פטור על הגניבה. אם אדם לא אוחז את הכיס, אלא מגרר אותו לרשות הרבים, לא חייב על הגניבה. רק גונב כיון שבא לרשות הרבים, שאין משיכה קונה ברשות הבעל, ואז גם הוציא אותו, וחייב מיתה.</w:t>
      </w:r>
    </w:p>
    <w:p w14:paraId="53E98CC0" w14:textId="77777777" w:rsidR="00467802" w:rsidRPr="00901643" w:rsidRDefault="00E06679">
      <w:pPr>
        <w:pStyle w:val="Heading2"/>
        <w:rPr>
          <w:rFonts w:ascii="Shofar" w:hAnsi="Shofar" w:cs="Shofar"/>
        </w:rPr>
      </w:pPr>
      <w:r w:rsidRPr="00901643">
        <w:rPr>
          <w:rFonts w:ascii="Shofar" w:hAnsi="Shofar" w:cs="Shofar"/>
          <w:rtl/>
        </w:rPr>
        <w:t>שאלות הגמ’:</w:t>
      </w:r>
    </w:p>
    <w:p w14:paraId="41C992F8" w14:textId="77777777" w:rsidR="00467802" w:rsidRPr="00901643" w:rsidRDefault="00E06679">
      <w:pPr>
        <w:pStyle w:val="Heading3"/>
        <w:rPr>
          <w:rFonts w:ascii="Shofar" w:hAnsi="Shofar" w:cs="Shofar"/>
        </w:rPr>
      </w:pPr>
      <w:r w:rsidRPr="00901643">
        <w:rPr>
          <w:rFonts w:ascii="Shofar" w:hAnsi="Shofar" w:cs="Shofar"/>
          <w:rtl/>
        </w:rPr>
        <w:t>מה הוציא</w:t>
      </w:r>
      <w:r w:rsidRPr="00901643">
        <w:rPr>
          <w:rStyle w:val="FootnoteReference"/>
          <w:rFonts w:ascii="Shofar" w:hAnsi="Shofar" w:cs="Shofar"/>
          <w:rtl/>
        </w:rPr>
        <w:footnoteReference w:id="1"/>
      </w:r>
      <w:r w:rsidRPr="00901643">
        <w:rPr>
          <w:rFonts w:ascii="Shofar" w:hAnsi="Shofar" w:cs="Shofar"/>
          <w:rtl/>
        </w:rPr>
        <w:t>:</w:t>
      </w:r>
    </w:p>
    <w:p w14:paraId="6D17F92D" w14:textId="77777777" w:rsidR="00467802" w:rsidRPr="00901643" w:rsidRDefault="00E06679">
      <w:pPr>
        <w:rPr>
          <w:rFonts w:ascii="Shofar" w:hAnsi="Shofar" w:cs="Shofar"/>
        </w:rPr>
      </w:pPr>
      <w:r w:rsidRPr="00901643">
        <w:rPr>
          <w:rFonts w:ascii="Shofar" w:hAnsi="Shofar" w:cs="Shofar"/>
          <w:rtl/>
        </w:rPr>
        <w:t>יכול להיות שלש מינים של דברים שהוציא:</w:t>
      </w:r>
    </w:p>
    <w:p w14:paraId="4BBF1F52" w14:textId="77777777" w:rsidR="00467802" w:rsidRPr="00901643" w:rsidRDefault="00E06679">
      <w:pPr>
        <w:numPr>
          <w:ilvl w:val="0"/>
          <w:numId w:val="3"/>
        </w:numPr>
        <w:rPr>
          <w:rFonts w:ascii="Shofar" w:hAnsi="Shofar" w:cs="Shofar"/>
        </w:rPr>
      </w:pPr>
      <w:r w:rsidRPr="00901643">
        <w:rPr>
          <w:rFonts w:ascii="Shofar" w:hAnsi="Shofar" w:cs="Shofar"/>
          <w:rtl/>
        </w:rPr>
        <w:lastRenderedPageBreak/>
        <w:t>דברים קטנים. גמ’ מפרש שאי אפשר שהבריי’ מדבר בדברים קטנים, כיון שמדבר בחיוב שבת כשמגרר אותם. אי אפשר לחייב חיוב שבת על גירור דברים קטנים, כיון שאין זהה דרך להוציא אותם, ומי שמוציא דבר שלא כדרכו לא חייב על ההוצאה.</w:t>
      </w:r>
    </w:p>
    <w:p w14:paraId="7E215CE2" w14:textId="77777777" w:rsidR="00467802" w:rsidRPr="00901643" w:rsidRDefault="00E06679">
      <w:pPr>
        <w:numPr>
          <w:ilvl w:val="0"/>
          <w:numId w:val="3"/>
        </w:numPr>
        <w:rPr>
          <w:rFonts w:ascii="Shofar" w:hAnsi="Shofar" w:cs="Shofar"/>
        </w:rPr>
      </w:pPr>
      <w:r w:rsidRPr="00901643">
        <w:rPr>
          <w:rFonts w:ascii="Shofar" w:hAnsi="Shofar" w:cs="Shofar"/>
          <w:rtl/>
        </w:rPr>
        <w:t>דברים גדולים. גמ’ מפרש שלפי רבי אבין, אי אפשר שהבריי’ מדבר בדברים גדולים. בארנו שלפי רבי אבין, מה שנקט מגרר, ולא נקט זורק, הוא מפני שמגלה חידוש במה שחייב בהוצאה של גרירה. כיון שמוציא דברים גדולים, אין חידוש בזה, שכל דרכם הוא בגרירה. אז, אי אפשר שהבריי’ מדבר בזה. אבל, אם לא נאמר כשיטת רבי אבין, נוכל לפרש את המשנה ככה.</w:t>
      </w:r>
    </w:p>
    <w:p w14:paraId="60F550F9" w14:textId="77777777" w:rsidR="00467802" w:rsidRPr="00901643" w:rsidRDefault="00E06679">
      <w:pPr>
        <w:ind w:left="720"/>
        <w:rPr>
          <w:rFonts w:ascii="Shofar" w:hAnsi="Shofar" w:cs="Shofar"/>
        </w:rPr>
      </w:pPr>
      <w:r w:rsidRPr="00901643">
        <w:rPr>
          <w:rFonts w:ascii="Shofar" w:hAnsi="Shofar" w:cs="Shofar"/>
          <w:rtl/>
        </w:rPr>
        <w:t xml:space="preserve">מעניין שעדיין נוכל לומר שזהו חידוש של הבריי’. כיון שאין הכרח מן הבריי’ לחידוש זה, שאפשר להוקים את המשנה להיות מדבר בגדולים, קשה איך רואים את החידוש. צריך לומר שהוא מפני שיש קושיה על המשנה- למה לא נקט זורק בסיפא. צריך לומר אחד משני דברים- או שאי אפשר לו לנקוט זורק כיון שאין הדין נכון (והוא ששם לא יהיה פטור, אלא יהיה חייב, ודלא כרבי אבין) או שיש סיבה יותר חזקה לומר ציור זה. כדי לומר כן, צריך לומר </w:t>
      </w:r>
      <w:r w:rsidRPr="00901643">
        <w:rPr>
          <w:rFonts w:ascii="Shofar" w:hAnsi="Shofar" w:cs="Shofar"/>
          <w:rtl/>
        </w:rPr>
        <w:lastRenderedPageBreak/>
        <w:t>שיש בו חידוש. לרבי אבין, יותר מסתבר שיהיה בו חידוש- צד שני יותר מסתבר לו- ואז כן מפרש את הברייתא.</w:t>
      </w:r>
      <w:r w:rsidRPr="00901643">
        <w:rPr>
          <w:rStyle w:val="FootnoteReference"/>
          <w:rFonts w:ascii="Shofar" w:hAnsi="Shofar" w:cs="Shofar"/>
          <w:rtl/>
        </w:rPr>
        <w:footnoteReference w:id="2"/>
      </w:r>
      <w:r w:rsidRPr="00901643">
        <w:rPr>
          <w:rStyle w:val="FootnoteReference"/>
          <w:rFonts w:ascii="Shofar" w:hAnsi="Shofar" w:cs="Shofar"/>
          <w:rtl/>
        </w:rPr>
        <w:footnoteReference w:id="3"/>
      </w:r>
    </w:p>
    <w:p w14:paraId="3E303880" w14:textId="77777777" w:rsidR="00467802" w:rsidRPr="00901643" w:rsidRDefault="00E06679">
      <w:pPr>
        <w:numPr>
          <w:ilvl w:val="0"/>
          <w:numId w:val="3"/>
        </w:numPr>
        <w:rPr>
          <w:rFonts w:ascii="Shofar" w:hAnsi="Shofar" w:cs="Shofar"/>
        </w:rPr>
      </w:pPr>
      <w:r w:rsidRPr="00901643">
        <w:rPr>
          <w:rFonts w:ascii="Shofar" w:hAnsi="Shofar" w:cs="Shofar"/>
          <w:rtl/>
        </w:rPr>
        <w:t>דברים בינונים. לפי רבי אבין, צריך לומר שמשנה מדבר בדברים כזה, ומחדש שחייב בהם, אף שהוציא אותם בגרירה.</w:t>
      </w:r>
    </w:p>
    <w:p w14:paraId="5AF44A62" w14:textId="77777777" w:rsidR="00467802" w:rsidRPr="00901643" w:rsidRDefault="00E06679">
      <w:pPr>
        <w:ind w:left="720"/>
        <w:rPr>
          <w:rFonts w:ascii="Shofar" w:hAnsi="Shofar" w:cs="Shofar"/>
        </w:rPr>
      </w:pPr>
      <w:r w:rsidRPr="00901643">
        <w:rPr>
          <w:rFonts w:ascii="Shofar" w:hAnsi="Shofar" w:cs="Shofar"/>
          <w:rtl/>
        </w:rPr>
        <w:t xml:space="preserve">ואם תאמר מהיכי תיתי שדן בזה ומשמיע חידוש. ויש לומר שבלי זה, קשה על רבי אבין. נמצא שרבי אבין צריך להניח שדין שלו פשוט, שבלי זה, לא נוכל לדעת אם משנה בא לאפוקי מדין שלו או לא, וממילא לא נדע ללמוד את החידוש, ואז לא היה לו לשנות אותו. ותחשב. גם אפשר שסתמותו משמע שהוא בכלים בינונים, או שהוא בכלים בינונים וגדולים. גם יש לומר שאף אם לא בא להשמיע חידוש יתירה מציור אחר שהיה יכול לשנות, צריך </w:t>
      </w:r>
      <w:r w:rsidRPr="00901643">
        <w:rPr>
          <w:rFonts w:ascii="Shofar" w:hAnsi="Shofar" w:cs="Shofar"/>
          <w:rtl/>
        </w:rPr>
        <w:lastRenderedPageBreak/>
        <w:t>להיות משמיע לנו שום חידוש, ואין חידוש חוץ מזה. ויש לדון, שאולי רק רוצה תנא ציור כנגד ציור ראשון. ויל"ד.</w:t>
      </w:r>
    </w:p>
    <w:p w14:paraId="68D6812B" w14:textId="77777777" w:rsidR="00467802" w:rsidRPr="00901643" w:rsidRDefault="00E06679">
      <w:pPr>
        <w:ind w:left="720"/>
        <w:rPr>
          <w:rFonts w:ascii="Shofar" w:hAnsi="Shofar" w:cs="Shofar"/>
        </w:rPr>
      </w:pPr>
      <w:r w:rsidRPr="00901643">
        <w:rPr>
          <w:rFonts w:ascii="Shofar" w:hAnsi="Shofar" w:cs="Shofar"/>
          <w:rtl/>
        </w:rPr>
        <w:t>לכאו', הקמ"ל של הגמ' משנה כמה רגיל צריך להיות או כמה רגיל הוא.</w:t>
      </w:r>
      <w:r w:rsidRPr="00901643">
        <w:rPr>
          <w:rStyle w:val="FootnoteReference"/>
          <w:rFonts w:ascii="Shofar" w:hAnsi="Shofar" w:cs="Shofar"/>
          <w:rtl/>
        </w:rPr>
        <w:footnoteReference w:id="4"/>
      </w:r>
      <w:r w:rsidRPr="00901643">
        <w:rPr>
          <w:rFonts w:ascii="Shofar" w:hAnsi="Shofar" w:cs="Shofar"/>
          <w:rtl/>
        </w:rPr>
        <w:t xml:space="preserve"> גם אפשר שחלק מן הקמ"ל הוא שאף שהוא עצמו לא רגיל כל כך, הוא דומה די לגדול, וגדול רגיל. ותחשב.</w:t>
      </w:r>
    </w:p>
    <w:p w14:paraId="08263A39" w14:textId="77777777" w:rsidR="00467802" w:rsidRPr="00901643" w:rsidRDefault="00E06679">
      <w:pPr>
        <w:rPr>
          <w:rFonts w:ascii="Shofar" w:hAnsi="Shofar" w:cs="Shofar"/>
        </w:rPr>
      </w:pPr>
      <w:r w:rsidRPr="00901643">
        <w:rPr>
          <w:rFonts w:ascii="Shofar" w:hAnsi="Shofar" w:cs="Shofar"/>
          <w:rtl/>
        </w:rPr>
        <w:t>מה שאומר גמ’- דברים גדולים, דברים קטנים, ודברים בינונים- הוא מאד ווי“ג, ולא פשוט מה הם לענין הוצאה בגרירה. בהשקפה ראשונה, היה נראה לומר שדברים קטנים הם דברים שאין דרכם להוציא אותם בגרירה ודברים גדולים הם דברים שדרכם להוציא אותם בגרירה. אבל, אז צריך ביאור מהו דברים בינונים. באמת, לא פשוט מהו החידוש של דברים בינונים. אם דרכם הוא בכך, אז פשוט הוא, ואם דרכים אינם בכך, קשה למה חלוק הוא מדברים קטנים.</w:t>
      </w:r>
    </w:p>
    <w:p w14:paraId="3D9449E4" w14:textId="77777777" w:rsidR="00467802" w:rsidRPr="00901643" w:rsidRDefault="00E06679">
      <w:pPr>
        <w:rPr>
          <w:rFonts w:ascii="Shofar" w:hAnsi="Shofar" w:cs="Shofar"/>
        </w:rPr>
      </w:pPr>
      <w:r w:rsidRPr="00901643">
        <w:rPr>
          <w:rFonts w:ascii="Shofar" w:hAnsi="Shofar" w:cs="Shofar"/>
          <w:rtl/>
        </w:rPr>
        <w:t xml:space="preserve">נראה שלבאר כל זה, יכול להיות שני דרכים. דרך ראשון הוא לומר ש“דברים קטנים“ וכדו’ היו דברים ידועים להם. כמו שהיום, אם מישהו אומר שרוצה ”אקצטר“א לאר“ג’ סלורפ“י“ הכל יודעים מה רוצה, כך בזמן הגמ’, הכל ידעו מהו דבר קטן ומהו דבר גדול. אז, מחדש שאף דבר בינוני דרכו בכך. יש להעיר שאז מחדש מציאות- מחדש מה רגיל- אבל אולי אין זה כל כך קשה, שאולי זה לא דבר שכל כך קל לדעת, שיש הרבה בני אדם, וקשה להבחין מה עושים רוב בני אדם. ויש לדון. דרך השני הוא שבדבר בינוני הוא קצת דרכו, ומחדש גמ’ כמה צריך להיות דרכו (ואז לא צריך לומר ש"דבר קטן“ וכדו’ היה ידוע להם). אולי הענין הוא שיש שעושים ככה אבל רוב לא עושים ככה או שאין רוב שעושה דבר אחד (ואולי אז על כל דבר שיש בו הרבה בני אדם חייב או על מה שיש בו פלוראליט“י חייב) או שהכל מודים שיש סיבה טובה לעשות ככה, אבל סוברים שיותר טוב לעשות דבר אחר, או כדומה. ותחשב. ויש להוסיף על </w:t>
      </w:r>
      <w:r w:rsidRPr="00901643">
        <w:rPr>
          <w:rFonts w:ascii="Shofar" w:hAnsi="Shofar" w:cs="Shofar"/>
          <w:rtl/>
        </w:rPr>
        <w:lastRenderedPageBreak/>
        <w:t>צד זה שאולי בינוני</w:t>
      </w:r>
      <w:r w:rsidRPr="00901643">
        <w:rPr>
          <w:rStyle w:val="FootnoteReference"/>
          <w:rFonts w:ascii="Shofar" w:hAnsi="Shofar" w:cs="Shofar"/>
          <w:rtl/>
        </w:rPr>
        <w:footnoteReference w:id="5"/>
      </w:r>
      <w:r w:rsidRPr="00901643">
        <w:rPr>
          <w:rFonts w:ascii="Shofar" w:hAnsi="Shofar" w:cs="Shofar"/>
          <w:rtl/>
        </w:rPr>
        <w:t xml:space="preserve"> לא רצה לומר בינוני בגודל, אלא דבר שהוא בין דבר גדול לדבר קטן. נראה שאולי הוא דבר קטן שיותר קל להוציא אותו בגרירה. (אולי זה מפני משקל שלו או אולי זה מפני שקשה לסיבה אחרת להוציא אותו בעקירה.) אז, מחדש שלא הולך בתר כללו שלו בגודל, אלא הולך בתר אותו קרק’ שעושה שיותר קל לגרר אותו. ותחשב.</w:t>
      </w:r>
    </w:p>
    <w:p w14:paraId="7CE3779B" w14:textId="77777777" w:rsidR="00467802" w:rsidRPr="00901643" w:rsidRDefault="00E06679">
      <w:pPr>
        <w:rPr>
          <w:rFonts w:ascii="Shofar" w:hAnsi="Shofar" w:cs="Shofar"/>
        </w:rPr>
      </w:pPr>
      <w:r w:rsidRPr="00901643">
        <w:rPr>
          <w:rFonts w:ascii="Shofar" w:hAnsi="Shofar" w:cs="Shofar"/>
          <w:rtl/>
        </w:rPr>
        <w:t>ואם תאמר אם כן לפלוג בדידה, ונאמר רישא כשעשה שינוי, ואין חיוב שבת. ויש לומר שרצה להשמיע דין אחר, והוא חיוב שבת שבא לאחריו הקנין (שהו"א שהוא פטור, כיון שגרם את הקנין, או הו"א דלא כבן עזאי). ותחשב. גם יש לומר שרק רוצה שיהיה הסיפא אגב הרישא, ולא שהרישא יהיה אגב הסיפא, כמו שמצאנו בתוס' שאומר שיש יותר צורך שיהיה הסיפא אגב הרישא משהרישא יהיה אגב הסיפא. עיין לעיל, שכתבנו סיבות למה יחלק בדידיה. גם יש לומר שכיון שאין זה הוצאה כאורחיה, לא יחייב מחמת גניבה. (עיין בתוס', גבי דברים שדרכם להגביה. כמובן, יש לדון בהגדרות</w:t>
      </w:r>
      <w:r w:rsidRPr="00901643">
        <w:rPr>
          <w:rStyle w:val="FootnoteReference"/>
          <w:rFonts w:ascii="Shofar" w:hAnsi="Shofar" w:cs="Shofar"/>
          <w:rtl/>
        </w:rPr>
        <w:footnoteReference w:id="6"/>
      </w:r>
      <w:r w:rsidRPr="00901643">
        <w:rPr>
          <w:rFonts w:ascii="Shofar" w:hAnsi="Shofar" w:cs="Shofar"/>
          <w:rtl/>
        </w:rPr>
        <w:t>.)</w:t>
      </w:r>
    </w:p>
    <w:p w14:paraId="3D7075F6" w14:textId="77777777" w:rsidR="00467802" w:rsidRPr="00901643" w:rsidRDefault="00E06679">
      <w:pPr>
        <w:pStyle w:val="Heading3"/>
        <w:rPr>
          <w:rFonts w:ascii="Shofar" w:hAnsi="Shofar" w:cs="Shofar"/>
        </w:rPr>
      </w:pPr>
      <w:r w:rsidRPr="00901643">
        <w:rPr>
          <w:rFonts w:ascii="Shofar" w:hAnsi="Shofar" w:cs="Shofar"/>
          <w:rtl/>
        </w:rPr>
        <w:lastRenderedPageBreak/>
        <w:t>לאן הוציא אותו</w:t>
      </w:r>
      <w:r w:rsidRPr="00901643">
        <w:rPr>
          <w:rStyle w:val="FootnoteReference"/>
          <w:rFonts w:ascii="Shofar" w:hAnsi="Shofar" w:cs="Shofar"/>
          <w:rtl/>
        </w:rPr>
        <w:footnoteReference w:id="7"/>
      </w:r>
      <w:r w:rsidRPr="00901643">
        <w:rPr>
          <w:rStyle w:val="FootnoteReference"/>
          <w:rFonts w:ascii="Shofar" w:hAnsi="Shofar" w:cs="Shofar"/>
          <w:rtl/>
        </w:rPr>
        <w:footnoteReference w:id="8"/>
      </w:r>
      <w:r w:rsidRPr="00901643">
        <w:rPr>
          <w:rFonts w:ascii="Shofar" w:hAnsi="Shofar" w:cs="Shofar"/>
          <w:rtl/>
        </w:rPr>
        <w:t>:</w:t>
      </w:r>
    </w:p>
    <w:p w14:paraId="1E6A3390" w14:textId="77777777" w:rsidR="00467802" w:rsidRPr="00901643" w:rsidRDefault="00E06679">
      <w:pPr>
        <w:rPr>
          <w:rFonts w:ascii="Shofar" w:hAnsi="Shofar" w:cs="Shofar"/>
        </w:rPr>
      </w:pPr>
      <w:r w:rsidRPr="00901643">
        <w:rPr>
          <w:rFonts w:ascii="Shofar" w:hAnsi="Shofar" w:cs="Shofar"/>
          <w:rtl/>
        </w:rPr>
        <w:t>אפשר להיות שמוציא אותו מרשות שבו נמצא (שמניחים שהוא ברשות היחיד, שברך כלל, מוצאים דבר לגנוב ברשות היחיד, ששם נותנים בני אדם את החפצים שלהם) לאיזה רשות אחר שנרצה. יש ארבע רשויות- מקום פטור, כרמלית, רשות היחיד, ורשות הרבים- אבל גמ’ רק ידון בשנים האחרונים (ומתוך קושיות הגמ’ יובן למה אי אפשר להיות שמוציא אותו לכרמלית או מקום פטור</w:t>
      </w:r>
      <w:r w:rsidRPr="00901643">
        <w:rPr>
          <w:rStyle w:val="FootnoteReference"/>
          <w:rFonts w:ascii="Shofar" w:hAnsi="Shofar" w:cs="Shofar"/>
          <w:rtl/>
        </w:rPr>
        <w:footnoteReference w:id="9"/>
      </w:r>
      <w:r w:rsidRPr="00901643">
        <w:rPr>
          <w:rFonts w:ascii="Shofar" w:hAnsi="Shofar" w:cs="Shofar"/>
          <w:rtl/>
        </w:rPr>
        <w:t xml:space="preserve">). </w:t>
      </w:r>
    </w:p>
    <w:p w14:paraId="6B48E2F1" w14:textId="77777777" w:rsidR="00467802" w:rsidRPr="00901643" w:rsidRDefault="00E06679">
      <w:pPr>
        <w:rPr>
          <w:rFonts w:ascii="Shofar" w:hAnsi="Shofar" w:cs="Shofar"/>
        </w:rPr>
      </w:pPr>
      <w:r w:rsidRPr="00901643">
        <w:rPr>
          <w:rFonts w:ascii="Shofar" w:hAnsi="Shofar" w:cs="Shofar"/>
          <w:rtl/>
        </w:rPr>
        <w:lastRenderedPageBreak/>
        <w:t>הבעיה תהיה שצריך להיות פה סיבה לשני חיובים- לחיוב שבת ולחיוב גניבה (והוא שיהיה בו קנין). נתחיל לבאר את שני המקומות:</w:t>
      </w:r>
    </w:p>
    <w:p w14:paraId="66372A44" w14:textId="77777777" w:rsidR="00467802" w:rsidRPr="00901643" w:rsidRDefault="00E06679">
      <w:pPr>
        <w:numPr>
          <w:ilvl w:val="0"/>
          <w:numId w:val="4"/>
        </w:numPr>
        <w:rPr>
          <w:rFonts w:ascii="Shofar" w:hAnsi="Shofar" w:cs="Shofar"/>
        </w:rPr>
      </w:pPr>
      <w:r w:rsidRPr="00901643">
        <w:rPr>
          <w:rFonts w:ascii="Shofar" w:hAnsi="Shofar" w:cs="Shofar"/>
          <w:rtl/>
        </w:rPr>
        <w:t>רשות הרבים- אם מוציא אותו לרשות הרבים, אז יש סיבה לחיוב שבת</w:t>
      </w:r>
      <w:r w:rsidRPr="00901643">
        <w:rPr>
          <w:rStyle w:val="FootnoteReference"/>
          <w:rFonts w:ascii="Shofar" w:hAnsi="Shofar" w:cs="Shofar"/>
          <w:rtl/>
        </w:rPr>
        <w:footnoteReference w:id="10"/>
      </w:r>
      <w:r w:rsidRPr="00901643">
        <w:rPr>
          <w:rFonts w:ascii="Shofar" w:hAnsi="Shofar" w:cs="Shofar"/>
          <w:rtl/>
        </w:rPr>
        <w:t xml:space="preserve"> (כמו כל מוציא מרשות היחיד לרשות הרבים). אבל, אז אין סיבה לחיוב גניבה. כיון שמגרר אותו, הקנין בא על ידי משיכה, שמושך אותו מרשות היחיד. אבל, כיון שמושך אותו לרשות הרבים, לא קונה אותו.</w:t>
      </w:r>
      <w:r w:rsidRPr="00901643">
        <w:rPr>
          <w:rStyle w:val="FootnoteReference"/>
          <w:rFonts w:ascii="Shofar" w:hAnsi="Shofar" w:cs="Shofar"/>
          <w:rtl/>
        </w:rPr>
        <w:footnoteReference w:id="11"/>
      </w:r>
    </w:p>
    <w:p w14:paraId="6D5D5023" w14:textId="77777777" w:rsidR="00467802" w:rsidRPr="00901643" w:rsidRDefault="00E06679">
      <w:pPr>
        <w:numPr>
          <w:ilvl w:val="0"/>
          <w:numId w:val="4"/>
        </w:numPr>
        <w:rPr>
          <w:rFonts w:ascii="Shofar" w:hAnsi="Shofar" w:cs="Shofar"/>
        </w:rPr>
      </w:pPr>
      <w:r w:rsidRPr="00901643">
        <w:rPr>
          <w:rFonts w:ascii="Shofar" w:hAnsi="Shofar" w:cs="Shofar"/>
          <w:rtl/>
        </w:rPr>
        <w:lastRenderedPageBreak/>
        <w:t>רשות היחיד- אם מוציא אותו לרשות היחיד, אז יש סיבה לחיוב גניבה, שקונה אותו כיון שמושך אותו לרשות שלו</w:t>
      </w:r>
      <w:r w:rsidRPr="00901643">
        <w:rPr>
          <w:rStyle w:val="FootnoteReference"/>
          <w:rFonts w:ascii="Shofar" w:hAnsi="Shofar" w:cs="Shofar"/>
          <w:rtl/>
        </w:rPr>
        <w:footnoteReference w:id="12"/>
      </w:r>
      <w:r w:rsidRPr="00901643">
        <w:rPr>
          <w:rFonts w:ascii="Shofar" w:hAnsi="Shofar" w:cs="Shofar"/>
          <w:rtl/>
        </w:rPr>
        <w:t>. (באמת, אז, לא צריך משיכה, ודי בקנין חצר.) אבל, אז לא חייב משום שבת, שהוציא מרשות היחיד לרשות היחיד, וזה רק אסור מדרבנן.</w:t>
      </w:r>
      <w:r w:rsidRPr="00901643">
        <w:rPr>
          <w:rStyle w:val="FootnoteReference"/>
          <w:rFonts w:ascii="Shofar" w:hAnsi="Shofar" w:cs="Shofar"/>
          <w:rtl/>
        </w:rPr>
        <w:footnoteReference w:id="13"/>
      </w:r>
    </w:p>
    <w:p w14:paraId="2FD83BF6" w14:textId="77777777" w:rsidR="00467802" w:rsidRPr="00901643" w:rsidRDefault="00E06679">
      <w:pPr>
        <w:rPr>
          <w:rFonts w:ascii="Shofar" w:hAnsi="Shofar" w:cs="Shofar"/>
        </w:rPr>
      </w:pPr>
      <w:r w:rsidRPr="00901643">
        <w:rPr>
          <w:rFonts w:ascii="Shofar" w:hAnsi="Shofar" w:cs="Shofar"/>
          <w:rtl/>
        </w:rPr>
        <w:t xml:space="preserve">אז, מבאר גמ’ שצריך להיות שהוציא אותו למקום אחר- מקום הנקרא צידי רשות הרבים. ציור אחד שנותן גמ’ לביאור של צידי רשות הרבים </w:t>
      </w:r>
      <w:r w:rsidRPr="00901643">
        <w:rPr>
          <w:rFonts w:ascii="Shofar" w:hAnsi="Shofar" w:cs="Shofar"/>
          <w:rtl/>
        </w:rPr>
        <w:lastRenderedPageBreak/>
        <w:t>(בעירובין) הוא חצר שנפרץ לרשות הרבים. אסור לבני רשות הרבים ללכת בו, אבל עדיין הוא פתוח לרשות הרבים, וכמעט סניף לו.</w:t>
      </w:r>
    </w:p>
    <w:p w14:paraId="15811FEA" w14:textId="77777777" w:rsidR="00467802" w:rsidRPr="00901643" w:rsidRDefault="00E06679">
      <w:pPr>
        <w:pStyle w:val="Heading4"/>
        <w:ind w:left="864"/>
        <w:rPr>
          <w:rFonts w:ascii="Shofar" w:hAnsi="Shofar" w:cs="Shofar"/>
        </w:rPr>
      </w:pPr>
      <w:r w:rsidRPr="00901643">
        <w:rPr>
          <w:rFonts w:ascii="Shofar" w:hAnsi="Shofar" w:cs="Shofar"/>
          <w:rtl/>
        </w:rPr>
        <w:t>קושיית גמ’:</w:t>
      </w:r>
    </w:p>
    <w:p w14:paraId="15B21BCB" w14:textId="77777777" w:rsidR="00467802" w:rsidRPr="00901643" w:rsidRDefault="00E06679">
      <w:pPr>
        <w:rPr>
          <w:rFonts w:ascii="Shofar" w:hAnsi="Shofar" w:cs="Shofar"/>
        </w:rPr>
      </w:pPr>
      <w:r w:rsidRPr="00901643">
        <w:rPr>
          <w:rStyle w:val="FootnoteReference"/>
          <w:rFonts w:ascii="Shofar" w:hAnsi="Shofar" w:cs="Shofar"/>
          <w:rtl/>
        </w:rPr>
        <w:footnoteReference w:id="14"/>
      </w:r>
      <w:r w:rsidRPr="00901643">
        <w:rPr>
          <w:rFonts w:ascii="Shofar" w:hAnsi="Shofar" w:cs="Shofar"/>
          <w:rtl/>
        </w:rPr>
        <w:t>דין צידי רשות הרבים הוא מחלקת תנאים. בעירובין (צד.) חולקים רבי אליעזר בן יעקב ורבנן בדין חצר שנפרץ לרשות הרבים. רבי אליעזר מחשיב אותו לרשות הרבים, ורבנן לא מחשיבים אותו לרשות הרבים. גמ’ נותן הרבה פשטים בביאור המחלקת, אבל אחד הוא שחולקים בצידי רשות הרבים. אף שאסור לבני רשות הרבים ללכת לשם, שאינו חלק מרשות הרבים, הוא פתוח לרשות לרשות הרבים, והוא צדדים שלו.</w:t>
      </w:r>
      <w:r w:rsidRPr="00901643">
        <w:rPr>
          <w:rStyle w:val="FootnoteReference"/>
          <w:rFonts w:ascii="Shofar" w:hAnsi="Shofar" w:cs="Shofar"/>
          <w:rtl/>
        </w:rPr>
        <w:footnoteReference w:id="15"/>
      </w:r>
      <w:r w:rsidRPr="00901643">
        <w:rPr>
          <w:rFonts w:ascii="Shofar" w:hAnsi="Shofar" w:cs="Shofar"/>
          <w:rtl/>
        </w:rPr>
        <w:t xml:space="preserve"> </w:t>
      </w:r>
      <w:r w:rsidRPr="00901643">
        <w:rPr>
          <w:rFonts w:ascii="Shofar" w:hAnsi="Shofar" w:cs="Shofar"/>
          <w:rtl/>
        </w:rPr>
        <w:lastRenderedPageBreak/>
        <w:t>חולקים רבי אליעזר ורבנן אם זה נחשב רשות הרבים או לא נחשב רשות הרבים.</w:t>
      </w:r>
    </w:p>
    <w:p w14:paraId="6CE0EEAB" w14:textId="77777777" w:rsidR="00467802" w:rsidRPr="00901643" w:rsidRDefault="00E06679">
      <w:pPr>
        <w:rPr>
          <w:rFonts w:ascii="Shofar" w:hAnsi="Shofar" w:cs="Shofar"/>
        </w:rPr>
      </w:pPr>
      <w:r w:rsidRPr="00901643">
        <w:rPr>
          <w:rFonts w:ascii="Shofar" w:hAnsi="Shofar" w:cs="Shofar"/>
          <w:rtl/>
        </w:rPr>
        <w:t>מקשה גמ’ שאם נוקים את המשנה כרבי אליעזר, יהיה דינו כרשות הרבים, אף לקנין, ולא יוכל לקנות בו. אם נוקים את המשנה כרבנן, לא יהיה דינו כרשות הרבים לשום דבר, ולא יהיה חיוב שבת. (קושיה שנית יותר קשה, שהרי כשרבנן אומרים שאין בו דין רשות הרבים, בדיוק באותו מימרא היו מדברים.)</w:t>
      </w:r>
    </w:p>
    <w:p w14:paraId="0C31119B" w14:textId="77777777" w:rsidR="00467802" w:rsidRPr="00901643" w:rsidRDefault="00E06679">
      <w:pPr>
        <w:rPr>
          <w:rFonts w:ascii="Shofar" w:hAnsi="Shofar" w:cs="Shofar"/>
        </w:rPr>
      </w:pPr>
      <w:r w:rsidRPr="00901643">
        <w:rPr>
          <w:rFonts w:ascii="Shofar" w:hAnsi="Shofar" w:cs="Shofar"/>
          <w:rtl/>
        </w:rPr>
        <w:t>נמצא שמניח גמ’ שדין רשות הרבים</w:t>
      </w:r>
      <w:r w:rsidRPr="00901643">
        <w:rPr>
          <w:rStyle w:val="FootnoteReference"/>
          <w:rFonts w:ascii="Shofar" w:hAnsi="Shofar" w:cs="Shofar"/>
          <w:rtl/>
        </w:rPr>
        <w:footnoteReference w:id="16"/>
      </w:r>
      <w:r w:rsidRPr="00901643">
        <w:rPr>
          <w:rFonts w:ascii="Shofar" w:hAnsi="Shofar" w:cs="Shofar"/>
          <w:rtl/>
        </w:rPr>
        <w:t xml:space="preserve"> לענין שבת ודין רשות הרבים של קנין שווים לענין זה. יש לדון למה סובר כן:</w:t>
      </w:r>
    </w:p>
    <w:p w14:paraId="517D27F9" w14:textId="77777777" w:rsidR="00467802" w:rsidRPr="00901643" w:rsidRDefault="00E06679">
      <w:pPr>
        <w:numPr>
          <w:ilvl w:val="0"/>
          <w:numId w:val="5"/>
        </w:numPr>
        <w:rPr>
          <w:rFonts w:ascii="Shofar" w:hAnsi="Shofar" w:cs="Shofar"/>
        </w:rPr>
      </w:pPr>
      <w:r w:rsidRPr="00901643">
        <w:rPr>
          <w:rFonts w:ascii="Shofar" w:hAnsi="Shofar" w:cs="Shofar"/>
          <w:rtl/>
        </w:rPr>
        <w:t>אולי מסתבר שלענין דין זה הם שווים. במילים אחרים, אין סיבה לחשוב שדינים שלהם בדרך כלל שווה, אבל בדין זה, מסתבר שרבי אליעזר יסבור כן גבי קנין ושרבנן יסברו כן גבי איסור שבת. במילים יותר טובים, מה שהוא רשות לקנות ומה שהוא רשות לענין שבת אינם תלויים זה בזה. אבל, לענין מקצת דברים, תלויים זה בזה. אז, אפשר להיות שמה שהוא רחב יו אמות הוא חילוק ביניהם, אבל דברים שיש להם דין מחמת קרק' אחר יוכרחו להיות תלויים זה בזה. ותחשב על זה.</w:t>
      </w:r>
    </w:p>
    <w:p w14:paraId="49734BEE" w14:textId="77777777" w:rsidR="00467802" w:rsidRPr="00901643" w:rsidRDefault="00E06679">
      <w:pPr>
        <w:numPr>
          <w:ilvl w:val="0"/>
          <w:numId w:val="5"/>
        </w:numPr>
        <w:rPr>
          <w:rFonts w:ascii="Shofar" w:hAnsi="Shofar" w:cs="Shofar"/>
        </w:rPr>
      </w:pPr>
      <w:r w:rsidRPr="00901643">
        <w:rPr>
          <w:rFonts w:ascii="Shofar" w:hAnsi="Shofar" w:cs="Shofar"/>
          <w:rtl/>
        </w:rPr>
        <w:t>אולי מסתבר שדינים שלהם יהיו שווים. יש לדון למה:</w:t>
      </w:r>
    </w:p>
    <w:p w14:paraId="6734C672" w14:textId="77777777" w:rsidR="00467802" w:rsidRPr="00901643" w:rsidRDefault="00E06679">
      <w:pPr>
        <w:numPr>
          <w:ilvl w:val="1"/>
          <w:numId w:val="5"/>
        </w:numPr>
        <w:rPr>
          <w:rFonts w:ascii="Shofar" w:hAnsi="Shofar" w:cs="Shofar"/>
        </w:rPr>
      </w:pPr>
      <w:r w:rsidRPr="00901643">
        <w:rPr>
          <w:rFonts w:ascii="Shofar" w:hAnsi="Shofar" w:cs="Shofar"/>
          <w:rtl/>
        </w:rPr>
        <w:t>אולי לא נראה חילוק ביניהם מסברה. אז, ייתלו בדבר אחד, ודינים שלהם יהיו שווים.</w:t>
      </w:r>
    </w:p>
    <w:p w14:paraId="6EADED36" w14:textId="77777777" w:rsidR="00467802" w:rsidRPr="00901643" w:rsidRDefault="00E06679">
      <w:pPr>
        <w:numPr>
          <w:ilvl w:val="1"/>
          <w:numId w:val="5"/>
        </w:numPr>
        <w:rPr>
          <w:rFonts w:ascii="Shofar" w:hAnsi="Shofar" w:cs="Shofar"/>
        </w:rPr>
      </w:pPr>
      <w:r w:rsidRPr="00901643">
        <w:rPr>
          <w:rFonts w:ascii="Shofar" w:hAnsi="Shofar" w:cs="Shofar"/>
          <w:rtl/>
        </w:rPr>
        <w:lastRenderedPageBreak/>
        <w:t>אולי מסתבר שמה שיש דין לאחד מהם יהיה סיבה שאותו דין יתקיים לאחר. (כמו כן, מצאנו שדבר שנחשב מחיצה לענין שבת נחשב מחיצה לענין סוכה, בשבת. אבל, כמובן, יש להעיר שזה רק בשבת, ולא בשאר ימים. לשון של דיון הגמ' לא משמע שדינים אלו לא יהיו שווים בשבת ובחול. ותחשב על זה.) ויש לדון מה יגרר את מה. ותו"ת.</w:t>
      </w:r>
    </w:p>
    <w:p w14:paraId="21721CBE" w14:textId="77777777" w:rsidR="00467802" w:rsidRPr="00901643" w:rsidRDefault="00E06679">
      <w:pPr>
        <w:rPr>
          <w:rFonts w:ascii="Shofar" w:hAnsi="Shofar" w:cs="Shofar"/>
        </w:rPr>
      </w:pPr>
      <w:r w:rsidRPr="00901643">
        <w:rPr>
          <w:rFonts w:ascii="Shofar" w:hAnsi="Shofar" w:cs="Shofar"/>
          <w:rtl/>
        </w:rPr>
        <w:t>ויש להעיר שלא רואים שצריכים להיות שווים; רק רואים שמה שהוא רשות הרבים לענין שבת לא יעשה קנין. אבל, אולי מה שאינו עושה קנין יכול להיות שאינו רשות הרבים לשבת. ותחשב.</w:t>
      </w:r>
    </w:p>
    <w:p w14:paraId="31C55CB2" w14:textId="77777777" w:rsidR="00467802" w:rsidRPr="00901643" w:rsidRDefault="00E06679">
      <w:pPr>
        <w:rPr>
          <w:rFonts w:ascii="Shofar" w:hAnsi="Shofar" w:cs="Shofar"/>
        </w:rPr>
      </w:pPr>
      <w:r w:rsidRPr="00901643">
        <w:rPr>
          <w:rFonts w:ascii="Shofar" w:hAnsi="Shofar" w:cs="Shofar"/>
          <w:rtl/>
        </w:rPr>
        <w:t>מקשה גמ', במילים אחרים, שנכון הוא שציור זה הוא ציור אחר, אבל לא עושה אפשרות לחלק בין דיני שבת לדיני קנין. עדיין הם תלויים זה על זה גם בציור זה; אלא שיש מחלקת תנאים מהו, באמת, הדין של ציור זה.</w:t>
      </w:r>
    </w:p>
    <w:p w14:paraId="7B81F0ED" w14:textId="77777777" w:rsidR="00467802" w:rsidRPr="00901643" w:rsidRDefault="00E06679">
      <w:pPr>
        <w:pStyle w:val="Heading4"/>
        <w:numPr>
          <w:ilvl w:val="3"/>
          <w:numId w:val="1"/>
        </w:numPr>
        <w:ind w:left="864"/>
        <w:rPr>
          <w:rFonts w:ascii="Shofar" w:hAnsi="Shofar" w:cs="Shofar"/>
        </w:rPr>
      </w:pPr>
      <w:r w:rsidRPr="00901643">
        <w:rPr>
          <w:rFonts w:ascii="Shofar" w:hAnsi="Shofar" w:cs="Shofar"/>
          <w:rtl/>
        </w:rPr>
        <w:t>תירוצי גמ':</w:t>
      </w:r>
    </w:p>
    <w:p w14:paraId="4304B340" w14:textId="77777777" w:rsidR="00467802" w:rsidRPr="00901643" w:rsidRDefault="00E06679">
      <w:pPr>
        <w:pStyle w:val="Heading5"/>
        <w:rPr>
          <w:rFonts w:ascii="Shofar" w:hAnsi="Shofar" w:cs="Shofar"/>
        </w:rPr>
      </w:pPr>
      <w:r w:rsidRPr="00901643">
        <w:rPr>
          <w:rFonts w:ascii="Shofar" w:hAnsi="Shofar" w:cs="Shofar"/>
          <w:rtl/>
        </w:rPr>
        <w:t>תירוץ ראשון של גמ' (תי' סתם הגמ'):</w:t>
      </w:r>
    </w:p>
    <w:p w14:paraId="265D8188" w14:textId="77777777" w:rsidR="00467802" w:rsidRPr="00901643" w:rsidRDefault="00E06679">
      <w:pPr>
        <w:rPr>
          <w:rFonts w:ascii="Shofar" w:hAnsi="Shofar" w:cs="Shofar"/>
        </w:rPr>
      </w:pPr>
      <w:r w:rsidRPr="00901643">
        <w:rPr>
          <w:rFonts w:ascii="Shofar" w:hAnsi="Shofar" w:cs="Shofar"/>
          <w:rtl/>
        </w:rPr>
        <w:t>גמ' מתרץ שאינם תלויים זה על זה, על כל פנים לראב"י. יש קרק' שעושה דבר לרשות הרבים של שבת שלא עושה דבר לרשות הרבים של קנין, והוא אותו דבר שעושה צדי רשות הרבים לרה"ר של שבת.</w:t>
      </w:r>
    </w:p>
    <w:p w14:paraId="6C3F0BBB" w14:textId="77777777" w:rsidR="00467802" w:rsidRPr="00901643" w:rsidRDefault="00E06679">
      <w:pPr>
        <w:rPr>
          <w:rFonts w:ascii="Shofar" w:hAnsi="Shofar" w:cs="Shofar"/>
        </w:rPr>
      </w:pPr>
      <w:r w:rsidRPr="00901643">
        <w:rPr>
          <w:rFonts w:ascii="Shofar" w:hAnsi="Shofar" w:cs="Shofar"/>
          <w:rtl/>
        </w:rPr>
        <w:t xml:space="preserve">אותו דבר הוא מה שלפעמים בני אדם דוחקים ונכנסים. זה די לעשות שהוא רשות הרבים של שבת, אבל לא די לעשות שהוא רשות הרבים של קנין, כיון שלא שכיח שם רבים. הדרך הפשוט לבאר את החילוק הוא רק לומר שצריך רשות הרבים יותר מעולה כדי שלא יקנה. גם קל לומר שלא אחד צריך להיות יותר רה"ר מחברו, אלא צ"ל רה"ר באופנים אחרים. יכול להיות דבר יותר יסודי, והוא אם תלוי במה שעומד לרבים או ראוי לרבים. ותו"ת.יש להוסיף שאולי יש חילוק יסודי ביניהם, והוא שרשות הרבים של </w:t>
      </w:r>
      <w:r w:rsidRPr="00901643">
        <w:rPr>
          <w:rFonts w:ascii="Shofar" w:hAnsi="Shofar" w:cs="Shofar"/>
          <w:rtl/>
        </w:rPr>
        <w:lastRenderedPageBreak/>
        <w:t>שבת הוא לעשות דבר- לעשות חיוב אם מוציא לתוכו</w:t>
      </w:r>
      <w:r w:rsidRPr="00901643">
        <w:rPr>
          <w:rStyle w:val="FootnoteReference"/>
          <w:rFonts w:ascii="Shofar" w:hAnsi="Shofar" w:cs="Shofar"/>
          <w:rtl/>
        </w:rPr>
        <w:footnoteReference w:id="17"/>
      </w:r>
      <w:r w:rsidRPr="00901643">
        <w:rPr>
          <w:rFonts w:ascii="Shofar" w:hAnsi="Shofar" w:cs="Shofar"/>
          <w:rtl/>
        </w:rPr>
        <w:t>- ורשות הרבים של קנין עושה שאין דבר- עושה שאין קנין. (באמת, יש לדון אם הוא מונע את החלות או שאז אין סיבה לחלות. נראה שחי' שנאמר הוא רק אפשר לצד שני.) אז, יש לומר שבאמת, רשות הרבים ואינו רשות הרבים הוא. אז, בשבת, יש לו דינים של רשות הרבים. אבל, בקנין, כיון שאינו רשות הרבים גם, אין לו דינים של רשות הרבים. זה מניח- ומסתבר, אולי, להניח כן- שמה שקורה הוא שהדבר קורה. ותחשב על זה.</w:t>
      </w:r>
    </w:p>
    <w:p w14:paraId="49B1F028" w14:textId="77777777" w:rsidR="00467802" w:rsidRPr="00901643" w:rsidRDefault="00E06679">
      <w:pPr>
        <w:rPr>
          <w:rFonts w:ascii="Shofar" w:hAnsi="Shofar" w:cs="Shofar"/>
        </w:rPr>
      </w:pPr>
      <w:r w:rsidRPr="00901643">
        <w:rPr>
          <w:rFonts w:ascii="Shofar" w:hAnsi="Shofar" w:cs="Shofar"/>
          <w:rtl/>
        </w:rPr>
        <w:t>נמצא שלפי ראב"י, יש לחלק בין רשות הרבים של שבת לרשות הרבים של קנין. יש לדון אם זה נכון גם לפי רבנן- אם יש מקומות שהם רשות הרבים של שבת לפי רבנן שאינם רשות הרבים של קנין. גם אם אין מקום כזה, אולי החילוק שמצאנו בלומדות בין רה"ר של שבת לרה"ר של קנין לפי ראב"י יגלה שיש אותו חי' בלומדות לפי רבנן. ותחשב על זה. (אין זה מוכרח, שיש לומר שזה הוא המחלקת- מהו רשות הרבים של שבת, אם הוא אותו דבר של רה"ר של קנין או לא.)</w:t>
      </w:r>
    </w:p>
    <w:p w14:paraId="4A5705AC" w14:textId="77777777" w:rsidR="00467802" w:rsidRPr="00901643" w:rsidRDefault="00E06679">
      <w:pPr>
        <w:pStyle w:val="Heading5"/>
        <w:rPr>
          <w:rFonts w:ascii="Shofar" w:hAnsi="Shofar" w:cs="Shofar"/>
        </w:rPr>
      </w:pPr>
      <w:r w:rsidRPr="00901643">
        <w:rPr>
          <w:rFonts w:ascii="Shofar" w:hAnsi="Shofar" w:cs="Shofar"/>
          <w:rtl/>
        </w:rPr>
        <w:t>תירוץ שני של גמ' (תי' של רב אשי):</w:t>
      </w:r>
    </w:p>
    <w:p w14:paraId="07817AD8" w14:textId="77777777" w:rsidR="00467802" w:rsidRPr="00901643" w:rsidRDefault="00E06679">
      <w:pPr>
        <w:rPr>
          <w:rFonts w:ascii="Shofar" w:hAnsi="Shofar" w:cs="Shofar"/>
        </w:rPr>
      </w:pPr>
      <w:r w:rsidRPr="00901643">
        <w:rPr>
          <w:rFonts w:ascii="Shofar" w:hAnsi="Shofar" w:cs="Shofar"/>
          <w:rtl/>
        </w:rPr>
        <w:t>יש הרבה גירסאות ופירושים בזה. בגלל זה, כתבנו סיכום על הסוגיה (של רש"י ותוס'), ונביא אותו כאן:</w:t>
      </w:r>
    </w:p>
    <w:p w14:paraId="0D525E67" w14:textId="77777777" w:rsidR="00467802" w:rsidRPr="00901643" w:rsidRDefault="00E06679">
      <w:pPr>
        <w:rPr>
          <w:rFonts w:ascii="Shofar" w:hAnsi="Shofar" w:cs="Shofar"/>
        </w:rPr>
      </w:pPr>
      <w:r w:rsidRPr="00901643">
        <w:rPr>
          <w:rFonts w:ascii="Shofar" w:hAnsi="Shofar" w:cs="Shofar"/>
          <w:rtl/>
        </w:rPr>
        <w:t>בריי' אומר שמי שגונב דבר וקונה אותו על ידי גרירה מרשות חברו לא חייב בשבת. זה מפני שמתחייב מיתה בשעה שמוציא אותו, ומתחייב ממון בשעה שמוציא אותו. אין אדם מתחייב מיתה וממון, ולכן פטור הוא מחיוב מיתה של גניבה.</w:t>
      </w:r>
    </w:p>
    <w:p w14:paraId="2BFC5628" w14:textId="77777777" w:rsidR="00467802" w:rsidRPr="00901643" w:rsidRDefault="00E06679">
      <w:pPr>
        <w:rPr>
          <w:rFonts w:ascii="Shofar" w:hAnsi="Shofar" w:cs="Shofar"/>
        </w:rPr>
      </w:pPr>
      <w:r w:rsidRPr="00901643">
        <w:rPr>
          <w:rFonts w:ascii="Shofar" w:hAnsi="Shofar" w:cs="Shofar"/>
          <w:rtl/>
        </w:rPr>
        <w:lastRenderedPageBreak/>
        <w:t>מקשה גמ' איך יכול להיות שקונה ומוציא בשעה אחת. הרי, הוצאה צריך להיות לתוך רשות הרבים, ואין משיכה (שמסתמא הוא אופן הקנין) לא קונה ברשות הרבים.</w:t>
      </w:r>
    </w:p>
    <w:p w14:paraId="0A8213FA" w14:textId="77777777" w:rsidR="00467802" w:rsidRPr="00901643" w:rsidRDefault="00E06679">
      <w:pPr>
        <w:rPr>
          <w:rFonts w:ascii="Shofar" w:hAnsi="Shofar" w:cs="Shofar"/>
        </w:rPr>
      </w:pPr>
      <w:r w:rsidRPr="00901643">
        <w:rPr>
          <w:rFonts w:ascii="Shofar" w:hAnsi="Shofar" w:cs="Shofar"/>
          <w:rtl/>
        </w:rPr>
        <w:t>רב אשי נותן תי', אבל לא פשוט מהו התירוץ. מרש"י ותוס' מצאנו שלש גירסאות בתי' של רב אשי, ונבאר מהו התי' לפי כל אחד מהם:</w:t>
      </w:r>
    </w:p>
    <w:p w14:paraId="3B451053" w14:textId="77777777" w:rsidR="00467802" w:rsidRPr="00901643" w:rsidRDefault="00E06679">
      <w:pPr>
        <w:ind w:firstLine="720"/>
        <w:rPr>
          <w:rFonts w:ascii="Shofar" w:hAnsi="Shofar" w:cs="Shofar"/>
        </w:rPr>
      </w:pPr>
      <w:r w:rsidRPr="00901643">
        <w:rPr>
          <w:rFonts w:ascii="Shofar" w:hAnsi="Shofar" w:cs="Shofar"/>
          <w:rtl/>
        </w:rPr>
        <w:t>גירסא ראשונה:</w:t>
      </w:r>
    </w:p>
    <w:p w14:paraId="639003F6" w14:textId="77777777" w:rsidR="00467802" w:rsidRPr="00901643" w:rsidRDefault="00E06679">
      <w:pPr>
        <w:rPr>
          <w:rFonts w:ascii="Shofar" w:hAnsi="Shofar" w:cs="Shofar"/>
        </w:rPr>
      </w:pPr>
      <w:r w:rsidRPr="00901643">
        <w:rPr>
          <w:rFonts w:ascii="Shofar" w:hAnsi="Shofar" w:cs="Shofar"/>
          <w:rtl/>
        </w:rPr>
        <w:t>רש"י גורס שרב אשי אומר: "כגון שצרף ידו למטה משלשה וקבלו כדרבא דאמר רבא ידו של אדם חשובה לו כארבע על ארבע." זאת אומרת שנותן יד אחד ברשות הרבים (למטה משלש טפחים) ויד אחד מוליך את החפץ. מוליך את החפץ בידו האחד לתוך ידו האחר.</w:t>
      </w:r>
    </w:p>
    <w:p w14:paraId="26F4DCF8" w14:textId="77777777" w:rsidR="00467802" w:rsidRPr="00901643" w:rsidRDefault="00E06679">
      <w:pPr>
        <w:ind w:left="720" w:firstLine="720"/>
        <w:rPr>
          <w:rFonts w:ascii="Shofar" w:hAnsi="Shofar" w:cs="Shofar"/>
        </w:rPr>
      </w:pPr>
      <w:r w:rsidRPr="00901643">
        <w:rPr>
          <w:rFonts w:ascii="Shofar" w:hAnsi="Shofar" w:cs="Shofar"/>
          <w:rtl/>
        </w:rPr>
        <w:t>פי' רש"י:</w:t>
      </w:r>
    </w:p>
    <w:p w14:paraId="1ACDDF73" w14:textId="77777777" w:rsidR="00467802" w:rsidRPr="00901643" w:rsidRDefault="00E06679">
      <w:pPr>
        <w:rPr>
          <w:rFonts w:ascii="Shofar" w:hAnsi="Shofar" w:cs="Shofar"/>
        </w:rPr>
      </w:pPr>
      <w:r w:rsidRPr="00901643">
        <w:rPr>
          <w:rFonts w:ascii="Shofar" w:hAnsi="Shofar" w:cs="Shofar"/>
          <w:rtl/>
        </w:rPr>
        <w:t>רש"י מפרש שכאן קונה בקנין יד, ולא בקנין משיכה. דימה רש"י את זה לקנין הגבהה, ובאר שאף שבדרך כלל אין קנין הגבהה פחות משלשה טפחים, כיון שיד חשוב כארבע על ארבע, יש בו קנין הגבהה</w:t>
      </w:r>
      <w:r w:rsidRPr="00901643">
        <w:rPr>
          <w:rStyle w:val="FootnoteReference"/>
          <w:rFonts w:ascii="Shofar" w:hAnsi="Shofar" w:cs="Shofar"/>
          <w:rtl/>
        </w:rPr>
        <w:footnoteReference w:id="18"/>
      </w:r>
      <w:r w:rsidRPr="00901643">
        <w:rPr>
          <w:rFonts w:ascii="Shofar" w:hAnsi="Shofar" w:cs="Shofar"/>
          <w:rtl/>
        </w:rPr>
        <w:t>. אז, נמצא שכשנותן לתוך ידו, נח על ידו, וחייב חיוב שבת, וקנה אותו בידו, ונמצא שגנב אותו.</w:t>
      </w:r>
    </w:p>
    <w:p w14:paraId="670211F2" w14:textId="77777777" w:rsidR="00467802" w:rsidRPr="00901643" w:rsidRDefault="00E06679">
      <w:pPr>
        <w:rPr>
          <w:rFonts w:ascii="Shofar" w:hAnsi="Shofar" w:cs="Shofar"/>
        </w:rPr>
      </w:pPr>
      <w:r w:rsidRPr="00901643">
        <w:rPr>
          <w:rFonts w:ascii="Shofar" w:hAnsi="Shofar" w:cs="Shofar"/>
          <w:rtl/>
        </w:rPr>
        <w:t xml:space="preserve">ואם תאמר למה לא יכול להיות גבוה שלש טפחים. תי' רש"י שאם כן נמצא שהגביה אותו שלש טפחים, וכבר קנה בזה. ואם תאמר למה לא יכול להיות שהגביה אותו שלש טפחים אחרי שהגיע לרשות הרבים. צריך לומר </w:t>
      </w:r>
      <w:r w:rsidRPr="00901643">
        <w:rPr>
          <w:rFonts w:ascii="Shofar" w:hAnsi="Shofar" w:cs="Shofar"/>
          <w:rtl/>
        </w:rPr>
        <w:lastRenderedPageBreak/>
        <w:t>שקנה כשידו עוד הולך ומגביה (אחרי שהגיע לשלש טפחים), אבל לא חייב חיוב שבת עד אחרי כן.</w:t>
      </w:r>
      <w:r w:rsidRPr="00901643">
        <w:rPr>
          <w:rStyle w:val="FootnoteReference"/>
          <w:rFonts w:ascii="Shofar" w:hAnsi="Shofar" w:cs="Shofar"/>
          <w:rtl/>
        </w:rPr>
        <w:footnoteReference w:id="19"/>
      </w:r>
    </w:p>
    <w:p w14:paraId="55776294" w14:textId="77777777" w:rsidR="00467802" w:rsidRPr="00901643" w:rsidRDefault="00E06679">
      <w:pPr>
        <w:rPr>
          <w:rFonts w:ascii="Shofar" w:hAnsi="Shofar" w:cs="Shofar"/>
        </w:rPr>
      </w:pPr>
      <w:r w:rsidRPr="00901643">
        <w:rPr>
          <w:rFonts w:ascii="Shofar" w:hAnsi="Shofar" w:cs="Shofar"/>
          <w:rtl/>
        </w:rPr>
        <w:t>ואם תאמר איפה לא קונה, ואיפה אינו בידו כשמגביה אותו. ויש לומר שרק אומרים שיד של אדם חשוב כארבע על ארבע לחפץ שיושב בתוך ידו. אבל, אם יושב בחפץ בידו, או- יותר מזה- אם תולה על ידו, אינו קונה. כמו כן, אם מגביה אותו בחלק אחר מגופו- נמצא אם מושך למעלה בחלק אחר מגופו או אם דוחף דבר למטה שגורם שהחפץ עולה- לא קונה.</w:t>
      </w:r>
    </w:p>
    <w:p w14:paraId="600DB6A8" w14:textId="77777777" w:rsidR="00467802" w:rsidRPr="00901643" w:rsidRDefault="00E06679">
      <w:pPr>
        <w:ind w:left="720" w:firstLine="720"/>
        <w:rPr>
          <w:rFonts w:ascii="Shofar" w:hAnsi="Shofar" w:cs="Shofar"/>
        </w:rPr>
      </w:pPr>
      <w:r w:rsidRPr="00901643">
        <w:rPr>
          <w:rFonts w:ascii="Shofar" w:hAnsi="Shofar" w:cs="Shofar"/>
          <w:rtl/>
        </w:rPr>
        <w:t>על זה מקשה תוס' שלש קושיות:</w:t>
      </w:r>
    </w:p>
    <w:p w14:paraId="092544A5" w14:textId="77777777" w:rsidR="00467802" w:rsidRPr="00901643" w:rsidRDefault="00E06679">
      <w:pPr>
        <w:ind w:left="1440" w:firstLine="720"/>
        <w:rPr>
          <w:rFonts w:ascii="Shofar" w:hAnsi="Shofar" w:cs="Shofar"/>
        </w:rPr>
      </w:pPr>
      <w:r w:rsidRPr="00901643">
        <w:rPr>
          <w:rFonts w:ascii="Shofar" w:hAnsi="Shofar" w:cs="Shofar"/>
          <w:rtl/>
        </w:rPr>
        <w:t>קושיה ראשונה:</w:t>
      </w:r>
    </w:p>
    <w:p w14:paraId="75C719D9" w14:textId="77777777" w:rsidR="00467802" w:rsidRPr="00901643" w:rsidRDefault="00E06679">
      <w:pPr>
        <w:rPr>
          <w:rFonts w:ascii="Shofar" w:hAnsi="Shofar" w:cs="Shofar"/>
        </w:rPr>
      </w:pPr>
      <w:r w:rsidRPr="00901643">
        <w:rPr>
          <w:rFonts w:ascii="Shofar" w:hAnsi="Shofar" w:cs="Shofar"/>
          <w:rtl/>
        </w:rPr>
        <w:t xml:space="preserve">הקשה איך נביא מאמר של רבא. מאמר של רבא אומר שיד נחשב מקום ארבע על ארבע לענין שבת. זה לא יגלה כלום על יכולתו לקנות ביד. רש"י, כנראה, חולק על זה, וסובר שאחד סיבה לאחר. (אפשר לבאר שחולקים למה צריך מקום ארבע בשבת. יכול להיות מפני שצריך להיות על מקום חשוב, ויכול להיות מפני שצריכים להיות בטוחים שלא יפול. לצד ראשון, נלמד מזה שיש חשיבות ליד, ואז אולי יכולים ללמוד מדין שבת. לצד שני, גמ' רק אומר שלא חוששים שיפול מיד, כיון שיכול לאחוז (לא מוכרח שזהו הקמ"ל, שאולי הקמ"ל הוא שכיון שהוא חשוב, אף שיכול ליפול, נח). אז, לכאו' זה לא מלמד כלום לענין הגבהה. (ויש לדון, שגם לענין הגבהה יש לומר כעין זה, שכיון שנתן לו מקום שישאר שם, אף שאינו מקום יותר חשוב, יותר קל לו לקנות בהגבהה.)) </w:t>
      </w:r>
    </w:p>
    <w:p w14:paraId="7237849A" w14:textId="77777777" w:rsidR="00467802" w:rsidRPr="00901643" w:rsidRDefault="00E06679">
      <w:pPr>
        <w:rPr>
          <w:rFonts w:ascii="Shofar" w:hAnsi="Shofar" w:cs="Shofar"/>
        </w:rPr>
      </w:pPr>
      <w:r w:rsidRPr="00901643">
        <w:rPr>
          <w:rFonts w:ascii="Shofar" w:hAnsi="Shofar" w:cs="Shofar"/>
          <w:rtl/>
        </w:rPr>
        <w:lastRenderedPageBreak/>
        <w:t>יש להעיר שיותר היה לו לתוס' להקשות מן הדין, והוא שלא מצאנו שרש"י יאמר שיקנה בהגבהה פחות משלש טפחים אם יושב החפץ במקום ארבע על ארבע. יש לדון, שאולי אף שלא אומר כן, ואף שלא משמיע כן במקום אחר חוץ מכאן, אולי סובר כן. ותחשב.</w:t>
      </w:r>
    </w:p>
    <w:p w14:paraId="56E70201" w14:textId="77777777" w:rsidR="00467802" w:rsidRPr="00901643" w:rsidRDefault="00E06679">
      <w:pPr>
        <w:rPr>
          <w:rFonts w:ascii="Shofar" w:hAnsi="Shofar" w:cs="Shofar"/>
        </w:rPr>
      </w:pPr>
      <w:r w:rsidRPr="00901643">
        <w:rPr>
          <w:rFonts w:ascii="Shofar" w:hAnsi="Shofar" w:cs="Shofar"/>
          <w:rtl/>
        </w:rPr>
        <w:t>ונראה שיש לדון אם מקשה תוס' שאף שחשוב הוא כארבע על ארבע לענין שבת, רק מצאנו חשיבות למקום ארב על על ארבע בשבת, או שאולי מה שהוא חשוב כמקום ארבע על ארבע הוא רק לענין דיני שבת. ותחשב.</w:t>
      </w:r>
    </w:p>
    <w:p w14:paraId="7744B627" w14:textId="77777777" w:rsidR="00467802" w:rsidRPr="00901643" w:rsidRDefault="00E06679">
      <w:pPr>
        <w:ind w:left="1440" w:firstLine="720"/>
        <w:rPr>
          <w:rFonts w:ascii="Shofar" w:hAnsi="Shofar" w:cs="Shofar"/>
        </w:rPr>
      </w:pPr>
      <w:r w:rsidRPr="00901643">
        <w:rPr>
          <w:rFonts w:ascii="Shofar" w:hAnsi="Shofar" w:cs="Shofar"/>
          <w:rtl/>
        </w:rPr>
        <w:t>קושיה שניה:</w:t>
      </w:r>
    </w:p>
    <w:p w14:paraId="220CF58C" w14:textId="77777777" w:rsidR="00467802" w:rsidRPr="00901643" w:rsidRDefault="00E06679">
      <w:pPr>
        <w:rPr>
          <w:rFonts w:ascii="Shofar" w:hAnsi="Shofar" w:cs="Shofar"/>
        </w:rPr>
      </w:pPr>
      <w:r w:rsidRPr="00901643">
        <w:rPr>
          <w:rFonts w:ascii="Shofar" w:hAnsi="Shofar" w:cs="Shofar"/>
          <w:rtl/>
        </w:rPr>
        <w:t>מקשה למה צריך להביא הוכחה ממאמר של רבא. הרי, פשוט שיד קונה, שהרי קרא אומר שיד קונה בגט (שכ', "ונתן בידה").</w:t>
      </w:r>
    </w:p>
    <w:p w14:paraId="6634CD9B" w14:textId="77777777" w:rsidR="00467802" w:rsidRPr="00901643" w:rsidRDefault="00E06679">
      <w:pPr>
        <w:rPr>
          <w:rFonts w:ascii="Shofar" w:hAnsi="Shofar" w:cs="Shofar"/>
        </w:rPr>
      </w:pPr>
      <w:r w:rsidRPr="00901643">
        <w:rPr>
          <w:rFonts w:ascii="Shofar" w:hAnsi="Shofar" w:cs="Shofar"/>
          <w:rtl/>
        </w:rPr>
        <w:t xml:space="preserve">אפשר לדחות שגמ' רק מסביר למה הוא כן, אף שקרא בפירוש הוא, אבל קשה שיצטרך לבאר קרא. </w:t>
      </w:r>
    </w:p>
    <w:p w14:paraId="12C093AB" w14:textId="77777777" w:rsidR="00467802" w:rsidRPr="00901643" w:rsidRDefault="00E06679">
      <w:pPr>
        <w:rPr>
          <w:rFonts w:ascii="Shofar" w:hAnsi="Shofar" w:cs="Shofar"/>
        </w:rPr>
      </w:pPr>
      <w:r w:rsidRPr="00901643">
        <w:rPr>
          <w:rFonts w:ascii="Shofar" w:hAnsi="Shofar" w:cs="Shofar"/>
          <w:rtl/>
        </w:rPr>
        <w:t>היה לו לתוס' להקשות, באמת, יותר מזה, שאם תי' של רב אשי מביא ראיה לזה, משמע שהחולקים לא מודים לזה. הרי, פסוק הוא, ואיך אפשר שלא מודים לו. ויש לדון, שיש לומר שרק לא רוצים להוקים אותו בציור זה. ויש לדון.</w:t>
      </w:r>
    </w:p>
    <w:p w14:paraId="00EDD13B" w14:textId="77777777" w:rsidR="00467802" w:rsidRPr="00901643" w:rsidRDefault="00E06679">
      <w:pPr>
        <w:ind w:left="1440" w:firstLine="720"/>
        <w:rPr>
          <w:rFonts w:ascii="Shofar" w:hAnsi="Shofar" w:cs="Shofar"/>
        </w:rPr>
      </w:pPr>
      <w:r w:rsidRPr="00901643">
        <w:rPr>
          <w:rFonts w:ascii="Shofar" w:hAnsi="Shofar" w:cs="Shofar"/>
          <w:rtl/>
        </w:rPr>
        <w:t>קושיה שלישית:</w:t>
      </w:r>
    </w:p>
    <w:p w14:paraId="3E806A33" w14:textId="77777777" w:rsidR="00467802" w:rsidRPr="00901643" w:rsidRDefault="00E06679">
      <w:pPr>
        <w:rPr>
          <w:rFonts w:ascii="Shofar" w:hAnsi="Shofar" w:cs="Shofar"/>
        </w:rPr>
      </w:pPr>
      <w:r w:rsidRPr="00901643">
        <w:rPr>
          <w:rFonts w:ascii="Shofar" w:hAnsi="Shofar" w:cs="Shofar"/>
          <w:rtl/>
        </w:rPr>
        <w:t>עיין לעיל, שבארנו למה צריך להיות פחות משלש טפחים. הקשה תוס' למה לא נוקים אותו גם למעלה משלש טפחים (ואז לא צריכים חידוש של רבא), כשרשות היחיד הוא שלש טפחים יותר מרשות הרבים. אז, לא קונה אותו עד שמוציא אותו, וכיון שמוציא אותו, נח.</w:t>
      </w:r>
    </w:p>
    <w:p w14:paraId="5F76EEFC" w14:textId="77777777" w:rsidR="00467802" w:rsidRPr="00901643" w:rsidRDefault="00E06679">
      <w:pPr>
        <w:rPr>
          <w:rFonts w:ascii="Shofar" w:hAnsi="Shofar" w:cs="Shofar"/>
        </w:rPr>
      </w:pPr>
      <w:r w:rsidRPr="00901643">
        <w:rPr>
          <w:rFonts w:ascii="Shofar" w:hAnsi="Shofar" w:cs="Shofar"/>
          <w:rtl/>
        </w:rPr>
        <w:t>תוס' כאן מוסיף שאילו היה כן "הוה מייתי מדרבא אקנין ואשבת." לא כל כך פשוט מה כוונת תוס', שיש שתי בעיות גדולות עם מה שאומר.</w:t>
      </w:r>
    </w:p>
    <w:p w14:paraId="70BB1149" w14:textId="77777777" w:rsidR="00467802" w:rsidRPr="00901643" w:rsidRDefault="00E06679">
      <w:pPr>
        <w:rPr>
          <w:rFonts w:ascii="Shofar" w:hAnsi="Shofar" w:cs="Shofar"/>
        </w:rPr>
      </w:pPr>
      <w:r w:rsidRPr="00901643">
        <w:rPr>
          <w:rFonts w:ascii="Shofar" w:hAnsi="Shofar" w:cs="Shofar"/>
          <w:rtl/>
        </w:rPr>
        <w:t xml:space="preserve">הראשון הוא שלכאו', תוס' לא מכוון להקשות למה לא פי' רש"י את הגמ' ככה, שאי אפשר לפרש את הגמ' ככה, כיון שגמ' אומר שהוא למטה </w:t>
      </w:r>
      <w:r w:rsidRPr="00901643">
        <w:rPr>
          <w:rFonts w:ascii="Shofar" w:hAnsi="Shofar" w:cs="Shofar"/>
          <w:rtl/>
        </w:rPr>
        <w:lastRenderedPageBreak/>
        <w:t>משלש טפחים.( ויש לדון, שיש לומר שפחות משלש טפחים רצה לומר פחות משלש טפחים מרשות היחיד. אם זה נכון, נמצא שיש פי' אחר בגמ' לפי גירסא זו. אבל, אם כן, צריך ביאור למה תוס' לא מפרש כן, אלא נוקט גירסא אחרת.) כיון שכן, קשה למה מזכיר מה היה מאמר של רבא ראיה לו, שלא מוכרח להיות ראיה לכלום. ותחשב. אולי בלי זה, היה אפשר לתרץ שרצה לתרץ על פי מה שאמר רבא. דחוק. גם אפשר לומר שתוס' רק מבאר מה יעשה גמ'. אין צורך למצוא פשט לרב אשי שיביא מרבא, אבל תוס' מבאר, אגב, שיביא מרבא להוכיח את הדין.</w:t>
      </w:r>
    </w:p>
    <w:p w14:paraId="53931242" w14:textId="77777777" w:rsidR="00467802" w:rsidRPr="00901643" w:rsidRDefault="00E06679">
      <w:pPr>
        <w:rPr>
          <w:rFonts w:ascii="Shofar" w:hAnsi="Shofar" w:cs="Shofar"/>
        </w:rPr>
      </w:pPr>
      <w:r w:rsidRPr="00901643">
        <w:rPr>
          <w:rFonts w:ascii="Shofar" w:hAnsi="Shofar" w:cs="Shofar"/>
          <w:rtl/>
        </w:rPr>
        <w:t>השני הוא שתוס' אומר שצריך מש"א רבא לקנין ולשבת. מובן למה צריך אותו לשבת, שהרי צריך הנחה על מקום ארבע על ארבע. אילו היה בתוך שלש טפחים, לא היה צריך חידוש של רבא, כיון שלבוד עושה שנח על הקרקע, אבל למעלה משלש טפחים צריכים חידוש של רבא. אבל, קשה למה צריך דין זה לקנין. לכאו', יקנה כיון שנמצא שמגביה אותו יותר משלש טפחים. אפשר לדחוק ש"לקנין ושבת" רק רצה לומר "כדי שיהיה קנין עם חיוב שבת," והוא שבלי זה, רק יהיה קנין כאן. גם אפשר שסובר תוס' שאפשר לומר (חוץ מקושיה ראשונה שהק' תוס') שאם לא מגביה אותו, אלא הוא גבוה בידו, לא קונה אלא מפני שידו מקום חשוב של ארבע על ארבע. ותחשב.</w:t>
      </w:r>
    </w:p>
    <w:p w14:paraId="4C3047D1" w14:textId="77777777" w:rsidR="00467802" w:rsidRPr="00901643" w:rsidRDefault="00E06679">
      <w:pPr>
        <w:rPr>
          <w:rFonts w:ascii="Shofar" w:hAnsi="Shofar" w:cs="Shofar"/>
        </w:rPr>
      </w:pPr>
      <w:r w:rsidRPr="00901643">
        <w:rPr>
          <w:rFonts w:ascii="Shofar" w:hAnsi="Shofar" w:cs="Shofar"/>
          <w:rtl/>
        </w:rPr>
        <w:t>קצת קשה למה תוס' סובר שציור זה או פשט זה יותר טוב מפשט של רש"י. נכון הוא שעכשיו לא צריך להיות פחות משלש טפחים, אבל צריך להיות שרשות היחיד הוא יותר משלש טפחים גבוה מרשות הרבים.</w:t>
      </w:r>
    </w:p>
    <w:p w14:paraId="733FEE98" w14:textId="77777777" w:rsidR="00467802" w:rsidRPr="00901643" w:rsidRDefault="00E06679">
      <w:pPr>
        <w:ind w:firstLine="720"/>
        <w:rPr>
          <w:rFonts w:ascii="Shofar" w:hAnsi="Shofar" w:cs="Shofar"/>
        </w:rPr>
      </w:pPr>
      <w:r w:rsidRPr="00901643">
        <w:rPr>
          <w:rFonts w:ascii="Shofar" w:hAnsi="Shofar" w:cs="Shofar"/>
          <w:rtl/>
        </w:rPr>
        <w:t>גירסה שנית:</w:t>
      </w:r>
    </w:p>
    <w:p w14:paraId="76B13CF8" w14:textId="77777777" w:rsidR="00467802" w:rsidRPr="00901643" w:rsidRDefault="00E06679">
      <w:pPr>
        <w:rPr>
          <w:rFonts w:ascii="Shofar" w:hAnsi="Shofar" w:cs="Shofar"/>
        </w:rPr>
      </w:pPr>
      <w:r w:rsidRPr="00901643">
        <w:rPr>
          <w:rFonts w:ascii="Shofar" w:hAnsi="Shofar" w:cs="Shofar"/>
          <w:rtl/>
        </w:rPr>
        <w:t xml:space="preserve">ר"י בן רבינו מאיר מצא בספרי אשכנז גירסא זו: "כגטו שצרך ידו למטה משלש טפחים אי נמי כדרבא...." </w:t>
      </w:r>
    </w:p>
    <w:p w14:paraId="087CEAC3" w14:textId="77777777" w:rsidR="00467802" w:rsidRPr="00901643" w:rsidRDefault="00E06679">
      <w:pPr>
        <w:rPr>
          <w:rFonts w:ascii="Shofar" w:hAnsi="Shofar" w:cs="Shofar"/>
        </w:rPr>
      </w:pPr>
      <w:r w:rsidRPr="00901643">
        <w:rPr>
          <w:rFonts w:ascii="Shofar" w:hAnsi="Shofar" w:cs="Shofar"/>
          <w:rtl/>
        </w:rPr>
        <w:t xml:space="preserve">הפירוש הוא שגמ' אומר שני תירוצים. בשניהם, כיון שהחפץ הוא בתוך ידו, קונה. אבל, צריכים למצוא איך חייב חיוב שבת, ואיך נח. לזה, גמ' נותן שני ביאורים. הראשון הוא שנח בתוך שלש טפחים. כיון שידו בתוך </w:t>
      </w:r>
      <w:r w:rsidRPr="00901643">
        <w:rPr>
          <w:rFonts w:ascii="Shofar" w:hAnsi="Shofar" w:cs="Shofar"/>
          <w:rtl/>
        </w:rPr>
        <w:lastRenderedPageBreak/>
        <w:t>שלש טפחים, אומרים לבוד, ונחשב כנח על מקום ארבע על ארבע</w:t>
      </w:r>
      <w:r w:rsidRPr="00901643">
        <w:rPr>
          <w:rStyle w:val="FootnoteReference"/>
          <w:rFonts w:ascii="Shofar" w:hAnsi="Shofar" w:cs="Shofar"/>
          <w:rtl/>
        </w:rPr>
        <w:footnoteReference w:id="20"/>
      </w:r>
      <w:r w:rsidRPr="00901643">
        <w:rPr>
          <w:rFonts w:ascii="Shofar" w:hAnsi="Shofar" w:cs="Shofar"/>
          <w:rtl/>
        </w:rPr>
        <w:t>. השני הוא שאף למעלה משלש טפחים ידו נחשב כמקום ארבע על ארבע, כשיטת רבא.</w:t>
      </w:r>
    </w:p>
    <w:p w14:paraId="3B46E746" w14:textId="77777777" w:rsidR="00467802" w:rsidRPr="00901643" w:rsidRDefault="00E06679">
      <w:pPr>
        <w:ind w:firstLine="720"/>
        <w:rPr>
          <w:rFonts w:ascii="Shofar" w:hAnsi="Shofar" w:cs="Shofar"/>
        </w:rPr>
      </w:pPr>
      <w:r w:rsidRPr="00901643">
        <w:rPr>
          <w:rFonts w:ascii="Shofar" w:hAnsi="Shofar" w:cs="Shofar"/>
          <w:rtl/>
        </w:rPr>
        <w:t>קושית תוס':</w:t>
      </w:r>
    </w:p>
    <w:p w14:paraId="2A233742" w14:textId="77777777" w:rsidR="00467802" w:rsidRPr="00901643" w:rsidRDefault="00E06679">
      <w:pPr>
        <w:rPr>
          <w:rFonts w:ascii="Shofar" w:hAnsi="Shofar" w:cs="Shofar"/>
        </w:rPr>
      </w:pPr>
      <w:r w:rsidRPr="00901643">
        <w:rPr>
          <w:rFonts w:ascii="Shofar" w:hAnsi="Shofar" w:cs="Shofar"/>
          <w:rtl/>
        </w:rPr>
        <w:t>תוס' מקשה שנמצא שמצדד גמ' נגד חידוש רבא, וחושב שאולי ידו של אדם אינו כמקום ארבע על ארבע. מקשה שמצאנו הרבה אמוראים שסוברים כרבא. איני יודע למה זה כל כך פשוט לתוס'. הרי, מצאנו תירוצים אחרים לבאר המשנה בתחי' שבת, וצריך לומר שהם חלקו על חי' של רבא. אולי סובר תוס' שמסתבר שכולם חזרו, או שלא יצדד גמ' כמותם נגד רבא והאמוראים הסוברים כמותו.</w:t>
      </w:r>
    </w:p>
    <w:p w14:paraId="240B95C0" w14:textId="77777777" w:rsidR="00467802" w:rsidRPr="00901643" w:rsidRDefault="00E06679">
      <w:pPr>
        <w:rPr>
          <w:rFonts w:ascii="Shofar" w:hAnsi="Shofar" w:cs="Shofar"/>
        </w:rPr>
      </w:pPr>
      <w:r w:rsidRPr="00901643">
        <w:rPr>
          <w:rFonts w:ascii="Shofar" w:hAnsi="Shofar" w:cs="Shofar"/>
          <w:rtl/>
        </w:rPr>
        <w:tab/>
        <w:t>גירסא השלישי:</w:t>
      </w:r>
    </w:p>
    <w:p w14:paraId="6B7CB81F" w14:textId="77777777" w:rsidR="00467802" w:rsidRPr="00901643" w:rsidRDefault="00E06679">
      <w:pPr>
        <w:rPr>
          <w:rFonts w:ascii="Shofar" w:hAnsi="Shofar" w:cs="Shofar"/>
        </w:rPr>
      </w:pPr>
      <w:r w:rsidRPr="00901643">
        <w:rPr>
          <w:rFonts w:ascii="Shofar" w:hAnsi="Shofar" w:cs="Shofar"/>
          <w:rtl/>
        </w:rPr>
        <w:t>רבינו תם גרס: "כגון שצירף ידו למטה משלש וכדרבא." לא מבאר גמ' איזה דין של רבא הוא, אבל רבינו תם מפרש. כדי שאנו נפרש, נקדים בדין אגד יד, וכדי לעשות כן, נסכם גמ' בשבת למטה.</w:t>
      </w:r>
      <w:r w:rsidRPr="00901643">
        <w:rPr>
          <w:rStyle w:val="FootnoteReference"/>
          <w:rFonts w:ascii="Shofar" w:hAnsi="Shofar" w:cs="Shofar"/>
          <w:rtl/>
        </w:rPr>
        <w:footnoteReference w:id="21"/>
      </w:r>
      <w:r w:rsidRPr="00901643">
        <w:rPr>
          <w:rFonts w:ascii="Shofar" w:hAnsi="Shofar" w:cs="Shofar"/>
          <w:rtl/>
        </w:rPr>
        <w:t xml:space="preserve"> ר"ת מניח שרבא אומר שאגד יד לא שמיה אגד.</w:t>
      </w:r>
    </w:p>
    <w:p w14:paraId="2AB06125" w14:textId="77777777" w:rsidR="00467802" w:rsidRPr="00901643" w:rsidRDefault="00E06679">
      <w:pPr>
        <w:rPr>
          <w:rFonts w:ascii="Shofar" w:hAnsi="Shofar" w:cs="Shofar"/>
        </w:rPr>
      </w:pPr>
      <w:r w:rsidRPr="00901643">
        <w:rPr>
          <w:rFonts w:ascii="Shofar" w:hAnsi="Shofar" w:cs="Shofar"/>
          <w:rtl/>
        </w:rPr>
        <w:lastRenderedPageBreak/>
        <w:t>הציור הוא שהוציא חפץ וגרר בידו, והוא נשאר בתוך רשות היחיד. כיון שידו פחות משלש טפחים, לפי רבא ידו לא גרר בתר גופו, וחייב.</w:t>
      </w:r>
    </w:p>
    <w:p w14:paraId="4B8B80DD" w14:textId="77777777" w:rsidR="00467802" w:rsidRPr="00901643" w:rsidRDefault="00E06679">
      <w:pPr>
        <w:rPr>
          <w:rFonts w:ascii="Shofar" w:hAnsi="Shofar" w:cs="Shofar"/>
        </w:rPr>
      </w:pPr>
      <w:r w:rsidRPr="00901643">
        <w:rPr>
          <w:rFonts w:ascii="Shofar" w:hAnsi="Shofar" w:cs="Shofar"/>
          <w:rtl/>
        </w:rPr>
        <w:t>לגי' זו, קשה למה אומר שהוא בפחות משלש טפחים, ולא בציור שלא היה המוציא נשאר ברשות היחיד, אלא היה ברשות הרבים. ויש לדון איזה יותר טוב, שבכל אחד יש אוקימתא.</w:t>
      </w:r>
    </w:p>
    <w:p w14:paraId="41DB6F82" w14:textId="77777777" w:rsidR="00467802" w:rsidRPr="00901643" w:rsidRDefault="00E06679">
      <w:pPr>
        <w:rPr>
          <w:rFonts w:ascii="Shofar" w:hAnsi="Shofar" w:cs="Shofar"/>
        </w:rPr>
      </w:pPr>
      <w:r w:rsidRPr="00901643">
        <w:rPr>
          <w:rFonts w:ascii="Shofar" w:hAnsi="Shofar" w:cs="Shofar"/>
          <w:rtl/>
        </w:rPr>
        <w:t>אבל, בין הכל, עיקר תי' של רב אשי הוא שלא קשה איך יכול לקנות כיון שלא קונה במשיכה ברשות הרבים, שלא קונה כאן במשיכה, אלא בקנין אחר של יד. אז, יכול להתחייב חיוב שבת, שמביא אותו לרשות הרבים, ויכול לקנות אותו.</w:t>
      </w:r>
    </w:p>
    <w:p w14:paraId="1A51A42C" w14:textId="77777777" w:rsidR="00467802" w:rsidRPr="00901643" w:rsidRDefault="00E06679">
      <w:pPr>
        <w:pStyle w:val="Heading5"/>
        <w:rPr>
          <w:rFonts w:ascii="Shofar" w:hAnsi="Shofar" w:cs="Shofar"/>
        </w:rPr>
      </w:pPr>
      <w:r w:rsidRPr="00901643">
        <w:rPr>
          <w:rFonts w:ascii="Shofar" w:hAnsi="Shofar" w:cs="Shofar"/>
          <w:rtl/>
        </w:rPr>
        <w:lastRenderedPageBreak/>
        <w:t>תי' שלישי של הגמ' (תי' של רבינא)</w:t>
      </w:r>
      <w:r w:rsidRPr="00901643">
        <w:rPr>
          <w:rStyle w:val="FootnoteReference"/>
          <w:rFonts w:ascii="Shofar" w:hAnsi="Shofar" w:cs="Shofar"/>
          <w:rtl/>
        </w:rPr>
        <w:footnoteReference w:id="22"/>
      </w:r>
      <w:r w:rsidRPr="00901643">
        <w:rPr>
          <w:rFonts w:ascii="Shofar" w:hAnsi="Shofar" w:cs="Shofar"/>
          <w:rtl/>
        </w:rPr>
        <w:t>:</w:t>
      </w:r>
    </w:p>
    <w:p w14:paraId="4913EC93" w14:textId="77777777" w:rsidR="00467802" w:rsidRPr="00901643" w:rsidRDefault="00E06679">
      <w:pPr>
        <w:rPr>
          <w:rFonts w:ascii="Shofar" w:hAnsi="Shofar" w:cs="Shofar"/>
        </w:rPr>
      </w:pPr>
      <w:r w:rsidRPr="00901643">
        <w:rPr>
          <w:rFonts w:ascii="Shofar" w:hAnsi="Shofar" w:cs="Shofar"/>
          <w:rtl/>
        </w:rPr>
        <w:t>גמ' דוחה הנחה עיקרית של הקושיה. המקשה מניח שאין משיכה קונה ברשות הרבים; רבינא אומר שמשיכה קונה ברשות הרבים. אז, יש ציור קל שבו חייב מיתה וממון בזמן אחד, והוא כשמוציא אותו לרשות הרבים. עיין לעיל (למטה) שבארנו צדדים למה לא יקנה ולמה יקנה. (בזה, צריך לע' בתוד"ה וברשות הרבים נמי קנה, ובמה שנבאר בו בס"ד.)</w:t>
      </w:r>
    </w:p>
    <w:p w14:paraId="1C678CE9" w14:textId="77777777" w:rsidR="00467802" w:rsidRPr="00901643" w:rsidRDefault="00E06679">
      <w:pPr>
        <w:bidi w:val="0"/>
        <w:spacing w:before="0" w:after="0" w:line="240" w:lineRule="auto"/>
        <w:rPr>
          <w:rFonts w:ascii="Shofar" w:eastAsia="SimSun" w:hAnsi="Shofar" w:cs="Shofar"/>
          <w:bCs/>
          <w:color w:val="000000"/>
          <w:sz w:val="32"/>
          <w:lang w:bidi="he-IL"/>
        </w:rPr>
      </w:pPr>
      <w:r w:rsidRPr="00901643">
        <w:rPr>
          <w:rFonts w:ascii="Shofar" w:hAnsi="Shofar" w:cs="Shofar"/>
        </w:rPr>
        <w:br w:type="page"/>
      </w:r>
    </w:p>
    <w:p w14:paraId="4B958163" w14:textId="77777777" w:rsidR="00467802" w:rsidRPr="00901643" w:rsidRDefault="00E06679">
      <w:pPr>
        <w:pStyle w:val="Heading1"/>
        <w:rPr>
          <w:rFonts w:ascii="Shofar" w:hAnsi="Shofar" w:cs="Shofar"/>
        </w:rPr>
      </w:pPr>
      <w:r w:rsidRPr="00901643">
        <w:rPr>
          <w:rFonts w:ascii="Shofar" w:hAnsi="Shofar" w:cs="Shofar"/>
          <w:rtl/>
        </w:rPr>
        <w:lastRenderedPageBreak/>
        <w:t>ביאור דיון גמ' איפה משיכה קונה:</w:t>
      </w:r>
    </w:p>
    <w:p w14:paraId="41919C64" w14:textId="77777777" w:rsidR="00467802" w:rsidRPr="00901643" w:rsidRDefault="00E06679">
      <w:pPr>
        <w:pStyle w:val="Heading2"/>
        <w:rPr>
          <w:rFonts w:ascii="Shofar" w:hAnsi="Shofar" w:cs="Shofar"/>
        </w:rPr>
      </w:pPr>
      <w:r w:rsidRPr="00901643">
        <w:rPr>
          <w:rFonts w:ascii="Shofar" w:hAnsi="Shofar" w:cs="Shofar"/>
          <w:rtl/>
        </w:rPr>
        <w:t>הקדמה:</w:t>
      </w:r>
    </w:p>
    <w:p w14:paraId="0A29719D" w14:textId="77777777" w:rsidR="00467802" w:rsidRPr="00901643" w:rsidRDefault="00E06679">
      <w:pPr>
        <w:rPr>
          <w:rFonts w:ascii="Shofar" w:hAnsi="Shofar" w:cs="Shofar"/>
        </w:rPr>
      </w:pPr>
      <w:r w:rsidRPr="00901643">
        <w:rPr>
          <w:rFonts w:ascii="Shofar" w:hAnsi="Shofar" w:cs="Shofar"/>
          <w:rtl/>
        </w:rPr>
        <w:t>אם אדם מושך חפץ. של חברו, קנה אותו. אבל, לא בכל מקום משיכה קונה. יש חמש מקומות:</w:t>
      </w:r>
    </w:p>
    <w:p w14:paraId="72F839DF" w14:textId="77777777" w:rsidR="00467802" w:rsidRPr="00901643" w:rsidRDefault="00E06679">
      <w:pPr>
        <w:pStyle w:val="ListParagraph"/>
        <w:numPr>
          <w:ilvl w:val="0"/>
          <w:numId w:val="8"/>
        </w:numPr>
        <w:bidi/>
        <w:rPr>
          <w:rFonts w:ascii="Shofar" w:hAnsi="Shofar" w:cs="Shofar"/>
        </w:rPr>
      </w:pPr>
      <w:r w:rsidRPr="00901643">
        <w:rPr>
          <w:rFonts w:ascii="Shofar" w:hAnsi="Shofar" w:cs="Shofar"/>
          <w:rtl/>
          <w:lang w:bidi="he-IL"/>
        </w:rPr>
        <w:t>ברשות הבעל הראשון. שם, משיכה לא מהני.</w:t>
      </w:r>
    </w:p>
    <w:p w14:paraId="37D115CD" w14:textId="77777777" w:rsidR="00467802" w:rsidRPr="00901643" w:rsidRDefault="00E06679">
      <w:pPr>
        <w:pStyle w:val="ListParagraph"/>
        <w:numPr>
          <w:ilvl w:val="0"/>
          <w:numId w:val="8"/>
        </w:numPr>
        <w:bidi/>
        <w:rPr>
          <w:rFonts w:ascii="Shofar" w:hAnsi="Shofar" w:cs="Shofar"/>
        </w:rPr>
      </w:pPr>
      <w:r w:rsidRPr="00901643">
        <w:rPr>
          <w:rFonts w:ascii="Shofar" w:hAnsi="Shofar" w:cs="Shofar"/>
          <w:rtl/>
          <w:lang w:bidi="he-IL"/>
        </w:rPr>
        <w:t>ברשות אחר. שם, משיכה לא מהני.</w:t>
      </w:r>
    </w:p>
    <w:p w14:paraId="6B3E21A0" w14:textId="77777777" w:rsidR="00467802" w:rsidRPr="00901643" w:rsidRDefault="00E06679">
      <w:pPr>
        <w:pStyle w:val="ListParagraph"/>
        <w:numPr>
          <w:ilvl w:val="0"/>
          <w:numId w:val="8"/>
        </w:numPr>
        <w:bidi/>
        <w:rPr>
          <w:rFonts w:ascii="Shofar" w:hAnsi="Shofar" w:cs="Shofar"/>
        </w:rPr>
      </w:pPr>
      <w:r w:rsidRPr="00901643">
        <w:rPr>
          <w:rFonts w:ascii="Shofar" w:hAnsi="Shofar" w:cs="Shofar"/>
          <w:rtl/>
          <w:lang w:bidi="he-IL"/>
        </w:rPr>
        <w:t>ברשות עצמו. שם, לכאו' משיכה מהני, אבל אין צורך, שכבר יש קנין חצר. (אולי נמצא אם אינו שמור, והוא לא קרוב לו, אלא מושך אותו מרחוק.)</w:t>
      </w:r>
    </w:p>
    <w:p w14:paraId="499CF441" w14:textId="77777777" w:rsidR="00467802" w:rsidRPr="00901643" w:rsidRDefault="00E06679">
      <w:pPr>
        <w:pStyle w:val="ListParagraph"/>
        <w:numPr>
          <w:ilvl w:val="0"/>
          <w:numId w:val="8"/>
        </w:numPr>
        <w:bidi/>
        <w:rPr>
          <w:rFonts w:ascii="Shofar" w:hAnsi="Shofar" w:cs="Shofar"/>
        </w:rPr>
      </w:pPr>
      <w:r w:rsidRPr="00901643">
        <w:rPr>
          <w:rFonts w:ascii="Shofar" w:hAnsi="Shofar" w:cs="Shofar"/>
          <w:rtl/>
          <w:lang w:bidi="he-IL"/>
        </w:rPr>
        <w:t>ברשות הרבים. חולקים רב אחא ורבינא בזה. רב אחא אומר שמשיכה לא קונה, ורבינא אומר שמשיכה קונה. בזה ידון גמ' שלנו.</w:t>
      </w:r>
    </w:p>
    <w:p w14:paraId="255348A4" w14:textId="77777777" w:rsidR="00467802" w:rsidRPr="00901643" w:rsidRDefault="00E06679">
      <w:pPr>
        <w:pStyle w:val="ListParagraph"/>
        <w:numPr>
          <w:ilvl w:val="0"/>
          <w:numId w:val="8"/>
        </w:numPr>
        <w:bidi/>
        <w:rPr>
          <w:rFonts w:ascii="Shofar" w:hAnsi="Shofar" w:cs="Shofar"/>
        </w:rPr>
      </w:pPr>
      <w:r w:rsidRPr="00901643">
        <w:rPr>
          <w:rFonts w:ascii="Shofar" w:hAnsi="Shofar" w:cs="Shofar"/>
          <w:rtl/>
          <w:lang w:bidi="he-IL"/>
        </w:rPr>
        <w:t>בסימטא. סימטא הוא מקום כעין רשות הרבים, במה שאינו של איזה יחיד, אלא שלא מצוי בו רבים. שם, משיכה קונה.</w:t>
      </w:r>
    </w:p>
    <w:p w14:paraId="07168C0E" w14:textId="77777777" w:rsidR="00467802" w:rsidRPr="00901643" w:rsidRDefault="00E06679">
      <w:pPr>
        <w:pStyle w:val="Heading2"/>
        <w:rPr>
          <w:rFonts w:ascii="Shofar" w:hAnsi="Shofar" w:cs="Shofar"/>
        </w:rPr>
      </w:pPr>
      <w:r w:rsidRPr="00901643">
        <w:rPr>
          <w:rFonts w:ascii="Shofar" w:hAnsi="Shofar" w:cs="Shofar"/>
          <w:rtl/>
        </w:rPr>
        <w:t>ביאור המחלקת:</w:t>
      </w:r>
    </w:p>
    <w:p w14:paraId="0707ABB6" w14:textId="77777777" w:rsidR="00467802" w:rsidRPr="00901643" w:rsidRDefault="00E06679">
      <w:pPr>
        <w:rPr>
          <w:rFonts w:ascii="Shofar" w:hAnsi="Shofar" w:cs="Shofar"/>
        </w:rPr>
      </w:pPr>
      <w:r w:rsidRPr="00901643">
        <w:rPr>
          <w:rFonts w:ascii="Shofar" w:hAnsi="Shofar" w:cs="Shofar"/>
          <w:rtl/>
        </w:rPr>
        <w:t>גמ' מבאר שמחלקת רב אחא ורבינא בקנין משיכה ברשות הרבים תלוי בדיוקים ממשנה. יש משנה אחד- שנביא בס"ד- וכל אחד מהם מדייק את שיטתו מן המשנה.</w:t>
      </w:r>
    </w:p>
    <w:p w14:paraId="4C53288D" w14:textId="77777777" w:rsidR="00467802" w:rsidRPr="00901643" w:rsidRDefault="00E06679">
      <w:pPr>
        <w:pStyle w:val="Heading3"/>
        <w:rPr>
          <w:rFonts w:ascii="Shofar" w:hAnsi="Shofar" w:cs="Shofar"/>
        </w:rPr>
      </w:pPr>
      <w:r w:rsidRPr="00901643">
        <w:rPr>
          <w:rFonts w:ascii="Shofar" w:hAnsi="Shofar" w:cs="Shofar"/>
          <w:rtl/>
        </w:rPr>
        <w:t>המשנה:</w:t>
      </w:r>
    </w:p>
    <w:p w14:paraId="2D479558" w14:textId="77777777" w:rsidR="00467802" w:rsidRPr="00901643" w:rsidRDefault="00E06679">
      <w:pPr>
        <w:rPr>
          <w:rFonts w:ascii="Shofar" w:hAnsi="Shofar" w:cs="Shofar"/>
        </w:rPr>
      </w:pPr>
      <w:r w:rsidRPr="00901643">
        <w:rPr>
          <w:rFonts w:ascii="Shofar" w:hAnsi="Shofar" w:cs="Shofar"/>
          <w:rtl/>
        </w:rPr>
        <w:t>משנה מדבר בגנב, ומבאר מתי גונב חפץ (והנפקא מינא הוא שאחרי שגנב אותו, חייב בכל אונס שקורה לו). כדי שייחשב גנב, צריך לעשות מעשה קנין עליו. יש שני בבות למשנה:</w:t>
      </w:r>
    </w:p>
    <w:p w14:paraId="2E392EEE" w14:textId="77777777" w:rsidR="00467802" w:rsidRPr="00901643" w:rsidRDefault="00E06679">
      <w:pPr>
        <w:rPr>
          <w:rFonts w:ascii="Shofar" w:hAnsi="Shofar" w:cs="Shofar"/>
        </w:rPr>
      </w:pPr>
      <w:r w:rsidRPr="00901643">
        <w:rPr>
          <w:rFonts w:ascii="Shofar" w:hAnsi="Shofar" w:cs="Shofar"/>
          <w:rtl/>
        </w:rPr>
        <w:t>בבא ראשונה אומר שאם משך אדם את חפץ של בעל הבית והוא עדיין בחצר בעל הבית, לא חייב על אונס. במילים אחרים, אין משיכה קונה ברשות הבעל הראשון (</w:t>
      </w:r>
      <w:r w:rsidRPr="00901643">
        <w:rPr>
          <w:rFonts w:ascii="Shofar" w:hAnsi="Shofar" w:cs="Shofar"/>
        </w:rPr>
        <w:t>1</w:t>
      </w:r>
      <w:r w:rsidRPr="00901643">
        <w:rPr>
          <w:rFonts w:ascii="Shofar" w:hAnsi="Shofar" w:cs="Shofar"/>
          <w:rtl/>
        </w:rPr>
        <w:t xml:space="preserve"> שלעיל).</w:t>
      </w:r>
    </w:p>
    <w:p w14:paraId="62CA31C2" w14:textId="77777777" w:rsidR="00467802" w:rsidRPr="00901643" w:rsidRDefault="00E06679">
      <w:pPr>
        <w:rPr>
          <w:rFonts w:ascii="Shofar" w:hAnsi="Shofar" w:cs="Shofar"/>
        </w:rPr>
      </w:pPr>
      <w:r w:rsidRPr="00901643">
        <w:rPr>
          <w:rFonts w:ascii="Shofar" w:hAnsi="Shofar" w:cs="Shofar"/>
          <w:rtl/>
        </w:rPr>
        <w:lastRenderedPageBreak/>
        <w:t>בבא שנית אומר שאם הגביה אותו, אף אם נשאר בתוך רשות של בעל הבית, או שהוציא אותו מרשות של בעל הבית</w:t>
      </w:r>
      <w:r w:rsidRPr="00901643">
        <w:rPr>
          <w:rStyle w:val="FootnoteReference"/>
          <w:rFonts w:ascii="Shofar" w:hAnsi="Shofar" w:cs="Shofar"/>
          <w:rtl/>
        </w:rPr>
        <w:footnoteReference w:id="23"/>
      </w:r>
      <w:r w:rsidRPr="00901643">
        <w:rPr>
          <w:rFonts w:ascii="Shofar" w:hAnsi="Shofar" w:cs="Shofar"/>
          <w:rtl/>
        </w:rPr>
        <w:t>, חייב על אונס.</w:t>
      </w:r>
    </w:p>
    <w:p w14:paraId="01E3BC64" w14:textId="77777777" w:rsidR="00467802" w:rsidRPr="00901643" w:rsidRDefault="00E06679">
      <w:pPr>
        <w:pStyle w:val="Heading4"/>
        <w:numPr>
          <w:ilvl w:val="3"/>
          <w:numId w:val="1"/>
        </w:numPr>
        <w:ind w:left="864"/>
        <w:rPr>
          <w:rFonts w:ascii="Shofar" w:hAnsi="Shofar" w:cs="Shofar"/>
        </w:rPr>
      </w:pPr>
      <w:r w:rsidRPr="00901643">
        <w:rPr>
          <w:rFonts w:ascii="Shofar" w:hAnsi="Shofar" w:cs="Shofar"/>
          <w:rtl/>
        </w:rPr>
        <w:t>דיוק של רבינא:</w:t>
      </w:r>
    </w:p>
    <w:p w14:paraId="18BF04CC" w14:textId="77777777" w:rsidR="00467802" w:rsidRPr="00901643" w:rsidRDefault="00E06679">
      <w:pPr>
        <w:pStyle w:val="BodyText"/>
        <w:rPr>
          <w:rFonts w:ascii="Shofar" w:hAnsi="Shofar" w:cs="Shofar"/>
        </w:rPr>
      </w:pPr>
      <w:r w:rsidRPr="00901643">
        <w:rPr>
          <w:rFonts w:ascii="Shofar" w:hAnsi="Shofar" w:cs="Shofar"/>
          <w:rtl/>
        </w:rPr>
        <w:t>רבינא דייק מבבא ראשונה. שם אומר שאם נשאר ברשות של בעל הבית, לא קנה. משמע שאם לא נשאר שם, אלא הוציא אותו לשום מקום אחר, קנה אותו. זה כולל הוצאתו לרשות הרבים, ונמצא שמשיכה קונה ברשות הרבים.</w:t>
      </w:r>
    </w:p>
    <w:p w14:paraId="7327CFFD" w14:textId="77777777" w:rsidR="00467802" w:rsidRPr="00901643" w:rsidRDefault="00E06679">
      <w:pPr>
        <w:pStyle w:val="BodyText"/>
        <w:rPr>
          <w:rFonts w:ascii="Shofar" w:hAnsi="Shofar" w:cs="Shofar"/>
        </w:rPr>
      </w:pPr>
      <w:r w:rsidRPr="00901643">
        <w:rPr>
          <w:rFonts w:ascii="Shofar" w:hAnsi="Shofar" w:cs="Shofar"/>
          <w:rtl/>
        </w:rPr>
        <w:t xml:space="preserve">יש להעיר שלכאו' זה יוכיח שגם קונה אם הוציא אותו לרשות אחר (ציור </w:t>
      </w:r>
      <w:r w:rsidRPr="00901643">
        <w:rPr>
          <w:rFonts w:ascii="Shofar" w:hAnsi="Shofar" w:cs="Shofar"/>
        </w:rPr>
        <w:t>2</w:t>
      </w:r>
      <w:r w:rsidRPr="00901643">
        <w:rPr>
          <w:rFonts w:ascii="Shofar" w:hAnsi="Shofar" w:cs="Shofar"/>
          <w:rtl/>
        </w:rPr>
        <w:t xml:space="preserve"> שלעיל), ולא נראה לי שזה הדין. נראה שיש לדחות בשני אופנים:</w:t>
      </w:r>
    </w:p>
    <w:p w14:paraId="5963117F" w14:textId="77777777" w:rsidR="00467802" w:rsidRPr="00901643" w:rsidRDefault="00E06679">
      <w:pPr>
        <w:pStyle w:val="BodyText"/>
        <w:numPr>
          <w:ilvl w:val="0"/>
          <w:numId w:val="9"/>
        </w:numPr>
        <w:rPr>
          <w:rFonts w:ascii="Shofar" w:hAnsi="Shofar" w:cs="Shofar"/>
        </w:rPr>
      </w:pPr>
      <w:r w:rsidRPr="00901643">
        <w:rPr>
          <w:rFonts w:ascii="Shofar" w:hAnsi="Shofar" w:cs="Shofar"/>
          <w:rtl/>
        </w:rPr>
        <w:t xml:space="preserve">אולי לא צריך להזכיר את זה כיון שהוא ממש אותו דבר. </w:t>
      </w:r>
      <w:r w:rsidRPr="00901643">
        <w:rPr>
          <w:rFonts w:ascii="Shofar" w:hAnsi="Shofar" w:cs="Shofar"/>
        </w:rPr>
        <w:t>1</w:t>
      </w:r>
      <w:r w:rsidRPr="00901643">
        <w:rPr>
          <w:rFonts w:ascii="Shofar" w:hAnsi="Shofar" w:cs="Shofar"/>
          <w:rtl/>
        </w:rPr>
        <w:t xml:space="preserve"> ו</w:t>
      </w:r>
      <w:r w:rsidRPr="00901643">
        <w:rPr>
          <w:rFonts w:ascii="Shofar" w:hAnsi="Shofar" w:cs="Shofar"/>
        </w:rPr>
        <w:t>2</w:t>
      </w:r>
      <w:r w:rsidRPr="00901643">
        <w:rPr>
          <w:rFonts w:ascii="Shofar" w:hAnsi="Shofar" w:cs="Shofar"/>
          <w:rtl/>
        </w:rPr>
        <w:t xml:space="preserve"> הם שניהם קנין ברשות היחיד שאינו שלו. אז, כאילו הזכיר אותו. ויש לדון, שהיה אפשר לחלק בין רשות של הבעל ורשות של אחר (בפרט אם עיקר הקנין הוא הוצאה מרשות הבעל, ולא הכנסה לרשות הקונה, כמו שהערנו למטה).</w:t>
      </w:r>
    </w:p>
    <w:p w14:paraId="48A32741" w14:textId="77777777" w:rsidR="00467802" w:rsidRPr="00901643" w:rsidRDefault="00E06679">
      <w:pPr>
        <w:pStyle w:val="BodyText"/>
        <w:numPr>
          <w:ilvl w:val="0"/>
          <w:numId w:val="9"/>
        </w:numPr>
        <w:rPr>
          <w:rFonts w:ascii="Shofar" w:hAnsi="Shofar" w:cs="Shofar"/>
        </w:rPr>
      </w:pPr>
      <w:r w:rsidRPr="00901643">
        <w:rPr>
          <w:rFonts w:ascii="Shofar" w:hAnsi="Shofar" w:cs="Shofar"/>
          <w:rtl/>
        </w:rPr>
        <w:t>אולי לא מצוי שאדם ימשך אותו מרשות חבעל הבית לרשות אחר, ואז אינו נתמעט. במשנה רק ממעט מקומות שמסתבר שימשך לשם ושאינם רשות הבעל. אבל, כיון שלא ימשך לרשות אחר, אינו נתמעט.</w:t>
      </w:r>
    </w:p>
    <w:p w14:paraId="3625B497" w14:textId="77777777" w:rsidR="00467802" w:rsidRPr="00901643" w:rsidRDefault="00E06679">
      <w:pPr>
        <w:pStyle w:val="Heading5"/>
        <w:rPr>
          <w:rFonts w:ascii="Shofar" w:hAnsi="Shofar" w:cs="Shofar"/>
        </w:rPr>
      </w:pPr>
      <w:r w:rsidRPr="00901643">
        <w:rPr>
          <w:rFonts w:ascii="Shofar" w:hAnsi="Shofar" w:cs="Shofar"/>
          <w:rtl/>
        </w:rPr>
        <w:lastRenderedPageBreak/>
        <w:t>דיחוי:</w:t>
      </w:r>
    </w:p>
    <w:p w14:paraId="5F8DE5BC" w14:textId="77777777" w:rsidR="00467802" w:rsidRPr="00901643" w:rsidRDefault="00E06679">
      <w:pPr>
        <w:rPr>
          <w:rFonts w:ascii="Shofar" w:hAnsi="Shofar" w:cs="Shofar"/>
        </w:rPr>
      </w:pPr>
      <w:r w:rsidRPr="00901643">
        <w:rPr>
          <w:rFonts w:ascii="Shofar" w:hAnsi="Shofar" w:cs="Shofar"/>
          <w:rtl/>
        </w:rPr>
        <w:t>גמ' מבאר שרב אחא דוחה דיוק של רבינא, ואומר שרשות הרבים נקרא רשות בעל הבית. נראה לי שיש שני דרכים לבאר תי' זה. אפשר לבאר שהוא תי' ראשון שכתבנו לעיל (בביאור למה לא ממעטים חצר של אחר), והוא שרשות בעל כולל דין של רשות הרבים, שהוא אותו דבר, שאינו רשות של הקונה. לשון הגמ' לא משמע כן כל כך. יותר משמע לומר שגמ' מתרץ שאף אם אינו יושב בתוך חצר של בעל הבית, הרי הוא ברשות בעל הבית אם רק הוציא אותו לרשות הרבים. יש לדון למה ייחשב כן. באמת, לא פשוט לבאר מהו הרשות. בהשקפה ראשונה, הייתי אומר שרשות רצה לומר שליטה. אם מביא אותו לרשות שלו או לסימטא, הוא ברשות של הקונה. אבל, אם רק מביא אותו לרשות הרבים, עדיין הוא בשליטת הבעל. זה יכול להיות מפני שלא הפסיד הבעל שליטה, שמסתבר שמישהו יראה אותו ויחזור אותו לו</w:t>
      </w:r>
      <w:r w:rsidRPr="00901643">
        <w:rPr>
          <w:rStyle w:val="FootnoteReference"/>
          <w:rFonts w:ascii="Shofar" w:hAnsi="Shofar" w:cs="Shofar"/>
          <w:rtl/>
        </w:rPr>
        <w:footnoteReference w:id="24"/>
      </w:r>
      <w:r w:rsidRPr="00901643">
        <w:rPr>
          <w:rFonts w:ascii="Shofar" w:hAnsi="Shofar" w:cs="Shofar"/>
          <w:rtl/>
        </w:rPr>
        <w:t xml:space="preserve">, או שתמיד יש לבעל שליטה כיון שהוא שלו, ורק שבדרך כלל, בא למי שהביא אותו לביתו שליטה. אבל, ברשות הרבים, לא בא לו שליטה, שיש הרבה בני אדם שם, ולא קל להשתמש בו. אבל, יש להעיר שאומרים לשון של רשות גם במקומות שלא מסתבר שרצה לומר שליטה, שגם תולים גניבה בו, אף שלכאו' אם השאיר אותו בביתו וחברו בא לביתו, אין לו שליטה. ויש לדון אם מילה זו של רשות אומר אותו דבר. אף אם אומר אותו דבר, יש לדחות שגם שם רצה לומר שליטה, והוא שאם לא לקח אותו, לא מניחים שבאמת יעשה בו דבר, ואז עדיין השליטה לבעל. גם אפשר שרשות הוא ש"מקומו" הוא בשליטת בעל הבית. אם אדם רואה דבר שלא יצא מרשות בעל הבית לרשות אחר, אלא רק יצא מרשות בעל הבית, יאמרו שמקום שראוי להיות הוא ברשות בעל הבית. אבל, אם הוא כבר בשליטת אחר- ולזה לפעמים צריך שיצא מרשות הבעל- יאמרו שמקומו הוא עכשיו בשליטת אחר. ותחשב. (כשאני אומר מקומו, איני אומר מקומו הראוי על פי הלכה, שזה ידוע. אולי הוא מקומו הראוי על פי שכל בני אדם, אבל נראה יותר מזה. נראה שבני אדם חושבים מי שולט </w:t>
      </w:r>
      <w:r w:rsidRPr="00901643">
        <w:rPr>
          <w:rFonts w:ascii="Shofar" w:hAnsi="Shofar" w:cs="Shofar"/>
          <w:rtl/>
        </w:rPr>
        <w:lastRenderedPageBreak/>
        <w:t>עליו בעיקר עכשיו. אף אם הרגע לא שולט עליו בעל, הוא בדעת בני אדם להיות השליט עליו. ותחשב.)</w:t>
      </w:r>
    </w:p>
    <w:p w14:paraId="61B3582D" w14:textId="77777777" w:rsidR="00467802" w:rsidRPr="00901643" w:rsidRDefault="00E06679">
      <w:pPr>
        <w:rPr>
          <w:rFonts w:ascii="Shofar" w:hAnsi="Shofar" w:cs="Shofar"/>
        </w:rPr>
      </w:pPr>
      <w:r w:rsidRPr="00901643">
        <w:rPr>
          <w:rFonts w:ascii="Shofar" w:hAnsi="Shofar" w:cs="Shofar"/>
          <w:rtl/>
        </w:rPr>
        <w:t>יש להעיר בדיחוי זה (וכן יש להעיר בדיחוי שיבוא לקמן, ולא תלויים זה בזה) שיש לדון אם זה דוחה את הדיחוי לגמרי או שמצרף עם הדיוק שלו. במילים אחרים, אם לא היה לו הדיוק שלו, יש לדון אם יסתפק או יחשוב כדיוק זה. אם נאמר יאמר כדיוק זה, עדיין יש לדון אם דיוק שלו דוחה דיוק זה או מתיר אותו. אין משנה צריך לדקדק בלשונו, לשמור שלא אומר מה שמשמע דבר שלא נכון, אם כבר גילה נגד אותו דבר שלא נכון. אז, אם כבר יש דיוק אחר, אפשר שלא חש כל כך בשאר חלקי המשנה, ואז אין לדייק מהם. ותחשב.</w:t>
      </w:r>
      <w:r w:rsidRPr="00901643">
        <w:rPr>
          <w:rStyle w:val="FootnoteReference"/>
          <w:rFonts w:ascii="Shofar" w:hAnsi="Shofar" w:cs="Shofar"/>
          <w:rtl/>
        </w:rPr>
        <w:footnoteReference w:id="25"/>
      </w:r>
    </w:p>
    <w:p w14:paraId="384AB25B" w14:textId="77777777" w:rsidR="00467802" w:rsidRPr="00901643" w:rsidRDefault="00E06679">
      <w:pPr>
        <w:pStyle w:val="Heading4"/>
        <w:numPr>
          <w:ilvl w:val="3"/>
          <w:numId w:val="1"/>
        </w:numPr>
        <w:ind w:left="864"/>
        <w:rPr>
          <w:rFonts w:ascii="Shofar" w:hAnsi="Shofar" w:cs="Shofar"/>
        </w:rPr>
      </w:pPr>
      <w:r w:rsidRPr="00901643">
        <w:rPr>
          <w:rFonts w:ascii="Shofar" w:hAnsi="Shofar" w:cs="Shofar"/>
          <w:szCs w:val="26"/>
          <w:rtl/>
        </w:rPr>
        <w:t>דיוק של רב אחא:</w:t>
      </w:r>
    </w:p>
    <w:p w14:paraId="24A91824" w14:textId="77777777" w:rsidR="00467802" w:rsidRPr="00901643" w:rsidRDefault="00E06679">
      <w:pPr>
        <w:pStyle w:val="BodyText"/>
        <w:rPr>
          <w:rFonts w:ascii="Shofar" w:hAnsi="Shofar" w:cs="Shofar"/>
        </w:rPr>
      </w:pPr>
      <w:r w:rsidRPr="00901643">
        <w:rPr>
          <w:rFonts w:ascii="Shofar" w:hAnsi="Shofar" w:cs="Shofar"/>
          <w:rtl/>
        </w:rPr>
        <w:t>רב אחא מדייק מבבא שנית של המשנה. שם, דן בשני ציורים- במגביה ובמשיכה. מניח ששניהם דומים (כיון שנתן ביחד באותו בבא). אז, כמו שהגבהה מביא אותו לרשות של הקונה, כך צריך שמשיכה מביא אותו לרשות של הקונה.</w:t>
      </w:r>
      <w:r w:rsidRPr="00901643">
        <w:rPr>
          <w:rStyle w:val="FootnoteReference"/>
          <w:rFonts w:ascii="Shofar" w:hAnsi="Shofar" w:cs="Shofar"/>
          <w:rtl/>
        </w:rPr>
        <w:footnoteReference w:id="26"/>
      </w:r>
    </w:p>
    <w:p w14:paraId="060FD0B5" w14:textId="77777777" w:rsidR="00467802" w:rsidRPr="00901643" w:rsidRDefault="00E06679">
      <w:pPr>
        <w:pStyle w:val="BodyText"/>
        <w:rPr>
          <w:rFonts w:ascii="Shofar" w:hAnsi="Shofar" w:cs="Shofar"/>
        </w:rPr>
      </w:pPr>
      <w:r w:rsidRPr="00901643">
        <w:rPr>
          <w:rFonts w:ascii="Shofar" w:hAnsi="Shofar" w:cs="Shofar"/>
          <w:rtl/>
        </w:rPr>
        <w:lastRenderedPageBreak/>
        <w:t>יש להעיר שהיה אפשר לדחות שרבינא לא סובר שמשיכה מהני אף שאינו מביא אותו לרשות הקונה, אלא סובר שכשמביא אותו לרשות הרבים, מביא אותו לרשות הקונה.</w:t>
      </w:r>
      <w:r w:rsidRPr="00901643">
        <w:rPr>
          <w:rStyle w:val="FootnoteReference"/>
          <w:rFonts w:ascii="Shofar" w:hAnsi="Shofar" w:cs="Shofar"/>
          <w:rtl/>
        </w:rPr>
        <w:footnoteReference w:id="27"/>
      </w:r>
    </w:p>
    <w:p w14:paraId="27C66900" w14:textId="77777777" w:rsidR="00467802" w:rsidRPr="00901643" w:rsidRDefault="00E06679">
      <w:pPr>
        <w:pStyle w:val="BodyText"/>
        <w:rPr>
          <w:rFonts w:ascii="Shofar" w:hAnsi="Shofar" w:cs="Shofar"/>
        </w:rPr>
      </w:pPr>
      <w:r w:rsidRPr="00901643">
        <w:rPr>
          <w:rFonts w:ascii="Shofar" w:hAnsi="Shofar" w:cs="Shofar"/>
          <w:rtl/>
        </w:rPr>
        <w:t>אבל, יש להעיר שלכאו' רק רואים שלא סובר שהוא מביא לרשות שלו כמו שמגביה מביא לרשות שלו. כיון שזה נכון, אף אם סובר שמביא לרשות שלו קצת, ולכן חולק, עדיין יש לומר שכוונת הגמ' הוא ללמוד שכמו שגבי מגביה מביא לרשות שהוא מאד שלו, כך גבי משיכה הוא. ותו"ת.</w:t>
      </w:r>
    </w:p>
    <w:p w14:paraId="01B6F627" w14:textId="77777777" w:rsidR="00467802" w:rsidRPr="00901643" w:rsidRDefault="00E06679">
      <w:pPr>
        <w:pStyle w:val="Heading5"/>
        <w:rPr>
          <w:rFonts w:ascii="Shofar" w:hAnsi="Shofar" w:cs="Shofar"/>
        </w:rPr>
      </w:pPr>
      <w:r w:rsidRPr="00901643">
        <w:rPr>
          <w:rFonts w:ascii="Shofar" w:hAnsi="Shofar" w:cs="Shofar"/>
          <w:rtl/>
        </w:rPr>
        <w:t>דיחוי:</w:t>
      </w:r>
    </w:p>
    <w:p w14:paraId="630DDEC7" w14:textId="77777777" w:rsidR="00467802" w:rsidRPr="00901643" w:rsidRDefault="00E06679">
      <w:pPr>
        <w:rPr>
          <w:rFonts w:ascii="Shofar" w:hAnsi="Shofar" w:cs="Shofar"/>
        </w:rPr>
      </w:pPr>
      <w:r w:rsidRPr="00901643">
        <w:rPr>
          <w:rFonts w:ascii="Shofar" w:hAnsi="Shofar" w:cs="Shofar"/>
          <w:rtl/>
        </w:rPr>
        <w:t>רבינא דוחה שלא אומרים שהגבהה ומשיכה צריכים להיות דומים, אף שנאמרו ביחד. אז, אין להוכיח שצריך למשוך אותו לרשות שלו.</w:t>
      </w:r>
    </w:p>
    <w:p w14:paraId="2628635F" w14:textId="77777777" w:rsidR="00467802" w:rsidRPr="00901643" w:rsidRDefault="00E06679">
      <w:pPr>
        <w:rPr>
          <w:rFonts w:ascii="Shofar" w:hAnsi="Shofar" w:cs="Shofar"/>
        </w:rPr>
      </w:pPr>
      <w:r w:rsidRPr="00901643">
        <w:rPr>
          <w:rFonts w:ascii="Shofar" w:hAnsi="Shofar" w:cs="Shofar"/>
          <w:rtl/>
        </w:rPr>
        <w:lastRenderedPageBreak/>
        <w:t>בכל כעין זה, יש לדון אם אין סיבה לומר שהם דומים (סובר שאף שהם בבבא אחת של משנה, אין הכרח לדמות אותם) או שיש מניעה (שכיון שבין כך ובין כך יש חילוקים רבות ביניהם, משנה לא משווה אותם</w:t>
      </w:r>
      <w:r w:rsidRPr="00901643">
        <w:rPr>
          <w:rStyle w:val="FootnoteReference"/>
          <w:rFonts w:ascii="Shofar" w:hAnsi="Shofar" w:cs="Shofar"/>
          <w:rtl/>
        </w:rPr>
        <w:footnoteReference w:id="28"/>
      </w:r>
      <w:r w:rsidRPr="00901643">
        <w:rPr>
          <w:rStyle w:val="FootnoteReference"/>
          <w:rFonts w:ascii="Shofar" w:hAnsi="Shofar" w:cs="Shofar"/>
          <w:rtl/>
        </w:rPr>
        <w:footnoteReference w:id="29"/>
      </w:r>
      <w:r w:rsidRPr="00901643">
        <w:rPr>
          <w:rFonts w:ascii="Shofar" w:hAnsi="Shofar" w:cs="Shofar"/>
          <w:rtl/>
        </w:rPr>
        <w:t>).</w:t>
      </w:r>
      <w:r w:rsidRPr="00901643">
        <w:rPr>
          <w:rStyle w:val="FootnoteReference"/>
          <w:rFonts w:ascii="Shofar" w:hAnsi="Shofar" w:cs="Shofar"/>
          <w:rtl/>
        </w:rPr>
        <w:footnoteReference w:id="30"/>
      </w:r>
    </w:p>
    <w:sectPr w:rsidR="00467802" w:rsidRPr="00901643" w:rsidSect="00901643">
      <w:headerReference w:type="even" r:id="rId8"/>
      <w:headerReference w:type="default" r:id="rId9"/>
      <w:footerReference w:type="even" r:id="rId10"/>
      <w:footerReference w:type="default" r:id="rId11"/>
      <w:headerReference w:type="first" r:id="rId12"/>
      <w:footerReference w:type="first" r:id="rId13"/>
      <w:pgSz w:w="8391" w:h="11906" w:code="11"/>
      <w:pgMar w:top="1440" w:right="1080" w:bottom="1440" w:left="1080" w:header="0" w:footer="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F2735" w14:textId="77777777" w:rsidR="00882C0A" w:rsidRDefault="00882C0A">
      <w:pPr>
        <w:spacing w:before="0" w:after="0" w:line="240" w:lineRule="auto"/>
      </w:pPr>
      <w:r>
        <w:separator/>
      </w:r>
    </w:p>
  </w:endnote>
  <w:endnote w:type="continuationSeparator" w:id="0">
    <w:p w14:paraId="6A07B6E0" w14:textId="77777777" w:rsidR="00882C0A" w:rsidRDefault="00882C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8E71" w14:textId="77777777" w:rsidR="00467802" w:rsidRDefault="00467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49048" w14:textId="74E298FB" w:rsidR="00467802" w:rsidRDefault="00E06679">
    <w:pPr>
      <w:pStyle w:val="Footer"/>
      <w:jc w:val="center"/>
      <w:rPr>
        <w:rFonts w:eastAsiaTheme="minorHAnsi"/>
        <w:lang w:bidi="he-IL"/>
      </w:rPr>
    </w:pPr>
    <w:r>
      <w:rPr>
        <w:rtl/>
        <w:lang w:bidi="he-IL"/>
      </w:rPr>
      <w:t>חרב אל ה</w:t>
    </w:r>
    <w:r w:rsidR="00A921C5">
      <w:rPr>
        <w:rFonts w:hint="cs"/>
        <w:rtl/>
        <w:lang w:bidi="he-IL"/>
      </w:rPr>
      <w:t>ב</w:t>
    </w:r>
    <w:r>
      <w:rPr>
        <w:rtl/>
        <w:lang w:bidi="he-IL"/>
      </w:rPr>
      <w:t>דים- אלו נערות</w:t>
    </w:r>
  </w:p>
  <w:p w14:paraId="796FF497" w14:textId="77777777" w:rsidR="00467802" w:rsidRDefault="00467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A99D" w14:textId="77777777" w:rsidR="00467802" w:rsidRDefault="00E06679">
    <w:pPr>
      <w:pStyle w:val="Footer"/>
      <w:jc w:val="center"/>
      <w:rPr>
        <w:rFonts w:eastAsiaTheme="minorHAnsi"/>
        <w:lang w:bidi="he-IL"/>
      </w:rPr>
    </w:pPr>
    <w:r>
      <w:rPr>
        <w:rtl/>
        <w:lang w:bidi="he-IL"/>
      </w:rPr>
      <w:t>חרב אל הדים- אלו נערות</w:t>
    </w:r>
  </w:p>
  <w:p w14:paraId="614CD3BC" w14:textId="77777777" w:rsidR="00467802" w:rsidRDefault="00467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D2749" w14:textId="77777777" w:rsidR="00882C0A" w:rsidRDefault="00882C0A">
      <w:pPr>
        <w:rPr>
          <w:sz w:val="12"/>
        </w:rPr>
      </w:pPr>
      <w:r>
        <w:separator/>
      </w:r>
    </w:p>
  </w:footnote>
  <w:footnote w:type="continuationSeparator" w:id="0">
    <w:p w14:paraId="53D51B93" w14:textId="77777777" w:rsidR="00882C0A" w:rsidRDefault="00882C0A">
      <w:pPr>
        <w:rPr>
          <w:sz w:val="12"/>
        </w:rPr>
      </w:pPr>
      <w:r>
        <w:continuationSeparator/>
      </w:r>
    </w:p>
  </w:footnote>
  <w:footnote w:id="1">
    <w:p w14:paraId="310A0E7D" w14:textId="77777777" w:rsidR="00467802" w:rsidRDefault="00E06679">
      <w:pPr>
        <w:pStyle w:val="FootnoteText"/>
      </w:pPr>
      <w:r>
        <w:rPr>
          <w:rStyle w:val="FootnoteCharacters"/>
        </w:rPr>
        <w:footnoteRef/>
      </w:r>
      <w:r>
        <w:rPr>
          <w:rtl/>
        </w:rPr>
        <w:tab/>
        <w:t>הבאנו את כל זה בתוך כלל חדש- ביאור דיון גמ’ על בריי’ של גניבה בשבת- אבל אפשר לומר שחלק זה הוא בעיקר כדי לדון אם אפשר לתרץ כמו שאמר גמ’ לפי רבי אבין, ולא כדי לבאר את הבריי’ על פי התי’. אבל, כתבנו אותו בתוך כלל חדש כיון שלכאו’ המשך הגמ’ צריך להיות בתוך ביאור הבריי’. אבל, עדיין, אולי זה רק מפני שהיה צריך לבאר את הבריי’ כדי להבחין אם התי’ שאמר לפי רבי אבין נכון או לא נכון. ותחשב על זה.</w:t>
      </w:r>
    </w:p>
    <w:p w14:paraId="69DA9DD6" w14:textId="77777777" w:rsidR="00467802" w:rsidRDefault="00E06679">
      <w:pPr>
        <w:pStyle w:val="FootnoteText"/>
      </w:pPr>
      <w:r>
        <w:rPr>
          <w:rtl/>
        </w:rPr>
        <w:tab/>
        <w:t>עיין בלשון רש"י, שמשמע כצד שלא כתבנו. אבל, יש להעיר שבאמת יש כאן שני שאלות. הראשון הוא מהו מטרה של הגמ’- האם בא לבאר את המשנה או להקשות על רבי אבין. על הצד הראשון, שבא לבאר את המשנה, צריך לדון למה בא לבאר אותו, אם הוא מפני שהביא אותו או אם הוא גם מפני שהוסיף בו גדר (שיהיה בו חידוש). ותחשב. אולי רש"י מכוון לומר כאותו צד האחרון. ותחשב.</w:t>
      </w:r>
    </w:p>
    <w:p w14:paraId="02E5FF13" w14:textId="77777777" w:rsidR="00467802" w:rsidRDefault="00E06679">
      <w:pPr>
        <w:pStyle w:val="FootnoteText"/>
      </w:pPr>
      <w:r>
        <w:rPr>
          <w:rtl/>
        </w:rPr>
        <w:tab/>
        <w:t>באמת, הבנתי, יכול לומר גם בסיפא שבא להיות חידוש של סיפא, שאילו היה נוקט זורק, לא צריך לזרוק אותו למקום שיכול לקנות. אבל, עדיין אין לשון גמ' שלנו משמע כן. ויש להעיר שזה לא כל כך נוגע לדיני שבת, אם לא נאמר כפשט ראשון (או כמקצת פי' בפשט שני). ונראה שאולי זהו ה"מתני," שהערנו בגמ' שלשון גמ' ברבינא ור"א ("מתני") מעניין; שוב נראה שאולי חולקים איך מתני תי' זה, אם החידוש כולל מקומו, שיש בו חידוש שבת, או אין כולל מקומו, שאינו חידוש שבת.</w:t>
      </w:r>
    </w:p>
  </w:footnote>
  <w:footnote w:id="2">
    <w:p w14:paraId="4C7737B2" w14:textId="77777777" w:rsidR="00467802" w:rsidRDefault="00E06679">
      <w:pPr>
        <w:pStyle w:val="FootnoteText"/>
      </w:pPr>
      <w:r>
        <w:rPr>
          <w:rStyle w:val="FootnoteCharacters"/>
        </w:rPr>
        <w:footnoteRef/>
      </w:r>
      <w:r>
        <w:rPr>
          <w:rtl/>
        </w:rPr>
        <w:tab/>
        <w:t>בכל זמן שיש כזה, צריך לחשוב עליו, שלא מפרש למה מלמד את זה. במילים אחרים, מפרש שיש הוכחה אבל לא מפרש לאיזה דבר יש הוכחה. אז, צריך ביאור למה נוקטים דבר זה ללמוד ולא כל דבר אחר שבעולם. רק יודעים שזה דבר מוזר, ושיש סיבה שניתן כאן ככה. אבל, יכול להיות לו כל סיבה שנחלום עליו. צריך לומר שזה הכי מסתבר- מסברת דין וממילים שאמר. ותחשב על זה.</w:t>
      </w:r>
    </w:p>
  </w:footnote>
  <w:footnote w:id="3">
    <w:p w14:paraId="14A07F8F" w14:textId="77777777" w:rsidR="00467802" w:rsidRDefault="00E06679">
      <w:pPr>
        <w:pStyle w:val="FootnoteText"/>
      </w:pPr>
      <w:r>
        <w:rPr>
          <w:rStyle w:val="FootnoteCharacters"/>
        </w:rPr>
        <w:footnoteRef/>
      </w:r>
      <w:r>
        <w:rPr>
          <w:rtl/>
        </w:rPr>
        <w:tab/>
        <w:t xml:space="preserve">זה הדרך הכי מסתבר לי, אבל נראה לי שיש דרך אחר. אפשר לומר שרבי אבין סבר שיש איזה הוכחה שמדברים בבינונים (למשל, יכול להיות שכיון שאמר אותו סתם, צריך לומר שהוא נכון בבינונים, שהם הסתם. כמו כן, צריך לומר שהוא נכון ברוב ציורים, ואז צריך לומר שהוא נכון בגדולים ובבינונים.). היה אפשר לגמ’ להוכיח מדבר כזה, אבל אינו ראיה כל כך פשוטה. יותר קל לגמ’ להוכיח שרבי אבין מוכיח אותו. הדרך שעושה כן הוא שמוכיח ששיטת רבי אבין אינו עומד אם נאמר שהוקים את המשנה בגדולים. אז, מוכרח שהוקים את המשנה בבינונים. יש לדון בזה, שלא כל כך מסתבר שלא יהיה הגמ’ מעוניין לדעת איך הוכיח רבי אבין כן, שבלי הוכחה, לפי צד זה, שיטת רבי אבין נדחה. ותו"ת. </w:t>
      </w:r>
    </w:p>
  </w:footnote>
  <w:footnote w:id="4">
    <w:p w14:paraId="6C4A5DE6" w14:textId="77777777" w:rsidR="00467802" w:rsidRDefault="00E06679">
      <w:pPr>
        <w:pStyle w:val="FootnoteText"/>
      </w:pPr>
      <w:r>
        <w:rPr>
          <w:rStyle w:val="FootnoteCharacters"/>
        </w:rPr>
        <w:footnoteRef/>
      </w:r>
      <w:r>
        <w:rPr>
          <w:rtl/>
        </w:rPr>
        <w:tab/>
        <w:t xml:space="preserve"> לא קשה שיהיה למשנה קמ"ל בענין כמה רגיל הוא, שלא נראה שזה דבר כל כך נודע לבני אדם תמיד. ותחשב.</w:t>
      </w:r>
    </w:p>
  </w:footnote>
  <w:footnote w:id="5">
    <w:p w14:paraId="7C012F4C" w14:textId="77777777" w:rsidR="00467802" w:rsidRDefault="00E06679">
      <w:pPr>
        <w:pStyle w:val="FootnoteText"/>
      </w:pPr>
      <w:r>
        <w:rPr>
          <w:rStyle w:val="FootnoteCharacters"/>
        </w:rPr>
        <w:footnoteRef/>
      </w:r>
      <w:r>
        <w:rPr>
          <w:rtl/>
        </w:rPr>
        <w:tab/>
        <w:t>אין הלשון ממש ”בינוני,“ אלא ”מיצעי.“ אבל, לא נראה שזה מחלק; בין כך ובין כך מה שאני אומר בלשון הוא דחוק.</w:t>
      </w:r>
    </w:p>
  </w:footnote>
  <w:footnote w:id="6">
    <w:p w14:paraId="5480626E" w14:textId="77777777" w:rsidR="00467802" w:rsidRDefault="00E06679">
      <w:pPr>
        <w:pStyle w:val="FootnoteText"/>
      </w:pPr>
      <w:r>
        <w:rPr>
          <w:rStyle w:val="FootnoteCharacters"/>
        </w:rPr>
        <w:footnoteRef/>
      </w:r>
      <w:r>
        <w:rPr>
          <w:rtl/>
        </w:rPr>
        <w:tab/>
        <w:t xml:space="preserve"> כמובן, אין להקשות מהי"ת שפטור של משנה הוא משום חיוב שבת, שאולי רק אומר שאין חיוב גניבה כאן, שהרי משנה אומר שהוא שבת, ואין צורך אחר בזה. ויש לדון, שאולי נצרך לרישא. ונראה ש"שהרי..." הוא חלק מן הבריי', ואז פשוט מה הוא הפוטר. ותו"ת.</w:t>
      </w:r>
    </w:p>
  </w:footnote>
  <w:footnote w:id="7">
    <w:p w14:paraId="5C4CFE7C" w14:textId="77777777" w:rsidR="00467802" w:rsidRDefault="00E06679">
      <w:pPr>
        <w:pStyle w:val="FootnoteText"/>
      </w:pPr>
      <w:r>
        <w:rPr>
          <w:rStyle w:val="FootnoteCharacters"/>
        </w:rPr>
        <w:footnoteRef/>
      </w:r>
      <w:r>
        <w:rPr>
          <w:rtl/>
        </w:rPr>
        <w:tab/>
        <w:t>נבאר שדיון הגמ’ הוא רק כדי לבאר את הבריי’. אבל, אפשר לומר שזה קצת ראיה לרבי אבין, שגרירה נחשב אותו מעשה של ההנחה, ואז נוכל לומר שמושך אותו לרשות הרבים ומניח אותו ברשות היחיד. ויש לדון, שנחשב עמידה בינתיים. ותו"ת. סתימות גמ’ לא משמע כן, אלא משמע שדיון זה הוא לכולי עלמא. ותחשב. (סתימות גמ’ משמע כן לא רק מפני שכיון שהיה דן ברבי אבין, היה לו לומר שזה ראיה לו, אלא- יותר מכך- היה לו לומר כן כיון שמיד לפני זה היה דן באותו בריי’ שיהיה ראיה נגד רבי אבין. אם הופך לומר שמוכרח כרבי אבין, היה לו לומר כן. (יותר מכן, יהיה הוכחה לת’ של הגמ’, שיוכיח שאין הבריי’ נגד רבי אבין, שכבר מוכרח הבריי’ כרבי אבין. אבל, זה יש לדחות שדיון של הגמ’ לפני כן, כשהקשה על רבי אבין, קרה לאחר דיון זה, וכבר ידע את המסקנא. מצאנו לפעמים כן בגמ’.</w:t>
      </w:r>
    </w:p>
  </w:footnote>
  <w:footnote w:id="8">
    <w:p w14:paraId="10CBC3CD" w14:textId="77777777" w:rsidR="00467802" w:rsidRDefault="00E06679">
      <w:pPr>
        <w:pStyle w:val="FootnoteText"/>
      </w:pPr>
      <w:r>
        <w:rPr>
          <w:rStyle w:val="FootnoteCharacters"/>
        </w:rPr>
        <w:footnoteRef/>
      </w:r>
      <w:r>
        <w:rPr>
          <w:rtl/>
        </w:rPr>
        <w:tab/>
        <w:t>יש להעיר שדיון זה של גמ’ מראה חידוש אחר בציור זה. אז, היה אפשר לומר שמפני זה נקט הציוא (ולא מפני שינוי בדרך שהוציא אותו). אם נאמר שכל דיון זה הוא רק שלא כרבי אבין (עיין לעיל למטה), אז לא קשה, שלפי רבי אבין, אין כאן חידוש, ואי אפשר לומר שנקט ציור זה מפני חידוש זו שיש בו. ותו"ת.</w:t>
      </w:r>
    </w:p>
  </w:footnote>
  <w:footnote w:id="9">
    <w:p w14:paraId="74234066" w14:textId="77777777" w:rsidR="00467802" w:rsidRDefault="00E06679">
      <w:pPr>
        <w:pStyle w:val="FootnoteText"/>
      </w:pPr>
      <w:r>
        <w:rPr>
          <w:rStyle w:val="FootnoteCharacters"/>
        </w:rPr>
        <w:footnoteRef/>
      </w:r>
      <w:r>
        <w:rPr>
          <w:rtl/>
        </w:rPr>
        <w:tab/>
        <w:t xml:space="preserve">באמת, כמעט אי אפשר שמגרר מרשות היחיד למקום פטור, שצריך להיות קטן מאד. ותו"ת. </w:t>
      </w:r>
    </w:p>
  </w:footnote>
  <w:footnote w:id="10">
    <w:p w14:paraId="076A7A5A" w14:textId="77777777" w:rsidR="00467802" w:rsidRDefault="00E06679">
      <w:pPr>
        <w:pStyle w:val="FootnoteText"/>
      </w:pPr>
      <w:r>
        <w:rPr>
          <w:rStyle w:val="FootnoteCharacters"/>
        </w:rPr>
        <w:footnoteRef/>
      </w:r>
      <w:r>
        <w:rPr>
          <w:rtl/>
        </w:rPr>
        <w:tab/>
        <w:t xml:space="preserve">חייב חיוב שבת, אבל אנו נדון באם יש סיבה, כיון שזהו הדיון גבי גניבה, שבאמת לא חייב על הגניבה. ותו"ת. </w:t>
      </w:r>
    </w:p>
  </w:footnote>
  <w:footnote w:id="11">
    <w:p w14:paraId="1AE47463" w14:textId="77777777" w:rsidR="00467802" w:rsidRDefault="00E06679">
      <w:pPr>
        <w:pStyle w:val="FootnoteText"/>
      </w:pPr>
      <w:r>
        <w:rPr>
          <w:rStyle w:val="FootnoteCharacters"/>
        </w:rPr>
        <w:footnoteRef/>
      </w:r>
      <w:r>
        <w:rPr>
          <w:rtl/>
        </w:rPr>
        <w:tab/>
        <w:t xml:space="preserve"> גמ' בכתובות מזכיר מחלקת אם קונים בקנין משיכה ברשות הרבים (עיין בתוס', שאולי כולי עלמא מודים שלא קונה לגמרי). צריך לבאר למה לא יקנה כשמושך אותו לרשות היחיד.</w:t>
      </w:r>
    </w:p>
    <w:p w14:paraId="4951BB74" w14:textId="77777777" w:rsidR="00467802" w:rsidRDefault="00E06679">
      <w:pPr>
        <w:pStyle w:val="FootnoteText"/>
      </w:pPr>
      <w:r>
        <w:rPr>
          <w:rtl/>
        </w:rPr>
        <w:tab/>
        <w:t>קודם כל, צריך לדון למה משיכה קונה. נחלק את זה לשני צדדים עיקרים שהם, באמת, צדדי הגמ':</w:t>
      </w:r>
    </w:p>
    <w:p w14:paraId="5F912189" w14:textId="77777777" w:rsidR="00467802" w:rsidRDefault="00E06679">
      <w:pPr>
        <w:pStyle w:val="FootnoteText"/>
        <w:numPr>
          <w:ilvl w:val="0"/>
          <w:numId w:val="6"/>
        </w:numPr>
      </w:pPr>
      <w:r>
        <w:rPr>
          <w:rtl/>
        </w:rPr>
        <w:t>אולי משיכה קונה מדאו'. כן סובר ריש לקיש, ולומד את זה ממש"כ, "או קנה מיד עמיתך." יש ראשונים שפוסקים כריש לקיש. אז, יש לדון למה משיכה קונה:</w:t>
      </w:r>
    </w:p>
    <w:p w14:paraId="5DC08126" w14:textId="77777777" w:rsidR="00467802" w:rsidRDefault="00E06679">
      <w:pPr>
        <w:pStyle w:val="FootnoteText"/>
        <w:numPr>
          <w:ilvl w:val="1"/>
          <w:numId w:val="6"/>
        </w:numPr>
      </w:pPr>
      <w:r>
        <w:rPr>
          <w:rtl/>
        </w:rPr>
        <w:t>אפשר שנחשב ברשותו כיון שנתן אותו במקום שרוצה שיהיה. (ויש לדון, שהרבה פעמים מושך רק כדי לקנות. אבל, אולי אין זה בעיה, שאפשר שבדרך כלל מושכים בני אדם דברים למקום שרוצים, ואז משיכה הוא נטילת רשות. ותחשב.</w:t>
      </w:r>
    </w:p>
    <w:p w14:paraId="3D277CBA" w14:textId="77777777" w:rsidR="00467802" w:rsidRDefault="00E06679">
      <w:pPr>
        <w:pStyle w:val="FootnoteText"/>
        <w:numPr>
          <w:ilvl w:val="1"/>
          <w:numId w:val="6"/>
        </w:numPr>
      </w:pPr>
      <w:r>
        <w:rPr>
          <w:rtl/>
        </w:rPr>
        <w:t>אפשר ששולט בו, כיון שגרם את מקום שלו, וזה מה שעושה הקנין. (ארחיב על זה יותר לקמן.)</w:t>
      </w:r>
    </w:p>
    <w:p w14:paraId="2EE8B0F5" w14:textId="77777777" w:rsidR="00467802" w:rsidRDefault="00E06679">
      <w:pPr>
        <w:pStyle w:val="FootnoteText"/>
        <w:numPr>
          <w:ilvl w:val="0"/>
          <w:numId w:val="6"/>
        </w:numPr>
      </w:pPr>
      <w:r>
        <w:rPr>
          <w:rtl/>
        </w:rPr>
        <w:t>אולי משיכה קונה מדרבנן. גמ' מסביר שחוששים לזה: יקנה קלמן הקונה מאת מאירים המוכר בקנין מעות. ישאיר קלמן הקונה את החפץ שקנה ביד מאירים המוכר. אולי יהיה שריפה בבית מאירים המוכר, ולא יציל את אותו החפץ, שאינו שלו, אלא של חברו (אגב, לא פשוט לי למה חוששים לכך, שחייב להציל אותו, שהוא בכלל מצוות השבת אבידה). נמצא שיש הפסד. אבל, אם יש קנין רק במשיכה, לא יקנה קלמן הקונה עד שימשך אותו, ומסתמא אז יביא אותו לביתו. אז, אם יש אש בבית של מאירים המוכר, והחפץ עדיין בביתו, כיון שעדיין שלו הוא, יציל אותו. אז, אף אחד אין לו הפסד. זהו שיטת רבי יוחנן, ויש ראשונים שפוסקים כן. צריך לבאר למה נקטו שמשיכה קונה, ולא שיקנה באופן אחר:</w:t>
      </w:r>
    </w:p>
    <w:p w14:paraId="2FD96220" w14:textId="77777777" w:rsidR="00467802" w:rsidRDefault="00E06679">
      <w:pPr>
        <w:pStyle w:val="FootnoteText"/>
        <w:numPr>
          <w:ilvl w:val="1"/>
          <w:numId w:val="6"/>
        </w:numPr>
      </w:pPr>
      <w:r>
        <w:rPr>
          <w:rtl/>
        </w:rPr>
        <w:t>הצד הכי פשוט הוא לומר שמשיכה הוא דבר שעושה שאז אין בו חשש של שריפת בית. הוא הדבר הכי טוב שבאותו סוג שיעשה קנין כיון שהוא הכי קל. ותחשב.</w:t>
      </w:r>
    </w:p>
    <w:p w14:paraId="4196252A" w14:textId="77777777" w:rsidR="00467802" w:rsidRDefault="00E06679">
      <w:pPr>
        <w:pStyle w:val="FootnoteText"/>
        <w:numPr>
          <w:ilvl w:val="1"/>
          <w:numId w:val="6"/>
        </w:numPr>
      </w:pPr>
      <w:r>
        <w:rPr>
          <w:rtl/>
        </w:rPr>
        <w:t>אפשר שמשיכה מסתבר לקנות. אז:</w:t>
      </w:r>
    </w:p>
    <w:p w14:paraId="381C974C" w14:textId="77777777" w:rsidR="00467802" w:rsidRDefault="00E06679">
      <w:pPr>
        <w:pStyle w:val="FootnoteText"/>
        <w:numPr>
          <w:ilvl w:val="2"/>
          <w:numId w:val="6"/>
        </w:numPr>
      </w:pPr>
      <w:r>
        <w:rPr>
          <w:rtl/>
        </w:rPr>
        <w:t>יש בו קצת סיבה לקנות, כמו שכתבנו לעיל, ורבנן רק הוסיפו על זה. רצו לתקן תקנה "יותר קלה." ויש לדון בכל זה, שהיה נראה לומר שרבנן לא מוסיפים על הקנין, אלא עושים קנין חדש, והוא קונה כיון שרבנן אומר שקונה. במילים אחרים, הייתי אומר שלרבנן יש רק כוח אחד, והוא לומר שקונה, וזהו, ואז עושים אותו דבר. עדיין, אף אם זה נכון, יש לומר שרצו רבנן שיהיה הדין עדיין דומה לדין שהיה- ויותר מזה, למצב שהיה- אם לא היו גוזרים.</w:t>
      </w:r>
    </w:p>
    <w:p w14:paraId="3BE50CAF" w14:textId="77777777" w:rsidR="00467802" w:rsidRDefault="00E06679">
      <w:pPr>
        <w:pStyle w:val="FootnoteText"/>
        <w:numPr>
          <w:ilvl w:val="2"/>
          <w:numId w:val="6"/>
        </w:numPr>
      </w:pPr>
      <w:r>
        <w:rPr>
          <w:rtl/>
        </w:rPr>
        <w:t>מסתבר לבני אדם שיקנה. אז, רבנן לא עושים דבר שהוא מחודש בעיני בני אדם. אז, ישמעו לרבנן, ואז גם קל להם לזכור דין זה. ותחשב.</w:t>
      </w:r>
    </w:p>
    <w:p w14:paraId="5D2479C0" w14:textId="77777777" w:rsidR="00467802" w:rsidRDefault="00E06679">
      <w:pPr>
        <w:pStyle w:val="FootnoteText"/>
      </w:pPr>
      <w:r>
        <w:rPr>
          <w:rtl/>
        </w:rPr>
        <w:tab/>
        <w:t>נתחיל לדון למה לא יקנה:</w:t>
      </w:r>
    </w:p>
    <w:p w14:paraId="5B5FB555" w14:textId="77777777" w:rsidR="00467802" w:rsidRDefault="00E06679">
      <w:pPr>
        <w:pStyle w:val="FootnoteText"/>
        <w:numPr>
          <w:ilvl w:val="0"/>
          <w:numId w:val="7"/>
        </w:numPr>
      </w:pPr>
      <w:r>
        <w:rPr>
          <w:rtl/>
        </w:rPr>
        <w:t>נתחיל בצד ראשון:</w:t>
      </w:r>
    </w:p>
    <w:p w14:paraId="01BC5E04" w14:textId="77777777" w:rsidR="00467802" w:rsidRDefault="00E06679">
      <w:pPr>
        <w:pStyle w:val="FootnoteText"/>
        <w:numPr>
          <w:ilvl w:val="1"/>
          <w:numId w:val="7"/>
        </w:numPr>
      </w:pPr>
      <w:r>
        <w:rPr>
          <w:rtl/>
        </w:rPr>
        <w:t>אולי כדי שייחס לחפץ, צריך גם יחס בין חפץ למקום שבו החפץ יושב. אולי אין לו אותו יחס כאן, כיון שלא יכול להשאיר אותו שם. (מה שאינו משאיר אותו שם יכול להיות שרבים לא אוהבים את זה, ואז לא יעשה כן, או יכול להיות שמכוון לומר שמסתבר שיזיזו רבים אותו, ובעל כרחו לא ישאר שם.)</w:t>
      </w:r>
    </w:p>
    <w:p w14:paraId="326F74A7" w14:textId="77777777" w:rsidR="00467802" w:rsidRDefault="00E06679">
      <w:pPr>
        <w:pStyle w:val="FootnoteText"/>
        <w:numPr>
          <w:ilvl w:val="1"/>
          <w:numId w:val="7"/>
        </w:numPr>
      </w:pPr>
      <w:r>
        <w:rPr>
          <w:rtl/>
        </w:rPr>
        <w:t>אולי אינו ברשות שלו כיון שעומד (או מצוי) לצאת ממקום שנתן אותו, שכך הוא הדרך של רשות הרבים.</w:t>
      </w:r>
    </w:p>
    <w:p w14:paraId="78DB0328" w14:textId="77777777" w:rsidR="00467802" w:rsidRDefault="00E06679">
      <w:pPr>
        <w:pStyle w:val="FootnoteText"/>
        <w:numPr>
          <w:ilvl w:val="1"/>
          <w:numId w:val="7"/>
        </w:numPr>
      </w:pPr>
      <w:r>
        <w:rPr>
          <w:rtl/>
        </w:rPr>
        <w:t>אולי אינו מיוחס לו כיון שיש לו יחס לכל בני אדם העוברים, והוא שמצוי הוא שהם ישנו את מקומו. (יותר מזה, יש להוסיף שאין היחס רק שיכולים או שעומדים או כדו' לשנות את מקום שלו, אלא הוא יותר מכך, והוא שישנו או לא ישנו את מקומו. במקום אחר דנינו מתי דבר נחשב סיבה לדבר אחר, וכתבנו שאולי תלוי במה מניחים שיקרה. אם דבר כמעט מוכרח לקרות, ואין חושבים עליו, אינו נחשב סיבה. אז, אולי אין השמש נחשב סיבה לגדלת אילן. ותחשב. אז, יש לומר שכן הוא גם אם החפץ הוא ברשות שאינו רשות הרבים, שמה שמניח אותו שם, ולא מזיז בו אינו נחשב יחס בו. אבל, כיון שהוא ברשות הרבים, שלא יודעים אם יזיז בו או לא, כל מה שעושה יעשה בו יחס. אבל, אף בזה יש לדון, שאף שאחרים מוכרחים לעשות בו יחס, אין אותו יחס מוכרח, שאולי יהיה זה או אולי יהיה זה. אז, יש לדון אם נאמר שהוא עומד שייחסו. ויש לדון, שאולי הוא אותו יחס של "גורם את מקום שלו." ותחשב.)</w:t>
      </w:r>
    </w:p>
    <w:p w14:paraId="05151A3C" w14:textId="77777777" w:rsidR="00467802" w:rsidRDefault="00E06679">
      <w:pPr>
        <w:pStyle w:val="FootnoteText"/>
        <w:numPr>
          <w:ilvl w:val="1"/>
          <w:numId w:val="7"/>
        </w:numPr>
      </w:pPr>
      <w:r>
        <w:rPr>
          <w:rtl/>
        </w:rPr>
        <w:t>כמו כן, יש לומר שמיוחס לאחרים כיון שהוא במקום שלהם, שרשות הרבים הוא של כולם. ודע שבכל כעין אלו, יש לדון אם הענין הוא שמיוחס לכל בני אדם או שעוד מיוחס הוא לבעל ראשון. ותחשב.</w:t>
      </w:r>
    </w:p>
    <w:p w14:paraId="159C1749" w14:textId="77777777" w:rsidR="00467802" w:rsidRDefault="00E06679">
      <w:pPr>
        <w:pStyle w:val="FootnoteText"/>
        <w:numPr>
          <w:ilvl w:val="1"/>
          <w:numId w:val="7"/>
        </w:numPr>
      </w:pPr>
      <w:r>
        <w:rPr>
          <w:rtl/>
        </w:rPr>
        <w:t>מה שגרם את מקומו (או עשה איזה יחס על ידי הביאתו לאותו מקום) לא חשוב לחפץ כזה, שבמצבו, הכל יכולים לגרום כן. ותחשב.</w:t>
      </w:r>
    </w:p>
    <w:p w14:paraId="20361ACC" w14:textId="77777777" w:rsidR="00467802" w:rsidRDefault="00E06679">
      <w:pPr>
        <w:pStyle w:val="FootnoteText"/>
        <w:ind w:left="1440" w:firstLine="0"/>
      </w:pPr>
      <w:r>
        <w:rPr>
          <w:rtl/>
        </w:rPr>
        <w:t>צריך לחשוב איזה טוב לאיזה צד. נראה שכולם אפשרים לשני הצדדים. ודע שיש לדון אם אומר שאין סיבה או שיש סיבה ויש מניעה. ותחשב על זה. וצריך לחשוב על זה יותר.</w:t>
      </w:r>
    </w:p>
    <w:p w14:paraId="56AEBE54" w14:textId="77777777" w:rsidR="00467802" w:rsidRDefault="00E06679">
      <w:pPr>
        <w:pStyle w:val="FootnoteText"/>
        <w:numPr>
          <w:ilvl w:val="0"/>
          <w:numId w:val="7"/>
        </w:numPr>
      </w:pPr>
      <w:r>
        <w:rPr>
          <w:rtl/>
        </w:rPr>
        <w:t>נדון לצד שני:</w:t>
      </w:r>
    </w:p>
    <w:p w14:paraId="08C87B87" w14:textId="77777777" w:rsidR="00467802" w:rsidRDefault="00E06679">
      <w:pPr>
        <w:pStyle w:val="FootnoteText"/>
        <w:numPr>
          <w:ilvl w:val="1"/>
          <w:numId w:val="7"/>
        </w:numPr>
      </w:pPr>
      <w:r>
        <w:rPr>
          <w:rtl/>
        </w:rPr>
        <w:t>לצד זה, נראה שצריך לומר שכיון שבני אדם מדרהרים שלא יקנה, לא עשו רבנן שיקנה.</w:t>
      </w:r>
    </w:p>
    <w:p w14:paraId="0E37A9CF" w14:textId="77777777" w:rsidR="00467802" w:rsidRDefault="00E06679">
      <w:pPr>
        <w:pStyle w:val="FootnoteText"/>
        <w:numPr>
          <w:ilvl w:val="1"/>
          <w:numId w:val="7"/>
        </w:numPr>
      </w:pPr>
      <w:r>
        <w:rPr>
          <w:rtl/>
        </w:rPr>
        <w:t>לצד זה, נאמר אותו דבר שאמרנו בריש לקיש. ותחשב.</w:t>
      </w:r>
    </w:p>
    <w:p w14:paraId="087A33C8" w14:textId="77777777" w:rsidR="00467802" w:rsidRDefault="00E06679">
      <w:pPr>
        <w:pStyle w:val="FootnoteText"/>
      </w:pPr>
      <w:r>
        <w:rPr>
          <w:rtl/>
        </w:rPr>
        <w:t>ויש להעיר שיש לדון אם מי שסובר שקונה סובר שאין זה בעיה- יש לו סיבת הקנין- או שסובר שלא פלוג הוא. ותחשב על זה.</w:t>
      </w:r>
    </w:p>
    <w:p w14:paraId="5321415E" w14:textId="77777777" w:rsidR="00467802" w:rsidRDefault="00E06679">
      <w:pPr>
        <w:pStyle w:val="FootnoteText"/>
      </w:pPr>
      <w:r>
        <w:rPr>
          <w:rtl/>
        </w:rPr>
        <w:t>עכשיו, אני מרחיב למה קונים בקנין משיכה, אם הוא מדאו':</w:t>
      </w:r>
    </w:p>
    <w:p w14:paraId="3DD59874" w14:textId="77777777" w:rsidR="00467802" w:rsidRDefault="00E06679">
      <w:pPr>
        <w:pStyle w:val="FootnoteText"/>
        <w:numPr>
          <w:ilvl w:val="0"/>
          <w:numId w:val="10"/>
        </w:numPr>
      </w:pPr>
      <w:r>
        <w:rPr>
          <w:rtl/>
        </w:rPr>
        <w:t>הוא סגנון קנין:</w:t>
      </w:r>
    </w:p>
    <w:p w14:paraId="464663CC" w14:textId="77777777" w:rsidR="00467802" w:rsidRDefault="00E06679">
      <w:pPr>
        <w:pStyle w:val="FootnoteText"/>
        <w:numPr>
          <w:ilvl w:val="1"/>
          <w:numId w:val="10"/>
        </w:numPr>
      </w:pPr>
      <w:r>
        <w:rPr>
          <w:rtl/>
        </w:rPr>
        <w:t>הוא סגנון יציאה מרשות המוכר. וא"ת למה לא נעשה הפקר:</w:t>
      </w:r>
    </w:p>
    <w:p w14:paraId="156F51CB" w14:textId="77777777" w:rsidR="00467802" w:rsidRDefault="00E06679">
      <w:pPr>
        <w:pStyle w:val="FootnoteText"/>
        <w:numPr>
          <w:ilvl w:val="2"/>
          <w:numId w:val="10"/>
        </w:numPr>
      </w:pPr>
      <w:r>
        <w:rPr>
          <w:rtl/>
        </w:rPr>
        <w:t>הוא יציאה שבא על ידי זה. אז, לא נעשה הפקר, אלא נעשה שלו. לפי זה, צריך לומר שיציאה ממש בא על ידי זה, ולא שהמוכר מונע את קנינו, וזה קונה.</w:t>
      </w:r>
    </w:p>
    <w:p w14:paraId="6AA19390" w14:textId="77777777" w:rsidR="00467802" w:rsidRDefault="00E06679">
      <w:pPr>
        <w:pStyle w:val="FootnoteText"/>
        <w:numPr>
          <w:ilvl w:val="2"/>
          <w:numId w:val="10"/>
        </w:numPr>
      </w:pPr>
      <w:r>
        <w:rPr>
          <w:rtl/>
        </w:rPr>
        <w:t>אחרי היציאה, הוא ביד של המושך (או שהוא בידו או שהוא המוציאו, וגרם בו שינוי), והוא שהמושך יש בו יחס קטן לו. אז, בזה קונה, שזה יכול להבחין איזה יציאה יש. כמו כן, יש לומר שזה עושה סיבה לקנין כיון שאין מה שמונע אותו מלקנות, שגם עושה סיבה לביטול קנין חברו. (זה (צד שני) מניח שיש שני חלותים קרים. כן נראה קצת ממש"כ גמ' בענין קונה מן גוי, שיכול אחר לחטוף באמצע.) אבל, יש לדון אם כעין זה קונה בהפקר.</w:t>
      </w:r>
    </w:p>
    <w:p w14:paraId="53A6EBB4" w14:textId="77777777" w:rsidR="00467802" w:rsidRDefault="00E06679">
      <w:pPr>
        <w:pStyle w:val="FootnoteText"/>
        <w:numPr>
          <w:ilvl w:val="2"/>
          <w:numId w:val="10"/>
        </w:numPr>
      </w:pPr>
      <w:r>
        <w:rPr>
          <w:rtl/>
        </w:rPr>
        <w:t>אין מי שרוצה הפקר, ואין המושך יכול להפקיר. יש רק שני יכולות כאן, והם קנין או אין- קנין. רק בקנין יש יציאה מן הבעל, ואז זהו מה שקורה. ותחשב.</w:t>
      </w:r>
    </w:p>
    <w:p w14:paraId="45AD43EA" w14:textId="77777777" w:rsidR="00467802" w:rsidRDefault="00E06679">
      <w:pPr>
        <w:pStyle w:val="FootnoteText"/>
        <w:numPr>
          <w:ilvl w:val="1"/>
          <w:numId w:val="10"/>
        </w:numPr>
      </w:pPr>
      <w:r>
        <w:rPr>
          <w:rtl/>
        </w:rPr>
        <w:t>מראה ביאה לרשות הקונה. אז, קונה אותו. (לא צריך ראשון, שקנין של קונה דוחה קנין של מקנה. גם אפשר שכיון שאי אפשר שקנין של קונה יהני בלי מה שאין קנין נשאר למקנה, שניהם נעשים.)</w:t>
      </w:r>
    </w:p>
    <w:p w14:paraId="23133496" w14:textId="77777777" w:rsidR="00467802" w:rsidRDefault="00E06679">
      <w:pPr>
        <w:pStyle w:val="FootnoteText"/>
        <w:numPr>
          <w:ilvl w:val="1"/>
          <w:numId w:val="10"/>
        </w:numPr>
      </w:pPr>
      <w:r>
        <w:rPr>
          <w:rtl/>
        </w:rPr>
        <w:t>אולי מראה ראשון ושני.</w:t>
      </w:r>
    </w:p>
    <w:p w14:paraId="32D52A65" w14:textId="77777777" w:rsidR="00467802" w:rsidRDefault="00E06679">
      <w:pPr>
        <w:pStyle w:val="FootnoteText"/>
        <w:numPr>
          <w:ilvl w:val="0"/>
          <w:numId w:val="10"/>
        </w:numPr>
        <w:ind w:left="360" w:firstLine="0"/>
      </w:pPr>
      <w:r>
        <w:rPr>
          <w:rtl/>
        </w:rPr>
        <w:t xml:space="preserve">אולי הוא מה שהיה עושה אילו קנאו, והוא שמביא אותו מבית הבעלים לרשות שלו. </w:t>
      </w:r>
    </w:p>
    <w:p w14:paraId="36C83E9B" w14:textId="77777777" w:rsidR="00467802" w:rsidRDefault="00E06679">
      <w:pPr>
        <w:pStyle w:val="FootnoteText"/>
        <w:ind w:firstLine="0"/>
      </w:pPr>
      <w:r>
        <w:rPr>
          <w:rtl/>
        </w:rPr>
        <w:t>אז, יש לבאר דיון אם מהני משיכה לרשות הרבים. לראשון, לראשון, לראשון, לא נראה שיהני (עיין לקמן.) לשני, נראה שיהני. לשלישי, נראה שיהני. לשני, לא נראה שיהני, שלא בא לרשות של הקונה (ע' לקמן). לשלישי, כיון שצריך להיות ראשון ושני, אם אחד מהם לא מהני, לא מהני. לשני, יש לדון, שמביא אותו בדרך לרשותו, אבל לא לרשותו ממש. אז, אין זה כל כך מה היה עושה אילו קנה אותו, שענין של עשייתו יהיה להביא אל ביתו.</w:t>
      </w:r>
    </w:p>
    <w:p w14:paraId="3B1698F3" w14:textId="77777777" w:rsidR="00467802" w:rsidRDefault="00E06679">
      <w:pPr>
        <w:pStyle w:val="FootnoteText"/>
        <w:ind w:firstLine="0"/>
      </w:pPr>
      <w:r>
        <w:rPr>
          <w:rtl/>
        </w:rPr>
        <w:t>אבל, הנחתי כאן שאין רשות הרבים רשות של אחד. אפשר לומר שוהא רשות של כל אחד. יש שני צדדים שבו לא יהיה רשות של כל אחד. יש לדון אם רשות הרבים הוא של כל אחד או של כלום (ומוכחר להשאר כך, ואז א"א לקנות בו). לשני, לכאו' אינו רשות שלו. (כמו כן, אולי, הוא של כולי עלמא, אבל הם שותפים, באופן שאינו של שום אחד באופן שיש עליו קנין פרטי, אלא יש קנין כללי לכולם. תמיד דנים בצדדים כזה, אבל לא כל כך מובן לי. ותחשב.) אף זה לא כל כך פשוט, שאולי לא צריך להיות שלו (שנ' שסימטא אינו יותר שלו מרשות הרבים, אלא לשלוט בו). אפשר שמה שהוא רשות של שאר בני אדם עושה שאינו רשות שלו. ויש לדון, אם נחשב רשות של כל אחד, אם נחשב יציאה מן הרשות שלו, כיון שקצת יצא, שיצא מרשות שהיה רק שלו לתוך רשות שהי השלו ושל כל אדם. ותחשב.</w:t>
      </w:r>
    </w:p>
  </w:footnote>
  <w:footnote w:id="12">
    <w:p w14:paraId="6CF6778B" w14:textId="77777777" w:rsidR="00467802" w:rsidRDefault="00E06679">
      <w:pPr>
        <w:pStyle w:val="FootnoteText"/>
      </w:pPr>
      <w:r>
        <w:rPr>
          <w:rStyle w:val="FootnoteCharacters"/>
        </w:rPr>
        <w:footnoteRef/>
      </w:r>
      <w:r>
        <w:rPr>
          <w:rtl/>
        </w:rPr>
        <w:tab/>
        <w:t>מניח גמ’ שיוצא לרשות היחיד שלו (וכן מבואר ברש"י); אם היה לרשות היחיד של אחר, אז לא היה סיבה לחיוב גניבה ולא היה סיבה לחיוב שבת. אז, אף לא צריך לדון בו כלל.</w:t>
      </w:r>
    </w:p>
  </w:footnote>
  <w:footnote w:id="13">
    <w:p w14:paraId="46550476" w14:textId="77777777" w:rsidR="00467802" w:rsidRDefault="00E06679">
      <w:pPr>
        <w:pStyle w:val="FootnoteText"/>
      </w:pPr>
      <w:r>
        <w:rPr>
          <w:rStyle w:val="FootnoteCharacters"/>
        </w:rPr>
        <w:footnoteRef/>
      </w:r>
      <w:r>
        <w:rPr>
          <w:rtl/>
        </w:rPr>
        <w:tab/>
        <w:t>דחוק מאד לומר שרבנן, כדי לקיים את דבריהם, עשו אותו כדין דאו’, וקבעו בו פטור של חיוב מיתה.</w:t>
      </w:r>
    </w:p>
  </w:footnote>
  <w:footnote w:id="14">
    <w:p w14:paraId="4698EB2C" w14:textId="77777777" w:rsidR="00467802" w:rsidRDefault="00E06679">
      <w:pPr>
        <w:pStyle w:val="FootnoteText"/>
      </w:pPr>
      <w:r>
        <w:rPr>
          <w:rStyle w:val="FootnoteCharacters"/>
        </w:rPr>
        <w:footnoteRef/>
      </w:r>
      <w:r>
        <w:rPr>
          <w:rtl/>
        </w:rPr>
        <w:tab/>
        <w:t xml:space="preserve"> יש דיון שנראה שיהיה שייך בגמ' זה, והוא שצריך לדון מה מניח בענין קנין משיכה. בבבא מציעא ובקידושין ובכמה מקומות, חולקים רבי יוחנן וריש לקיש אם קנין משיכה הוא מדרבנן (שמדאו' מעות קונות, אבל מדרבנן, משיכה קונה ומעות לא קונות) (לפי רבי יוחנן זה שיטת כל התנאים ולפי ריש לקיש זה שיטת רבי שמעון, אבל בדרך כלל, זה נקרא שיטת רבי יוחנן (שמסתמא לא יהיה הלכה כרבי שמעון)) או מדאו' (לפי ריש לקיש זה שיטת רבנן, וזה נקרא שיטת ריש לקיש). אז, צריך לדון מה סובר גמ' זה. אם הוא דרבנן, לא כל כך מסתבר שאחד יהיה סימן לחברו- ויש לדון- אבל יותר מסתבר שדין שבת יהיה סיבה לדין קנין. ותחשב על זה.</w:t>
      </w:r>
    </w:p>
    <w:p w14:paraId="7382DBAF" w14:textId="77777777" w:rsidR="00467802" w:rsidRDefault="00E06679">
      <w:pPr>
        <w:pStyle w:val="FootnoteText"/>
        <w:ind w:firstLine="0"/>
      </w:pPr>
      <w:r>
        <w:rPr>
          <w:rtl/>
        </w:rPr>
        <w:t>ועיין ברשי לקמן ד"ה דהא לא שכיחי, שמניח שגמ' זה סובר שקנין משיכה מדרבנן הוא. אבל, לא פשוט שרשי סובר שזה מוכרח מן הגמ'; אפשר שרק סובר שמסתבר שגמ' ילך לפי שיטת רבי יוחנן. ודע שמה שלא אומר גמ' "הניחא אם סובר..." משמע שקושיית הגמ' הוא לפי שניהם. ויש לדון, שלמעשה יש תי' שלא מכריח שיסבור כאחד מהם. אבל, לאידך גיסא, מכריח שיסבור כתנא אחד, וגם עושה אוקימתא.</w:t>
      </w:r>
    </w:p>
  </w:footnote>
  <w:footnote w:id="15">
    <w:p w14:paraId="7E32CD92" w14:textId="77777777" w:rsidR="00467802" w:rsidRDefault="00E06679">
      <w:pPr>
        <w:pStyle w:val="FootnoteText"/>
      </w:pPr>
      <w:r>
        <w:rPr>
          <w:rStyle w:val="FootnoteCharacters"/>
        </w:rPr>
        <w:footnoteRef/>
      </w:r>
      <w:r>
        <w:rPr>
          <w:rtl/>
        </w:rPr>
        <w:tab/>
        <w:t>אפשר שמה שהוא פתוח לרשות הרבים נותן לו את דינו או אפשר שעושה שמסתבר שיבואו בו בני רשות הרבים או עושה שהוא ראוי לביאת בני רשות הרבים.</w:t>
      </w:r>
    </w:p>
  </w:footnote>
  <w:footnote w:id="16">
    <w:p w14:paraId="7E0543C2" w14:textId="77777777" w:rsidR="00467802" w:rsidRDefault="00E06679">
      <w:pPr>
        <w:pStyle w:val="FootnoteText"/>
      </w:pPr>
      <w:r>
        <w:rPr>
          <w:rStyle w:val="FootnoteCharacters"/>
        </w:rPr>
        <w:footnoteRef/>
      </w:r>
      <w:r>
        <w:rPr>
          <w:rtl/>
        </w:rPr>
        <w:tab/>
        <w:t xml:space="preserve"> הרבה מדיונים אלו יהיו תלויים בסיבה לדין של רשות הרבים של שבת. בע"ה, נדון בזה לקמן.</w:t>
      </w:r>
    </w:p>
  </w:footnote>
  <w:footnote w:id="17">
    <w:p w14:paraId="2B057512" w14:textId="77777777" w:rsidR="00467802" w:rsidRDefault="00E06679">
      <w:pPr>
        <w:pStyle w:val="FootnoteText"/>
      </w:pPr>
      <w:r>
        <w:rPr>
          <w:rStyle w:val="FootnoteCharacters"/>
        </w:rPr>
        <w:footnoteRef/>
      </w:r>
      <w:r>
        <w:rPr>
          <w:rtl/>
        </w:rPr>
        <w:tab/>
        <w:t xml:space="preserve"> אין נפקא מינא לענין הוצאה מרשות הרבים לתוכו, שבין כך ובין כך לא יתחייב, שאם אינו רשות הרבים לכאו' יהיה כרמלית. ותחשב. אף שיהיה חילוק בדין דרבנן, קל לומר שזה נגרר אחרי דין דאו'.</w:t>
      </w:r>
    </w:p>
  </w:footnote>
  <w:footnote w:id="18">
    <w:p w14:paraId="0B68F64E" w14:textId="77777777" w:rsidR="00467802" w:rsidRDefault="00E06679">
      <w:pPr>
        <w:pStyle w:val="FootnoteText"/>
      </w:pPr>
      <w:r>
        <w:rPr>
          <w:rStyle w:val="FootnoteCharacters"/>
        </w:rPr>
        <w:footnoteRef/>
      </w:r>
      <w:r>
        <w:rPr>
          <w:rtl/>
        </w:rPr>
        <w:tab/>
        <w:t xml:space="preserve"> יש לדון אם רש"י בא לומר חשיבות- למה יד חשוב כלל- והוא שהגבהה לא מהני, שלא הגביהה אותו באופן שלא נחשב על האדמה, כיון שיש לבוד, אבל יש חשיבות אחר, והוא יד (או שמה שהוא על יד חשוב או חשיבות יד עושה שלא נחשב על הקרקע) או שמפרש למה יד חשוב כאן, שהוא קרוב לקרקע, והו"א שנידון כקרקע.</w:t>
      </w:r>
    </w:p>
  </w:footnote>
  <w:footnote w:id="19">
    <w:p w14:paraId="54BDBBBE" w14:textId="77777777" w:rsidR="00467802" w:rsidRDefault="00E06679">
      <w:pPr>
        <w:pStyle w:val="FootnoteText"/>
      </w:pPr>
      <w:r>
        <w:rPr>
          <w:rStyle w:val="FootnoteCharacters"/>
        </w:rPr>
        <w:footnoteRef/>
      </w:r>
      <w:r>
        <w:rPr>
          <w:rtl/>
        </w:rPr>
        <w:tab/>
        <w:t xml:space="preserve"> יש לדון אם זה אמת. יותר מזה, יש לדון למה לא אומרים על זה דין של רבי אבין. ותחשב. אולי רוצה לתרץ אף בלי דין של רבי אבין. אוליל הדין הוא להיפך, שאולי נח לענין שבת אף כשעוד מגביה, אף למטה משלש טפחים. ויש לדון אם נאמר דין של רבי אבין על זה, כשחיוב מיתה בא קודם.</w:t>
      </w:r>
    </w:p>
  </w:footnote>
  <w:footnote w:id="20">
    <w:p w14:paraId="0DD844B7" w14:textId="77777777" w:rsidR="00467802" w:rsidRDefault="00E06679">
      <w:pPr>
        <w:pStyle w:val="FootnoteText"/>
      </w:pPr>
      <w:r>
        <w:rPr>
          <w:rStyle w:val="FootnoteCharacters"/>
        </w:rPr>
        <w:footnoteRef/>
      </w:r>
      <w:r>
        <w:rPr>
          <w:rtl/>
        </w:rPr>
        <w:tab/>
        <w:t xml:space="preserve"> נראה שהביאור הוא שידו נחשב מחובר לקרקע, ואז מונח על דבר גדול שכולל ידו וקרקע. גם יש לומר שכיון שהחפץ הוא בתוך שלש לקרקע, נח עליו. (יהיה נפק"מ אם חלק מידו הוא בתוך ג"ט, אבל החפץ אינו בתוך ג"ט. לשון תוס' אולי משמע כצד שני.</w:t>
      </w:r>
    </w:p>
  </w:footnote>
  <w:footnote w:id="21">
    <w:p w14:paraId="3CD0C80B" w14:textId="77777777" w:rsidR="00467802" w:rsidRDefault="00E06679">
      <w:pPr>
        <w:pStyle w:val="FootnoteText"/>
      </w:pPr>
      <w:r>
        <w:rPr>
          <w:rStyle w:val="FootnoteCharacters"/>
        </w:rPr>
        <w:footnoteRef/>
      </w:r>
      <w:r>
        <w:rPr>
          <w:rtl/>
        </w:rPr>
        <w:tab/>
        <w:t xml:space="preserve"> משנה אומר שאם אדם רק הוציא מקצת כלי- נתן את הכלי במקום שחציו ברשות היחיד וחציו ברשות הרבים- לא חייב. גמ' מביא מחלקת אמוראים מה הדין אם רק הוציא מחצה הכלי אבל הוציא חפץ שלם שבתוכו. למשל, אם היו בתוך אותו כלי פירות קטנות, כמו חרדל, חולקים אם חייב או פטור. מחלקת זה נקרא "אגד כלי שמיה אגד או לא שמיה אגד." "אגד כלי שמיה אגד" אומר שכלי מצרף כל מה שבתוכו, וכל זמן שמקצת הכלי בפנים, לא הוציא. "אגד כלי לא שמיה אגד" אומר שכלי לא מצרף כל מה שבתוכו, ואף שמקצת הכלי בפנים, הוציא.</w:t>
      </w:r>
    </w:p>
    <w:p w14:paraId="3097243D" w14:textId="77777777" w:rsidR="00467802" w:rsidRDefault="00E06679">
      <w:pPr>
        <w:pStyle w:val="FootnoteText"/>
        <w:ind w:firstLine="0"/>
      </w:pPr>
      <w:r>
        <w:rPr>
          <w:rtl/>
        </w:rPr>
        <w:t>רבא אומר על המשנה: "לא שנו אלא בקופה מלאה קישואין ודלועין, אבל מלאה חרדל חייב." נמצא שסובר שאגד כלי לא שמיה אגד. אביי אומר שהוא גם אם מלאה חרדל. אז, סובר שאגד כלי שמיה אגד.</w:t>
      </w:r>
    </w:p>
    <w:p w14:paraId="3156149F" w14:textId="77777777" w:rsidR="00467802" w:rsidRDefault="00E06679">
      <w:pPr>
        <w:pStyle w:val="FootnoteText"/>
        <w:ind w:firstLine="0"/>
      </w:pPr>
      <w:r>
        <w:rPr>
          <w:rtl/>
        </w:rPr>
        <w:t>אחרי שאמרו כן, גמ' מספר, חזרו בהם. נמצא שרבא סובר שאגד כלי שמיה אגד, ואף אם מלאה חרדל פטור, ואביי סובר שאגד כלי לא שמיה אגד, ואם מלאה חרדל חייב.</w:t>
      </w:r>
    </w:p>
    <w:p w14:paraId="4E61F725" w14:textId="77777777" w:rsidR="00467802" w:rsidRDefault="00E06679">
      <w:pPr>
        <w:pStyle w:val="FootnoteText"/>
        <w:ind w:firstLine="0"/>
      </w:pPr>
      <w:r>
        <w:rPr>
          <w:rtl/>
        </w:rPr>
        <w:t>מקשה גמ' סתירה בדברי רבא ואביי. רבא אמר שבמוציא פירות ביד פטור ובכלי חייב ואביי אמר שביד חייב ובכלי פטור. נתחיל לדון בדין כלי. לכאו', אותו מחלקת תלוי באם אגד כלי שמיה אגד או לא. אם היה מוציא אותו בפני עצמו, היה חייב, כיון שהוציא את כולו. אבל, כיון שהוא בתוך כלי, ולא הוציא את מקצת הכלי, יש צד לפטור אותו. הרי, רבא אומר שבכלי חייב, שאגד כלי לא שמיה אגד, ואביי אומר שבכלי פטור, שאגד כלי שמיה אגד. זה אינו כמסקנא של רבא ואביי. לא רוצה גמ' לומר שמימרות אלו נאמרו קודם חזרה, מסתמא מפני שהיה לבעל השמועה לומר עליהם, "אבל אביי ורבא חזרו בהם." (שוב ראיתי שתוס' אומר שקים ליה להש"ס שהיה אחרי חזרתם.)</w:t>
      </w:r>
    </w:p>
    <w:p w14:paraId="1F53290D" w14:textId="77777777" w:rsidR="00467802" w:rsidRDefault="00E06679">
      <w:pPr>
        <w:pStyle w:val="FootnoteText"/>
        <w:ind w:firstLine="0"/>
      </w:pPr>
      <w:r>
        <w:rPr>
          <w:rtl/>
        </w:rPr>
        <w:t>גמ' מתרץ שצריכים להחליף. יש לדון מה נחליף- שיטתם בביאור המשנה או שיטתם במוציא פירות.</w:t>
      </w:r>
    </w:p>
    <w:p w14:paraId="545A8CB2" w14:textId="77777777" w:rsidR="00467802" w:rsidRDefault="00E06679">
      <w:pPr>
        <w:pStyle w:val="FootnoteText"/>
        <w:ind w:firstLine="0"/>
      </w:pPr>
      <w:r>
        <w:rPr>
          <w:rtl/>
        </w:rPr>
        <w:t>עכשיו, נבאר דין יד. מוציא ביד הוא כשאדם נשאר ברשות ששם התחיל החפץ שיוצא, ורק מוציא את הפרי בידו ומשאיר את הפרי בחוץ בידו. רבא אמר (אם נניח שמחליף את השני) שביד חייב ואביי אומר שביד פטור. גמ' מביא ראיה לשיטת אביי. משנה אומר שאם פשט אדם את ידו לחוץ ונטל אחר מתוכה, לא חייב. אילו נאמר כרבא, קשה למה לא חייב כאן. תי' גמ' שיש חילוק בין בתוך שלש ללמעלה משלש. רבא רק מחייב אם ידו הוא בתוך שלש לקרקע. (נראה שהענין הוא שידו נמשך בתר גופו. אבל, כיון שהוא קרוב לקרקע, לבוד עושה אותו קצת חלק מן הקרקע. זה מחשיב אותו, ולא נגרר. יותר מזה, כיון שקצת אדמה הוא, אין כ"כ סיבה שיגרר, שאדמה לא נגרר בתר גופו.)</w:t>
      </w:r>
    </w:p>
    <w:p w14:paraId="30D4729D" w14:textId="77777777" w:rsidR="00467802" w:rsidRDefault="00E06679">
      <w:pPr>
        <w:pStyle w:val="FootnoteText"/>
        <w:ind w:firstLine="0"/>
      </w:pPr>
      <w:r>
        <w:rPr>
          <w:rtl/>
        </w:rPr>
        <w:t>תוס' בכתובות קורא למחלקת זה "אגד יד שמיה אגד או לא שמיה אגד." "אגד יד שמיה אגד" אומר שידו נגרר בתר גופו, ולא נחשב שהוא לרשות אחר, ולכן הוא פטור. "אגד יד לא שמיה אגד" אומר שידו לא נגרר בתר גופו, ונחשב שהוא ברשות אחר, ולכן הוא חייב. נמצא, אז, שאם נניח להחליף את המאמר השני, רבא אומר שאגד יד לא שמיה אגד ואביי אומר שאגד יד שמיה אגד. אם נניח שמחליפים את מאמר הראשון, אז יהיה להיפך.</w:t>
      </w:r>
    </w:p>
    <w:p w14:paraId="613DC4BA" w14:textId="77777777" w:rsidR="00467802" w:rsidRDefault="00E06679">
      <w:pPr>
        <w:pStyle w:val="FootnoteText"/>
      </w:pPr>
      <w:r>
        <w:rPr>
          <w:rtl/>
        </w:rPr>
        <w:t>תוס' בכתובות אומר שרבא סובר שאגד יד לא שמיה אגד. צריך לומר שסובר שגמ' מהפך את האחרון. (אני הייתי אומר שממה שלא פי' גמ' איזה מהפך משמע שגמ' לא יודע. גמ' רק אומר שיש לנו שני מאמרים, והם בוודאי סותרים זה את זה, וצריך להפך את אחד- אבל לא ידוע איזה.)</w:t>
      </w:r>
    </w:p>
  </w:footnote>
  <w:footnote w:id="22">
    <w:p w14:paraId="19B10FA7" w14:textId="77777777" w:rsidR="00467802" w:rsidRDefault="00E06679">
      <w:pPr>
        <w:pStyle w:val="FootnoteText"/>
      </w:pPr>
      <w:r>
        <w:rPr>
          <w:rStyle w:val="FootnoteCharacters"/>
        </w:rPr>
        <w:footnoteRef/>
      </w:r>
      <w:r>
        <w:rPr>
          <w:rtl/>
        </w:rPr>
        <w:tab/>
        <w:t xml:space="preserve"> עיין בלשון הגמ', שמשמע שרבינא סובר שלא קרה תי' שני (או אף תי' ראשון). אבל, ע' ברשי שלא משמע שמפרש כן, וכשאומר שרבינא "מתני" כן, רק רצה לומר שכן מתנה את הדין. יל"ד, שבדר"כ, גמ' לא משתמש בלשון כזה.</w:t>
      </w:r>
    </w:p>
  </w:footnote>
  <w:footnote w:id="23">
    <w:p w14:paraId="38B24BB7" w14:textId="77777777" w:rsidR="00467802" w:rsidRDefault="00E06679">
      <w:pPr>
        <w:pStyle w:val="FootnoteText"/>
      </w:pPr>
      <w:r>
        <w:rPr>
          <w:rStyle w:val="FootnoteCharacters"/>
        </w:rPr>
        <w:footnoteRef/>
      </w:r>
      <w:r>
        <w:rPr>
          <w:rtl/>
        </w:rPr>
        <w:tab/>
        <w:t xml:space="preserve"> אגב, לשון זה של משנה משמשע שסיבה עיקרית של הקנין הוא מה שהוציא אותו מרשות הבעל, ולא מה שהביא אותו לרשות שלו. (ודע שהיה קל לומר שנקודה זו- מהו עיקר ענין משיכה- הוא מחלקת בין רבינא לרב אחא.)</w:t>
      </w:r>
    </w:p>
  </w:footnote>
  <w:footnote w:id="24">
    <w:p w14:paraId="2B0F815A" w14:textId="77777777" w:rsidR="00467802" w:rsidRDefault="00E06679">
      <w:pPr>
        <w:pStyle w:val="FootnoteText"/>
      </w:pPr>
      <w:r>
        <w:rPr>
          <w:rStyle w:val="FootnoteCharacters"/>
        </w:rPr>
        <w:footnoteRef/>
      </w:r>
      <w:r>
        <w:rPr>
          <w:rtl/>
        </w:rPr>
        <w:tab/>
        <w:t xml:space="preserve"> אז, יש לדון בקנין ממש, שרצה בקנין. ויש לדון אם דנים עם ידיעת קרק' זה.</w:t>
      </w:r>
    </w:p>
  </w:footnote>
  <w:footnote w:id="25">
    <w:p w14:paraId="0CE21352" w14:textId="77777777" w:rsidR="00467802" w:rsidRDefault="00E06679">
      <w:pPr>
        <w:pStyle w:val="FootnoteText"/>
      </w:pPr>
      <w:r>
        <w:rPr>
          <w:rStyle w:val="FootnoteCharacters"/>
        </w:rPr>
        <w:footnoteRef/>
      </w:r>
      <w:r>
        <w:rPr>
          <w:rtl/>
        </w:rPr>
        <w:tab/>
        <w:t xml:space="preserve"> ודע שאפשר לחלק בין שניהם, כיון שאחד בא מדיוק ברישא ואחד בא מדיוק בסיפא, ושל רישא כבר נודע בלימוד סיפא, אבל סיפא לא נודע בלימוד רישא. ותו"ת. כמו כן, יש לחלק ביניהם כיון שהם דיוקים חלוקים עם דיחויים חלוקים.</w:t>
      </w:r>
    </w:p>
  </w:footnote>
  <w:footnote w:id="26">
    <w:p w14:paraId="580BD80D" w14:textId="77777777" w:rsidR="00467802" w:rsidRDefault="00E06679">
      <w:pPr>
        <w:pStyle w:val="FootnoteText"/>
      </w:pPr>
      <w:r>
        <w:rPr>
          <w:rStyle w:val="FootnoteCharacters"/>
        </w:rPr>
        <w:footnoteRef/>
      </w:r>
      <w:r>
        <w:rPr>
          <w:rtl/>
        </w:rPr>
        <w:tab/>
        <w:t xml:space="preserve"> יש לדון מהו הדיוק. הפשטות הוא שמדייקים שכמו שהגבהה רק מהני אם מביא לרשות הבעל, כך משיכה רק מהני אם מביא לרשות הבעל. אבל, אולי יותר מסתבר לדייק שמשיכה שבו מדבר משנה הוא דומה להגבהה שמדבר (אז אינו אומר ששני דברים קרובים זה לזה במשנה צריכים להיות דברים דומים, אלא אומר ששני דברים קרובים זה לזה במשנה צריכים להיות באותו ציור), והוא שמביא לתוך רשות שלו. נמצא שמשנה אמר משיכה לסימטא, ולא לרשות הרבים. מה שלא אמר משיכה לרשות הרבים משמע שלא מהני, שלכן לא אמר אותו. (אבל, יש לדון, שאולי לא אמר אותו כדי לדמות להגבהה. ויש לדון, שאולי אין צורך להביא שניהם (אבל, אף בלי תי' זה, יש לדון, שדחוק לומר שרק אגב הוא). כיון שהגענו לזה, יש להעיר שאולי כל הדיוק בא ממה שהוסיף ציור מיותר, כדי להקיש, ולא ממה שהם קרובים זה לזה.)</w:t>
      </w:r>
    </w:p>
    <w:p w14:paraId="596C4B74" w14:textId="77777777" w:rsidR="00467802" w:rsidRDefault="00E06679">
      <w:pPr>
        <w:pStyle w:val="FootnoteText"/>
      </w:pPr>
      <w:r>
        <w:rPr>
          <w:rtl/>
        </w:rPr>
        <w:t>ויש להעיר שאם רק לומדים דין זה מזה, אז מעניין, שהייתי אומר שאולי אין דין כזה בהגבהה, שלא נאמר שלא קונה אם לא מביא אותו לרשותו, שכל מגביה בהכרח מביא אותו לרשותו. ותחשב על זה.</w:t>
      </w:r>
    </w:p>
  </w:footnote>
  <w:footnote w:id="27">
    <w:p w14:paraId="2A978E17" w14:textId="77777777" w:rsidR="00467802" w:rsidRDefault="00E06679">
      <w:pPr>
        <w:pStyle w:val="FootnoteText"/>
      </w:pPr>
      <w:r>
        <w:rPr>
          <w:rStyle w:val="FootnoteCharacters"/>
        </w:rPr>
        <w:footnoteRef/>
      </w:r>
      <w:r>
        <w:rPr>
          <w:rtl/>
        </w:rPr>
        <w:tab/>
        <w:t xml:space="preserve"> בוודאי לא צריך להיות שהמקום הוא רשות הקונה, שאין סימטא רשות הקונה. ויש לדון, שיש לומר שסמטא והא מקום שיש לכל אדם רשות להשתמש, אבל רשות הרבים אינו כן, אלא יש רשות לרבים להשתמש שם, ולא לכל יחיד. ותחשב על זה, שזה לא ברור כלל, ואני רק מרמז לצדדים.</w:t>
      </w:r>
    </w:p>
  </w:footnote>
  <w:footnote w:id="28">
    <w:p w14:paraId="1332BFE1" w14:textId="77777777" w:rsidR="00467802" w:rsidRDefault="00E06679">
      <w:pPr>
        <w:pStyle w:val="FootnoteText"/>
      </w:pPr>
      <w:r>
        <w:rPr>
          <w:rStyle w:val="FootnoteCharacters"/>
        </w:rPr>
        <w:footnoteRef/>
      </w:r>
      <w:r>
        <w:rPr>
          <w:rtl/>
        </w:rPr>
        <w:tab/>
        <w:t xml:space="preserve"> יש להוסיף שאולי כוונת רבינא לומר שדרך קנין שלהם הוא חלוק, ואז בוודאי אינם דומים זה לזה (או שאז אין סיבה או שיש מניעה). אם כן, נמצא שאולי חולקים איך קונה בהגבהה או איך קונה במשיכה. אולי אפשר על ידי זה לומר שרבינא הולך לשיטתו, לומר שמשיכה קונה ברשות הרבים.</w:t>
      </w:r>
    </w:p>
  </w:footnote>
  <w:footnote w:id="29">
    <w:p w14:paraId="1CF7E512" w14:textId="77777777" w:rsidR="00467802" w:rsidRDefault="00E06679">
      <w:pPr>
        <w:pStyle w:val="FootnoteText"/>
      </w:pPr>
      <w:r>
        <w:rPr>
          <w:rStyle w:val="FootnoteCharacters"/>
        </w:rPr>
        <w:footnoteRef/>
      </w:r>
      <w:r>
        <w:rPr>
          <w:rtl/>
        </w:rPr>
        <w:tab/>
        <w:t xml:space="preserve"> או שזה מוכיח לנו שמשנה לא חש שיהיו בבבא אחת אף שלא דומים או שרק יש בעיה אם הם בבבא אחת והם אולי דומים, אבל אם הם בוודאי דומים, הוא כאילו התנא אומר שהם לא דומים, ואז אין ללמוד. ותחשב על זה.</w:t>
      </w:r>
    </w:p>
  </w:footnote>
  <w:footnote w:id="30">
    <w:p w14:paraId="6D1B9E35" w14:textId="77777777" w:rsidR="00467802" w:rsidRDefault="00E06679">
      <w:pPr>
        <w:pStyle w:val="FootnoteText"/>
      </w:pPr>
      <w:r>
        <w:rPr>
          <w:rStyle w:val="FootnoteCharacters"/>
        </w:rPr>
        <w:footnoteRef/>
      </w:r>
      <w:r>
        <w:rPr>
          <w:rtl/>
        </w:rPr>
        <w:tab/>
        <w:t xml:space="preserve"> היה נראה לומר ששני שיטות של רבינא תלויים זה בזה. מדייק מרשות הבעל כיון שסובר שמשנה מדבר בלשון מאד פשוט. רשות הבעל אומר רשות הבעל. לכן, מוכרח שאם הוציא אותו לרשות הרבים, שאינו רשות הבעל פשוט, קנה. כמו כן, אז, יש לומר שהדמיון בין הגבהה להוצאה צריך להיות דמיון פשוט. כיון שבדרגה פשוטה אינם דומים כל כך, מוכרח שלא מכוון לדמות אותם. אז, אין ללמוד ממה שהם באותו בבא. ותחשב. ר"א החולק ג"כ הולך לשיטתו, שחולק על הנחה זו, וסובר שמשנה מדבר במילים יותר לומדישים.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FB911" w14:textId="77777777" w:rsidR="00467802" w:rsidRDefault="00467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D72A1" w14:textId="77777777" w:rsidR="00467802" w:rsidRDefault="00E06679">
    <w:pPr>
      <w:pStyle w:val="Header"/>
      <w:spacing w:before="567"/>
      <w:jc w:val="center"/>
      <w:rPr>
        <w:lang w:bidi="he-IL"/>
      </w:rPr>
    </w:pPr>
    <w:r>
      <w:rPr>
        <w:rtl/>
        <w:lang w:bidi="he-IL"/>
      </w:rPr>
      <w:t>ביאורים- גמרא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B25D" w14:textId="77777777" w:rsidR="00467802" w:rsidRDefault="00E06679">
    <w:pPr>
      <w:pStyle w:val="Header"/>
      <w:spacing w:before="567"/>
      <w:jc w:val="center"/>
      <w:rPr>
        <w:lang w:bidi="he-IL"/>
      </w:rPr>
    </w:pPr>
    <w:r>
      <w:rPr>
        <w:rtl/>
        <w:lang w:bidi="he-IL"/>
      </w:rPr>
      <w:t>ביאורים- גמרא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0BC6"/>
    <w:multiLevelType w:val="multilevel"/>
    <w:tmpl w:val="A028A3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A61325"/>
    <w:multiLevelType w:val="multilevel"/>
    <w:tmpl w:val="64D2403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3360344B"/>
    <w:multiLevelType w:val="multilevel"/>
    <w:tmpl w:val="AD7857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0BD4908"/>
    <w:multiLevelType w:val="multilevel"/>
    <w:tmpl w:val="E0DA91E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 w15:restartNumberingAfterBreak="0">
    <w:nsid w:val="47B11866"/>
    <w:multiLevelType w:val="multilevel"/>
    <w:tmpl w:val="752215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0B871DD"/>
    <w:multiLevelType w:val="multilevel"/>
    <w:tmpl w:val="03D2C88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6" w15:restartNumberingAfterBreak="0">
    <w:nsid w:val="5CBA1555"/>
    <w:multiLevelType w:val="multilevel"/>
    <w:tmpl w:val="2FD448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D443DAA"/>
    <w:multiLevelType w:val="multilevel"/>
    <w:tmpl w:val="C6540D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2AE77FD"/>
    <w:multiLevelType w:val="multilevel"/>
    <w:tmpl w:val="0BA8A5E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9" w15:restartNumberingAfterBreak="0">
    <w:nsid w:val="7D7A7B00"/>
    <w:multiLevelType w:val="multilevel"/>
    <w:tmpl w:val="141CD4BA"/>
    <w:lvl w:ilvl="0">
      <w:start w:val="1"/>
      <w:numFmt w:val="none"/>
      <w:suff w:val="nothing"/>
      <w:lvlText w:val=""/>
      <w:lvlJc w:val="left"/>
      <w:pPr>
        <w:tabs>
          <w:tab w:val="num" w:pos="0"/>
        </w:tabs>
        <w:ind w:left="0" w:firstLine="0"/>
      </w:pPr>
      <w:rPr>
        <w:rFonts w:cs="Symbol"/>
      </w:rPr>
    </w:lvl>
    <w:lvl w:ilvl="1">
      <w:start w:val="1"/>
      <w:numFmt w:val="none"/>
      <w:suff w:val="nothing"/>
      <w:lvlText w:val=""/>
      <w:lvlJc w:val="left"/>
      <w:pPr>
        <w:tabs>
          <w:tab w:val="num" w:pos="0"/>
        </w:tabs>
        <w:ind w:left="0" w:firstLine="0"/>
      </w:pPr>
      <w:rPr>
        <w:rFonts w:cs="OpenSymbol"/>
      </w:rPr>
    </w:lvl>
    <w:lvl w:ilvl="2">
      <w:start w:val="1"/>
      <w:numFmt w:val="none"/>
      <w:suff w:val="nothing"/>
      <w:lvlText w:val=""/>
      <w:lvlJc w:val="left"/>
      <w:pPr>
        <w:tabs>
          <w:tab w:val="num" w:pos="0"/>
        </w:tabs>
        <w:ind w:left="0" w:firstLine="0"/>
      </w:pPr>
      <w:rPr>
        <w:rFonts w:cs="OpenSymbol"/>
      </w:rPr>
    </w:lvl>
    <w:lvl w:ilvl="3">
      <w:start w:val="1"/>
      <w:numFmt w:val="none"/>
      <w:suff w:val="nothing"/>
      <w:lvlText w:val=""/>
      <w:lvlJc w:val="left"/>
      <w:pPr>
        <w:tabs>
          <w:tab w:val="num" w:pos="0"/>
        </w:tabs>
        <w:ind w:left="0" w:firstLine="0"/>
      </w:pPr>
      <w:rPr>
        <w:rFonts w:cs="Symbol"/>
      </w:rPr>
    </w:lvl>
    <w:lvl w:ilvl="4">
      <w:start w:val="1"/>
      <w:numFmt w:val="none"/>
      <w:suff w:val="nothing"/>
      <w:lvlText w:val=""/>
      <w:lvlJc w:val="left"/>
      <w:pPr>
        <w:tabs>
          <w:tab w:val="num" w:pos="0"/>
        </w:tabs>
        <w:ind w:left="0" w:firstLine="0"/>
      </w:pPr>
      <w:rPr>
        <w:rFonts w:cs="OpenSymbol"/>
      </w:rPr>
    </w:lvl>
    <w:lvl w:ilvl="5">
      <w:start w:val="1"/>
      <w:numFmt w:val="none"/>
      <w:suff w:val="nothing"/>
      <w:lvlText w:val=""/>
      <w:lvlJc w:val="left"/>
      <w:pPr>
        <w:tabs>
          <w:tab w:val="num" w:pos="0"/>
        </w:tabs>
        <w:ind w:left="0" w:firstLine="0"/>
      </w:pPr>
      <w:rPr>
        <w:rFonts w:cs="OpenSymbol"/>
      </w:rPr>
    </w:lvl>
    <w:lvl w:ilvl="6">
      <w:start w:val="1"/>
      <w:numFmt w:val="none"/>
      <w:suff w:val="nothing"/>
      <w:lvlText w:val=""/>
      <w:lvlJc w:val="left"/>
      <w:pPr>
        <w:tabs>
          <w:tab w:val="num" w:pos="0"/>
        </w:tabs>
        <w:ind w:left="0" w:firstLine="0"/>
      </w:pPr>
      <w:rPr>
        <w:rFonts w:cs="Symbol"/>
      </w:rPr>
    </w:lvl>
    <w:lvl w:ilvl="7">
      <w:start w:val="1"/>
      <w:numFmt w:val="none"/>
      <w:suff w:val="nothing"/>
      <w:lvlText w:val=""/>
      <w:lvlJc w:val="left"/>
      <w:pPr>
        <w:tabs>
          <w:tab w:val="num" w:pos="0"/>
        </w:tabs>
        <w:ind w:left="0" w:firstLine="0"/>
      </w:pPr>
      <w:rPr>
        <w:rFonts w:cs="OpenSymbol"/>
      </w:rPr>
    </w:lvl>
    <w:lvl w:ilvl="8">
      <w:start w:val="1"/>
      <w:numFmt w:val="none"/>
      <w:suff w:val="nothing"/>
      <w:lvlText w:val=""/>
      <w:lvlJc w:val="left"/>
      <w:pPr>
        <w:tabs>
          <w:tab w:val="num" w:pos="0"/>
        </w:tabs>
        <w:ind w:left="0" w:firstLine="0"/>
      </w:pPr>
      <w:rPr>
        <w:rFonts w:cs="OpenSymbol"/>
      </w:rPr>
    </w:lvl>
  </w:abstractNum>
  <w:abstractNum w:abstractNumId="10" w15:restartNumberingAfterBreak="0">
    <w:nsid w:val="7D7D744B"/>
    <w:multiLevelType w:val="multilevel"/>
    <w:tmpl w:val="78A853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9"/>
  </w:num>
  <w:num w:numId="2">
    <w:abstractNumId w:val="5"/>
  </w:num>
  <w:num w:numId="3">
    <w:abstractNumId w:val="1"/>
  </w:num>
  <w:num w:numId="4">
    <w:abstractNumId w:val="3"/>
  </w:num>
  <w:num w:numId="5">
    <w:abstractNumId w:val="8"/>
  </w:num>
  <w:num w:numId="6">
    <w:abstractNumId w:val="6"/>
  </w:num>
  <w:num w:numId="7">
    <w:abstractNumId w:val="7"/>
  </w:num>
  <w:num w:numId="8">
    <w:abstractNumId w:val="4"/>
  </w:num>
  <w:num w:numId="9">
    <w:abstractNumId w:val="0"/>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02"/>
    <w:rsid w:val="00467802"/>
    <w:rsid w:val="00572553"/>
    <w:rsid w:val="00882C0A"/>
    <w:rsid w:val="00901643"/>
    <w:rsid w:val="00A921C5"/>
    <w:rsid w:val="00E06679"/>
    <w:rsid w:val="00ED0DF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21E2"/>
  <w15:docId w15:val="{B8CF3BF9-C667-4AE0-9756-E0F4073F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BA"/>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rsid w:val="00512BBA"/>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rsid w:val="00A14BB8"/>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2" w:lineRule="auto"/>
      <w:ind w:left="1701"/>
      <w:outlineLvl w:val="5"/>
    </w:pPr>
    <w:rPr>
      <w:b/>
      <w:bCs/>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Bullets">
    <w:name w:val="Bullets"/>
    <w:qFormat/>
    <w:rPr>
      <w:rFonts w:ascii="OpenSymbol" w:eastAsia="OpenSymbol" w:hAnsi="OpenSymbol" w:cs="OpenSymbol"/>
    </w:rPr>
  </w:style>
  <w:style w:type="character" w:customStyle="1" w:styleId="FootnoteCharacters">
    <w:name w:val="Footnote Characters"/>
    <w:uiPriority w:val="99"/>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Heading5Char">
    <w:name w:val="Heading 5 Char"/>
    <w:basedOn w:val="DefaultParagraphFont"/>
    <w:link w:val="Heading5"/>
    <w:uiPriority w:val="9"/>
    <w:qFormat/>
    <w:rsid w:val="00A14BB8"/>
    <w:rPr>
      <w:rFonts w:ascii="Calibri Light" w:eastAsia="SimSun" w:hAnsi="Calibri Light" w:cs="DengXian Light"/>
      <w:color w:val="2F5496"/>
    </w:rPr>
  </w:style>
  <w:style w:type="character" w:customStyle="1" w:styleId="FootnoteTextChar">
    <w:name w:val="Footnote Text Char"/>
    <w:basedOn w:val="DefaultParagraphFont"/>
    <w:link w:val="FootnoteText"/>
    <w:uiPriority w:val="99"/>
    <w:qFormat/>
    <w:rsid w:val="00FE3B46"/>
    <w:rPr>
      <w:sz w:val="20"/>
      <w:szCs w:val="20"/>
    </w:rPr>
  </w:style>
  <w:style w:type="character" w:customStyle="1" w:styleId="a">
    <w:name w:val="תווי הערת סיום"/>
    <w:qFormat/>
    <w:rPr>
      <w:vertAlign w:val="superscript"/>
    </w:rPr>
  </w:style>
  <w:style w:type="character" w:customStyle="1" w:styleId="a0">
    <w:name w:val="תווי הערת שוליים"/>
    <w:qFormat/>
    <w:rPr>
      <w:vertAlign w:val="superscript"/>
    </w:rPr>
  </w:style>
  <w:style w:type="character" w:styleId="Hyperlink">
    <w:name w:val="Hyperlink"/>
    <w:rPr>
      <w:color w:val="000080"/>
      <w:u w:val="single"/>
    </w:rPr>
  </w:style>
  <w:style w:type="character" w:styleId="Strong">
    <w:name w:val="Strong"/>
    <w:qFormat/>
    <w:rPr>
      <w:b/>
    </w:rPr>
  </w:style>
  <w:style w:type="character" w:customStyle="1" w:styleId="Heading1Char">
    <w:name w:val="Heading 1 Char"/>
    <w:basedOn w:val="DefaultParagraphFont"/>
    <w:link w:val="Heading1"/>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qFormat/>
    <w:rPr>
      <w:rFonts w:ascii="Calibri Light" w:eastAsia="SimSun" w:hAnsi="Calibri Light" w:cs="DengXian Light"/>
      <w:color w:val="2F5496"/>
      <w:sz w:val="26"/>
      <w:szCs w:val="26"/>
    </w:rPr>
  </w:style>
  <w:style w:type="character" w:customStyle="1" w:styleId="Heading3Char">
    <w:name w:val="Heading 3 Char"/>
    <w:basedOn w:val="DefaultParagraphFont"/>
    <w:link w:val="Heading3"/>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a1">
    <w:name w:val="סמלי מספור"/>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HeaderChar">
    <w:name w:val="Header Char"/>
    <w:basedOn w:val="DefaultParagraphFont"/>
    <w:link w:val="Header"/>
    <w:uiPriority w:val="99"/>
    <w:qFormat/>
    <w:rsid w:val="000B7462"/>
    <w:rPr>
      <w:rFonts w:ascii="SBL Hebrew" w:eastAsia="Calibri" w:hAnsi="SBL Hebrew" w:cs="SBL Hebrew"/>
      <w:sz w:val="22"/>
      <w:szCs w:val="22"/>
      <w:lang w:val="en-US" w:eastAsia="en-US" w:bidi="ar-SA"/>
    </w:rPr>
  </w:style>
  <w:style w:type="character" w:customStyle="1" w:styleId="FooterChar">
    <w:name w:val="Footer Char"/>
    <w:basedOn w:val="DefaultParagraphFont"/>
    <w:link w:val="Footer"/>
    <w:qFormat/>
    <w:rsid w:val="000B7462"/>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pPr>
      <w:spacing w:line="240" w:lineRule="auto"/>
      <w:ind w:left="340" w:hanging="340"/>
    </w:pPr>
    <w:rPr>
      <w:rFonts w:cs="Guttman Rashi"/>
      <w:sz w:val="20"/>
      <w:szCs w:val="20"/>
    </w:rPr>
  </w:style>
  <w:style w:type="paragraph" w:styleId="ListParagraph">
    <w:name w:val="List Paragraph"/>
    <w:basedOn w:val="Normal"/>
    <w:uiPriority w:val="34"/>
    <w:qFormat/>
    <w:rsid w:val="00B83E60"/>
    <w:pPr>
      <w:suppressAutoHyphens w:val="0"/>
      <w:bidi w:val="0"/>
      <w:spacing w:before="0" w:after="160"/>
      <w:ind w:left="720"/>
      <w:contextualSpacing/>
    </w:pPr>
    <w:rPr>
      <w:rFonts w:asciiTheme="minorHAnsi" w:eastAsiaTheme="minorHAnsi" w:hAnsiTheme="minorHAnsi" w:cstheme="minorBidi"/>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link w:val="FooterCha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Header">
    <w:name w:val="header"/>
    <w:basedOn w:val="Normal"/>
    <w:link w:val="HeaderChar"/>
    <w:uiPriority w:val="99"/>
    <w:unhideWhenUsed/>
    <w:rsid w:val="000B7462"/>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6E309-F0FF-43AB-B298-11F2A2E15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1631</TotalTime>
  <Pages>31</Pages>
  <Words>3166</Words>
  <Characters>18047</Characters>
  <Application>Microsoft Office Word</Application>
  <DocSecurity>0</DocSecurity>
  <Lines>150</Lines>
  <Paragraphs>42</Paragraphs>
  <ScaleCrop>false</ScaleCrop>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147</cp:revision>
  <dcterms:created xsi:type="dcterms:W3CDTF">2024-04-03T12:21:00Z</dcterms:created>
  <dcterms:modified xsi:type="dcterms:W3CDTF">2024-08-01T19:11:00Z</dcterms:modified>
  <dc:language>en-US</dc:language>
</cp:coreProperties>
</file>