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3DBB" w14:textId="77777777" w:rsidR="006B0477" w:rsidRDefault="00BF773E">
      <w:pPr>
        <w:pStyle w:val="Heading1"/>
        <w:rPr>
          <w:rFonts w:cs="Calibri Light"/>
          <w:szCs w:val="32"/>
        </w:rPr>
      </w:pPr>
      <w:r>
        <w:rPr>
          <w:rFonts w:ascii="Shofar" w:hAnsi="Shofar"/>
          <w:sz w:val="22"/>
          <w:rtl/>
        </w:rPr>
        <w:t>ביאור תוס</w:t>
      </w:r>
      <w:r>
        <w:rPr>
          <w:rFonts w:cs="Calibri Light"/>
          <w:szCs w:val="32"/>
          <w:rtl/>
        </w:rPr>
        <w:t xml:space="preserve">' </w:t>
      </w:r>
      <w:r>
        <w:rPr>
          <w:rFonts w:ascii="Shofar" w:hAnsi="Shofar"/>
          <w:sz w:val="22"/>
          <w:rtl/>
        </w:rPr>
        <w:t>ד</w:t>
      </w:r>
      <w:r>
        <w:rPr>
          <w:rFonts w:cs="Calibri Light"/>
          <w:szCs w:val="32"/>
          <w:rtl/>
        </w:rPr>
        <w:t>"</w:t>
      </w:r>
      <w:r>
        <w:rPr>
          <w:rFonts w:ascii="Shofar" w:hAnsi="Shofar"/>
          <w:sz w:val="22"/>
          <w:rtl/>
        </w:rPr>
        <w:t>ה שהגביהו</w:t>
      </w:r>
      <w:r>
        <w:rPr>
          <w:rFonts w:cs="Calibri Light"/>
          <w:szCs w:val="32"/>
          <w:rtl/>
        </w:rPr>
        <w:t>:</w:t>
      </w:r>
    </w:p>
    <w:p w14:paraId="7106F00B" w14:textId="77777777" w:rsidR="006B0477" w:rsidRDefault="00BF773E">
      <w:pPr>
        <w:pStyle w:val="Heading2"/>
        <w:rPr>
          <w:rFonts w:cs="Calibri Light"/>
          <w:szCs w:val="26"/>
        </w:rPr>
      </w:pPr>
      <w:r>
        <w:rPr>
          <w:rFonts w:ascii="Shofar" w:hAnsi="Shofar"/>
          <w:sz w:val="22"/>
          <w:rtl/>
        </w:rPr>
        <w:t>קושיית תוס</w:t>
      </w:r>
      <w:r>
        <w:rPr>
          <w:rFonts w:cs="Calibri Light"/>
          <w:szCs w:val="26"/>
          <w:rtl/>
        </w:rPr>
        <w:t>':</w:t>
      </w:r>
    </w:p>
    <w:p w14:paraId="3233D048" w14:textId="77777777" w:rsidR="006B0477" w:rsidRPr="000A167E" w:rsidRDefault="00BF773E">
      <w:pPr>
        <w:pStyle w:val="western"/>
        <w:spacing w:before="115" w:beforeAutospacing="0" w:after="115" w:line="259" w:lineRule="auto"/>
        <w:rPr>
          <w:rFonts w:cs="Guttman Rashi"/>
        </w:rPr>
      </w:pPr>
      <w:r w:rsidRPr="000A167E">
        <w:rPr>
          <w:rFonts w:ascii="Shofar" w:hAnsi="Shofar" w:cs="Guttman Rashi"/>
          <w:rtl/>
        </w:rPr>
        <w:t>גמ</w:t>
      </w:r>
      <w:r w:rsidRPr="000A167E">
        <w:rPr>
          <w:rFonts w:cs="Guttman Rashi"/>
          <w:rtl/>
        </w:rPr>
        <w:t xml:space="preserve">' </w:t>
      </w:r>
      <w:r w:rsidRPr="000A167E">
        <w:rPr>
          <w:rFonts w:ascii="Shofar" w:hAnsi="Shofar" w:cs="Guttman Rashi"/>
          <w:rtl/>
        </w:rPr>
        <w:t xml:space="preserve">מבאר שהציור שאף לפי רבי אבין יחייב הוא כשמגביה אותו על מנת להצניעו </w:t>
      </w:r>
      <w:r w:rsidRPr="000A167E">
        <w:rPr>
          <w:rFonts w:cs="Guttman Rashi"/>
          <w:rtl/>
        </w:rPr>
        <w:t>(</w:t>
      </w:r>
      <w:r w:rsidRPr="000A167E">
        <w:rPr>
          <w:rFonts w:ascii="Shofar" w:hAnsi="Shofar" w:cs="Guttman Rashi"/>
          <w:rtl/>
        </w:rPr>
        <w:t>שלא על מנת להוציאו</w:t>
      </w:r>
      <w:r w:rsidRPr="000A167E">
        <w:rPr>
          <w:rFonts w:cs="Guttman Rashi"/>
          <w:rtl/>
        </w:rPr>
        <w:t xml:space="preserve">). </w:t>
      </w:r>
      <w:r w:rsidRPr="000A167E">
        <w:rPr>
          <w:rFonts w:ascii="Shofar" w:hAnsi="Shofar" w:cs="Guttman Rashi"/>
          <w:rtl/>
        </w:rPr>
        <w:t>מקשה תוס</w:t>
      </w:r>
      <w:r w:rsidRPr="000A167E">
        <w:rPr>
          <w:rFonts w:cs="Guttman Rashi"/>
          <w:rtl/>
        </w:rPr>
        <w:t xml:space="preserve">' </w:t>
      </w:r>
      <w:r w:rsidRPr="000A167E">
        <w:rPr>
          <w:rFonts w:ascii="Shofar" w:hAnsi="Shofar" w:cs="Guttman Rashi"/>
          <w:rtl/>
        </w:rPr>
        <w:t>שנמצא שסובר גמ</w:t>
      </w:r>
      <w:r w:rsidRPr="000A167E">
        <w:rPr>
          <w:rFonts w:cs="Guttman Rashi"/>
          <w:rtl/>
        </w:rPr>
        <w:t xml:space="preserve">' </w:t>
      </w:r>
      <w:r w:rsidRPr="000A167E">
        <w:rPr>
          <w:rFonts w:ascii="Shofar" w:hAnsi="Shofar" w:cs="Guttman Rashi"/>
          <w:rtl/>
        </w:rPr>
        <w:t>שעל הוצאה כזה חייב</w:t>
      </w:r>
      <w:r w:rsidRPr="000A167E">
        <w:rPr>
          <w:rFonts w:cs="Guttman Rashi"/>
          <w:rtl/>
        </w:rPr>
        <w:t xml:space="preserve">. </w:t>
      </w:r>
      <w:r w:rsidRPr="000A167E">
        <w:rPr>
          <w:rFonts w:ascii="Shofar" w:hAnsi="Shofar" w:cs="Guttman Rashi"/>
          <w:rtl/>
        </w:rPr>
        <w:t>אז</w:t>
      </w:r>
      <w:r w:rsidRPr="000A167E">
        <w:rPr>
          <w:rFonts w:cs="Guttman Rashi"/>
          <w:rtl/>
        </w:rPr>
        <w:t xml:space="preserve">, </w:t>
      </w:r>
      <w:r w:rsidRPr="000A167E">
        <w:rPr>
          <w:rFonts w:ascii="Shofar" w:hAnsi="Shofar" w:cs="Guttman Rashi"/>
          <w:rtl/>
        </w:rPr>
        <w:t>צריך לומר שאף עם עקירה כזה חייב</w:t>
      </w:r>
      <w:r w:rsidRPr="000A167E">
        <w:rPr>
          <w:rFonts w:cs="Guttman Rashi"/>
          <w:rtl/>
        </w:rPr>
        <w:t>. (</w:t>
      </w:r>
      <w:r w:rsidRPr="000A167E">
        <w:rPr>
          <w:rFonts w:ascii="Shofar" w:hAnsi="Shofar" w:cs="Guttman Rashi"/>
          <w:rtl/>
        </w:rPr>
        <w:t>יש לדון למה</w:t>
      </w:r>
      <w:r w:rsidRPr="000A167E">
        <w:rPr>
          <w:rFonts w:cs="Guttman Rashi"/>
          <w:rtl/>
        </w:rPr>
        <w:t xml:space="preserve">. </w:t>
      </w:r>
      <w:r w:rsidRPr="000A167E">
        <w:rPr>
          <w:rFonts w:ascii="Shofar" w:hAnsi="Shofar" w:cs="Guttman Rashi"/>
          <w:rtl/>
        </w:rPr>
        <w:t>אפשר שלא צריך כוונה בעקירה</w:t>
      </w:r>
      <w:r w:rsidRPr="000A167E">
        <w:rPr>
          <w:rFonts w:cs="Guttman Rashi"/>
          <w:rtl/>
        </w:rPr>
        <w:t xml:space="preserve">, </w:t>
      </w:r>
      <w:r w:rsidRPr="000A167E">
        <w:rPr>
          <w:rFonts w:ascii="Shofar" w:hAnsi="Shofar" w:cs="Guttman Rashi"/>
          <w:rtl/>
        </w:rPr>
        <w:t>ואפשר שכיון שמכוון להוציא אותו ממקומו המדויק</w:t>
      </w:r>
      <w:r w:rsidRPr="000A167E">
        <w:rPr>
          <w:rFonts w:cs="Guttman Rashi"/>
          <w:rtl/>
        </w:rPr>
        <w:t xml:space="preserve">, </w:t>
      </w:r>
      <w:r w:rsidRPr="000A167E">
        <w:rPr>
          <w:rFonts w:ascii="Shofar" w:hAnsi="Shofar" w:cs="Guttman Rashi"/>
          <w:rtl/>
        </w:rPr>
        <w:t>יש כוונה מספקת</w:t>
      </w:r>
      <w:r w:rsidRPr="000A167E">
        <w:rPr>
          <w:rFonts w:cs="Guttman Rashi"/>
          <w:rtl/>
        </w:rPr>
        <w:t xml:space="preserve">, </w:t>
      </w:r>
      <w:r w:rsidRPr="000A167E">
        <w:rPr>
          <w:rFonts w:ascii="Shofar" w:hAnsi="Shofar" w:cs="Guttman Rashi"/>
          <w:rtl/>
        </w:rPr>
        <w:t>או שבכל זמן שאדם עוקר</w:t>
      </w:r>
      <w:r w:rsidRPr="000A167E">
        <w:rPr>
          <w:rFonts w:cs="Guttman Rashi"/>
          <w:rtl/>
        </w:rPr>
        <w:t xml:space="preserve">, </w:t>
      </w:r>
      <w:r w:rsidRPr="000A167E">
        <w:rPr>
          <w:rFonts w:ascii="Shofar" w:hAnsi="Shofar" w:cs="Guttman Rashi"/>
          <w:rtl/>
        </w:rPr>
        <w:t>כוונתו העיקרית היא שעוקר כדי שיהיה בידים שלו</w:t>
      </w:r>
      <w:r w:rsidRPr="000A167E">
        <w:rPr>
          <w:rFonts w:cs="Guttman Rashi"/>
          <w:rtl/>
        </w:rPr>
        <w:t xml:space="preserve">, </w:t>
      </w:r>
      <w:r w:rsidRPr="000A167E">
        <w:rPr>
          <w:rFonts w:ascii="Shofar" w:hAnsi="Shofar" w:cs="Guttman Rashi"/>
          <w:rtl/>
        </w:rPr>
        <w:t>כדי שיעשה עמו מה שרוצה</w:t>
      </w:r>
      <w:r w:rsidRPr="000A167E">
        <w:rPr>
          <w:rFonts w:cs="Guttman Rashi"/>
          <w:rtl/>
        </w:rPr>
        <w:t xml:space="preserve">, </w:t>
      </w:r>
      <w:r w:rsidRPr="000A167E">
        <w:rPr>
          <w:rFonts w:ascii="Shofar" w:hAnsi="Shofar" w:cs="Guttman Rashi"/>
          <w:rtl/>
        </w:rPr>
        <w:t>ואז יש לו כוונה הראוייה</w:t>
      </w:r>
      <w:r w:rsidRPr="000A167E">
        <w:rPr>
          <w:rFonts w:cs="Guttman Rashi"/>
          <w:rtl/>
        </w:rPr>
        <w:t xml:space="preserve">.) </w:t>
      </w:r>
      <w:r w:rsidRPr="000A167E">
        <w:rPr>
          <w:rFonts w:ascii="Shofar" w:hAnsi="Shofar" w:cs="Guttman Rashi"/>
          <w:rtl/>
        </w:rPr>
        <w:t>אז</w:t>
      </w:r>
      <w:r w:rsidRPr="000A167E">
        <w:rPr>
          <w:rFonts w:cs="Guttman Rashi"/>
          <w:rtl/>
        </w:rPr>
        <w:t xml:space="preserve">, </w:t>
      </w:r>
      <w:r w:rsidRPr="000A167E">
        <w:rPr>
          <w:rFonts w:ascii="Shofar" w:hAnsi="Shofar" w:cs="Guttman Rashi"/>
          <w:rtl/>
        </w:rPr>
        <w:t>נמצא שעקירה ראשונה היא העקירה</w:t>
      </w:r>
      <w:r w:rsidRPr="000A167E">
        <w:rPr>
          <w:rFonts w:cs="Guttman Rashi"/>
          <w:rtl/>
        </w:rPr>
        <w:t xml:space="preserve">, </w:t>
      </w:r>
      <w:r w:rsidRPr="000A167E">
        <w:rPr>
          <w:rFonts w:ascii="Shofar" w:hAnsi="Shofar" w:cs="Guttman Rashi"/>
          <w:rtl/>
        </w:rPr>
        <w:t>ועדיין נוכל להקשות שעקירה צורך הנחה היא</w:t>
      </w:r>
      <w:r w:rsidRPr="000A167E">
        <w:rPr>
          <w:rFonts w:cs="Guttman Rashi"/>
          <w:rtl/>
        </w:rPr>
        <w:t>.</w:t>
      </w:r>
    </w:p>
    <w:p w14:paraId="08CA2C5B" w14:textId="77777777" w:rsidR="006B0477" w:rsidRPr="000A167E" w:rsidRDefault="00BF773E">
      <w:pPr>
        <w:pStyle w:val="western"/>
        <w:spacing w:before="115" w:beforeAutospacing="0" w:after="115" w:line="259" w:lineRule="auto"/>
        <w:rPr>
          <w:rFonts w:cs="Guttman Rashi"/>
        </w:rPr>
      </w:pPr>
      <w:r w:rsidRPr="000A167E">
        <w:rPr>
          <w:rFonts w:ascii="Shofar" w:hAnsi="Shofar" w:cs="Guttman Rashi"/>
          <w:rtl/>
        </w:rPr>
        <w:t xml:space="preserve">היה אפשר לדחות שעקירה מצטרף רק כשיש עקירה </w:t>
      </w:r>
      <w:r w:rsidRPr="000A167E">
        <w:rPr>
          <w:rFonts w:cs="Guttman Rashi"/>
          <w:rtl/>
        </w:rPr>
        <w:t>(</w:t>
      </w:r>
      <w:r w:rsidRPr="000A167E">
        <w:rPr>
          <w:rFonts w:ascii="Shofar" w:hAnsi="Shofar" w:cs="Guttman Rashi"/>
          <w:rtl/>
        </w:rPr>
        <w:t>עם כוונה נכונה</w:t>
      </w:r>
      <w:r w:rsidRPr="000A167E">
        <w:rPr>
          <w:rFonts w:cs="Guttman Rashi"/>
          <w:rtl/>
        </w:rPr>
        <w:t xml:space="preserve">). </w:t>
      </w:r>
      <w:r w:rsidRPr="000A167E">
        <w:rPr>
          <w:rFonts w:ascii="Shofar" w:hAnsi="Shofar" w:cs="Guttman Rashi"/>
          <w:rtl/>
        </w:rPr>
        <w:t>אז</w:t>
      </w:r>
      <w:r w:rsidRPr="000A167E">
        <w:rPr>
          <w:rFonts w:cs="Guttman Rashi"/>
          <w:rtl/>
        </w:rPr>
        <w:t xml:space="preserve">, </w:t>
      </w:r>
      <w:r w:rsidRPr="000A167E">
        <w:rPr>
          <w:rFonts w:ascii="Shofar" w:hAnsi="Shofar" w:cs="Guttman Rashi"/>
          <w:rtl/>
        </w:rPr>
        <w:t>כאן</w:t>
      </w:r>
      <w:r w:rsidRPr="000A167E">
        <w:rPr>
          <w:rFonts w:cs="Guttman Rashi"/>
          <w:rtl/>
        </w:rPr>
        <w:t xml:space="preserve">, </w:t>
      </w:r>
      <w:r w:rsidRPr="000A167E">
        <w:rPr>
          <w:rFonts w:ascii="Shofar" w:hAnsi="Shofar" w:cs="Guttman Rashi"/>
          <w:rtl/>
        </w:rPr>
        <w:t>שאין כוונה בעקירה</w:t>
      </w:r>
      <w:r w:rsidRPr="000A167E">
        <w:rPr>
          <w:rFonts w:cs="Guttman Rashi"/>
          <w:rtl/>
        </w:rPr>
        <w:t xml:space="preserve">, </w:t>
      </w:r>
      <w:r w:rsidRPr="000A167E">
        <w:rPr>
          <w:rFonts w:ascii="Shofar" w:hAnsi="Shofar" w:cs="Guttman Rashi"/>
          <w:rtl/>
        </w:rPr>
        <w:t>לא צריכים עקירה</w:t>
      </w:r>
      <w:r w:rsidRPr="000A167E">
        <w:rPr>
          <w:rFonts w:cs="Guttman Rashi"/>
          <w:rtl/>
        </w:rPr>
        <w:t xml:space="preserve">, </w:t>
      </w:r>
      <w:r w:rsidRPr="000A167E">
        <w:rPr>
          <w:rFonts w:ascii="Shofar" w:hAnsi="Shofar" w:cs="Guttman Rashi"/>
          <w:rtl/>
        </w:rPr>
        <w:t>ואין עקירה חלק מן ההוצאה</w:t>
      </w:r>
      <w:r w:rsidRPr="000A167E">
        <w:rPr>
          <w:rFonts w:cs="Guttman Rashi"/>
          <w:rtl/>
        </w:rPr>
        <w:t xml:space="preserve">. </w:t>
      </w:r>
      <w:r w:rsidRPr="000A167E">
        <w:rPr>
          <w:rFonts w:ascii="Shofar" w:hAnsi="Shofar" w:cs="Guttman Rashi"/>
          <w:rtl/>
        </w:rPr>
        <w:t>אבל</w:t>
      </w:r>
      <w:r w:rsidRPr="000A167E">
        <w:rPr>
          <w:rFonts w:cs="Guttman Rashi"/>
          <w:rtl/>
        </w:rPr>
        <w:t xml:space="preserve">, </w:t>
      </w:r>
      <w:r w:rsidRPr="000A167E">
        <w:rPr>
          <w:rFonts w:ascii="Shofar" w:hAnsi="Shofar" w:cs="Guttman Rashi"/>
          <w:rtl/>
        </w:rPr>
        <w:t>כשיש עקירת חיוב</w:t>
      </w:r>
      <w:r w:rsidRPr="000A167E">
        <w:rPr>
          <w:rFonts w:cs="Guttman Rashi"/>
          <w:rtl/>
        </w:rPr>
        <w:t xml:space="preserve">, </w:t>
      </w:r>
      <w:r w:rsidRPr="000A167E">
        <w:rPr>
          <w:rFonts w:ascii="Shofar" w:hAnsi="Shofar" w:cs="Guttman Rashi"/>
          <w:rtl/>
        </w:rPr>
        <w:t>זה חלק מן המחייב</w:t>
      </w:r>
      <w:r w:rsidRPr="000A167E">
        <w:rPr>
          <w:rFonts w:cs="Guttman Rashi"/>
          <w:rtl/>
        </w:rPr>
        <w:t xml:space="preserve">, </w:t>
      </w:r>
      <w:r w:rsidRPr="000A167E">
        <w:rPr>
          <w:rFonts w:ascii="Shofar" w:hAnsi="Shofar" w:cs="Guttman Rashi"/>
          <w:rtl/>
        </w:rPr>
        <w:t>וחלק מאותו מעשה</w:t>
      </w:r>
      <w:r w:rsidRPr="000A167E">
        <w:rPr>
          <w:rFonts w:cs="Guttman Rashi"/>
          <w:rtl/>
        </w:rPr>
        <w:t xml:space="preserve">. </w:t>
      </w:r>
      <w:r w:rsidRPr="000A167E">
        <w:rPr>
          <w:rFonts w:ascii="Shofar" w:hAnsi="Shofar" w:cs="Guttman Rashi"/>
          <w:rtl/>
        </w:rPr>
        <w:t>ותחשב</w:t>
      </w:r>
      <w:r w:rsidRPr="000A167E">
        <w:rPr>
          <w:rFonts w:cs="Guttman Rashi"/>
          <w:rtl/>
        </w:rPr>
        <w:t>. (</w:t>
      </w:r>
      <w:r w:rsidRPr="000A167E">
        <w:rPr>
          <w:rFonts w:ascii="Shofar" w:hAnsi="Shofar" w:cs="Guttman Rashi"/>
          <w:rtl/>
        </w:rPr>
        <w:t>אבל</w:t>
      </w:r>
      <w:r w:rsidRPr="000A167E">
        <w:rPr>
          <w:rFonts w:cs="Guttman Rashi"/>
          <w:rtl/>
        </w:rPr>
        <w:t xml:space="preserve">, </w:t>
      </w:r>
      <w:r w:rsidRPr="000A167E">
        <w:rPr>
          <w:rFonts w:ascii="Shofar" w:hAnsi="Shofar" w:cs="Guttman Rashi"/>
          <w:rtl/>
        </w:rPr>
        <w:t>עדיין צריכים שום עקירה להתחייב</w:t>
      </w:r>
      <w:r w:rsidRPr="000A167E">
        <w:rPr>
          <w:rFonts w:cs="Guttman Rashi"/>
          <w:rtl/>
        </w:rPr>
        <w:t xml:space="preserve">; </w:t>
      </w:r>
      <w:r w:rsidRPr="000A167E">
        <w:rPr>
          <w:rFonts w:ascii="Shofar" w:hAnsi="Shofar" w:cs="Guttman Rashi"/>
          <w:rtl/>
        </w:rPr>
        <w:t>מסתמא מה שיש עקירה משנה את ההנחה</w:t>
      </w:r>
      <w:r w:rsidRPr="000A167E">
        <w:rPr>
          <w:rFonts w:cs="Guttman Rashi"/>
          <w:rtl/>
        </w:rPr>
        <w:t xml:space="preserve">. </w:t>
      </w:r>
      <w:r w:rsidRPr="000A167E">
        <w:rPr>
          <w:rFonts w:ascii="Shofar" w:hAnsi="Shofar" w:cs="Guttman Rashi"/>
          <w:rtl/>
        </w:rPr>
        <w:t>אבל</w:t>
      </w:r>
      <w:r w:rsidRPr="000A167E">
        <w:rPr>
          <w:rFonts w:cs="Guttman Rashi"/>
          <w:rtl/>
        </w:rPr>
        <w:t xml:space="preserve">, </w:t>
      </w:r>
      <w:r w:rsidRPr="000A167E">
        <w:rPr>
          <w:rFonts w:ascii="Shofar" w:hAnsi="Shofar" w:cs="Guttman Rashi"/>
          <w:rtl/>
        </w:rPr>
        <w:t>זה לא די לעשות שהוא צורך הנחה</w:t>
      </w:r>
      <w:r w:rsidRPr="000A167E">
        <w:rPr>
          <w:rFonts w:cs="Guttman Rashi"/>
          <w:rtl/>
        </w:rPr>
        <w:t>.)</w:t>
      </w:r>
    </w:p>
    <w:p w14:paraId="4F145C80" w14:textId="77777777" w:rsidR="006B0477" w:rsidRPr="000A167E" w:rsidRDefault="00BF773E">
      <w:pPr>
        <w:pStyle w:val="western"/>
        <w:spacing w:before="115" w:beforeAutospacing="0" w:after="115" w:line="259" w:lineRule="auto"/>
        <w:rPr>
          <w:rFonts w:cs="Guttman Rashi"/>
        </w:rPr>
      </w:pPr>
      <w:r w:rsidRPr="000A167E">
        <w:rPr>
          <w:rFonts w:ascii="Shofar" w:hAnsi="Shofar" w:cs="Guttman Rashi"/>
          <w:rtl/>
        </w:rPr>
        <w:t>גם אפשר לדחות שמה שעושה שלא אומרים שעקירה צורך הנחה אינו מה שעקירה זו אינה עקירה של החיוב</w:t>
      </w:r>
      <w:r w:rsidRPr="000A167E">
        <w:rPr>
          <w:rFonts w:cs="Guttman Rashi"/>
          <w:rtl/>
        </w:rPr>
        <w:t xml:space="preserve">, </w:t>
      </w:r>
      <w:r w:rsidRPr="000A167E">
        <w:rPr>
          <w:rFonts w:ascii="Shofar" w:hAnsi="Shofar" w:cs="Guttman Rashi"/>
          <w:rtl/>
        </w:rPr>
        <w:t>אלא שיש חילוק אחר ביניהם</w:t>
      </w:r>
      <w:r w:rsidRPr="000A167E">
        <w:rPr>
          <w:rFonts w:cs="Guttman Rashi"/>
          <w:rtl/>
        </w:rPr>
        <w:t xml:space="preserve">- </w:t>
      </w:r>
      <w:r w:rsidRPr="000A167E">
        <w:rPr>
          <w:rFonts w:ascii="Shofar" w:hAnsi="Shofar" w:cs="Guttman Rashi"/>
          <w:rtl/>
        </w:rPr>
        <w:t>שהיה שינוי דעת ביניהם</w:t>
      </w:r>
      <w:r w:rsidRPr="000A167E">
        <w:rPr>
          <w:rFonts w:cs="Guttman Rashi"/>
          <w:rtl/>
        </w:rPr>
        <w:t xml:space="preserve">. </w:t>
      </w:r>
      <w:r w:rsidRPr="000A167E">
        <w:rPr>
          <w:rFonts w:ascii="Shofar" w:hAnsi="Shofar" w:cs="Guttman Rashi"/>
          <w:rtl/>
        </w:rPr>
        <w:t>ותחשב</w:t>
      </w:r>
      <w:r w:rsidRPr="000A167E">
        <w:rPr>
          <w:rFonts w:cs="Guttman Rashi"/>
          <w:rtl/>
        </w:rPr>
        <w:t>. (יש לומר את זה לשני פנים- אולי יש הרחק ביניהם כיון שלא היו אותו דעת או אולי בדרך כלל יש עוד יחס בין שניהם, במה שראשון נעשה לשני, מה שאין כן כאן.)</w:t>
      </w:r>
    </w:p>
    <w:p w14:paraId="5B2D723D" w14:textId="77777777" w:rsidR="006B0477" w:rsidRDefault="00BF773E">
      <w:pPr>
        <w:pStyle w:val="Heading2"/>
        <w:rPr>
          <w:rFonts w:cs="Calibri Light"/>
          <w:szCs w:val="26"/>
        </w:rPr>
      </w:pPr>
      <w:r>
        <w:rPr>
          <w:rFonts w:ascii="Shofar" w:hAnsi="Shofar"/>
          <w:sz w:val="22"/>
          <w:rtl/>
        </w:rPr>
        <w:t>תי</w:t>
      </w:r>
      <w:r>
        <w:rPr>
          <w:rFonts w:cs="Calibri Light"/>
          <w:szCs w:val="26"/>
          <w:rtl/>
        </w:rPr>
        <w:t xml:space="preserve">' </w:t>
      </w:r>
      <w:r>
        <w:rPr>
          <w:rFonts w:ascii="Shofar" w:hAnsi="Shofar"/>
          <w:sz w:val="22"/>
          <w:rtl/>
        </w:rPr>
        <w:t>תוס</w:t>
      </w:r>
      <w:r>
        <w:rPr>
          <w:rFonts w:cs="Calibri Light"/>
          <w:szCs w:val="26"/>
          <w:rtl/>
        </w:rPr>
        <w:t>':</w:t>
      </w:r>
    </w:p>
    <w:p w14:paraId="798482E5" w14:textId="77777777" w:rsidR="006B0477" w:rsidRPr="000A167E" w:rsidRDefault="00BF773E">
      <w:pPr>
        <w:pStyle w:val="western"/>
        <w:spacing w:before="115" w:beforeAutospacing="0" w:after="115" w:line="259" w:lineRule="auto"/>
        <w:rPr>
          <w:rFonts w:ascii="Shofar" w:hAnsi="Shofar" w:cs="Guttman Rashi"/>
        </w:rPr>
      </w:pPr>
      <w:r w:rsidRPr="000A167E">
        <w:rPr>
          <w:rFonts w:ascii="Shofar" w:hAnsi="Shofar" w:cs="Guttman Rashi"/>
          <w:rtl/>
        </w:rPr>
        <w:t xml:space="preserve">תוס' תי' שלא סובר הגמ' שחייב מחמת עקירה ראשונה, אלא שחייב מחמת עקירה של שעת שינוי דעתו. ואם תאמר לא עקר אותו ממקום מונח. ונראה שכיון שכוון להניח אותו באותו רשות, הוא כמונח שם, שהוא עומד להיות מונח </w:t>
      </w:r>
      <w:r w:rsidRPr="000A167E">
        <w:rPr>
          <w:rFonts w:ascii="Shofar" w:hAnsi="Shofar" w:cs="Guttman Rashi"/>
          <w:rtl/>
        </w:rPr>
        <w:lastRenderedPageBreak/>
        <w:t>שם, בלי יציאה מן הרשות. גם אפשר שעקירה לא טוען שיהיה מונח, אלא טוען שיעשה בו שינוי גדול. שינוי בדעתו- איפה להוציא אותו- מספיק. זה נראה מחודש, וקשה להגדיר אותו. וצריך לחשוב על זה.</w:t>
      </w:r>
    </w:p>
    <w:p w14:paraId="6B9E8B3E" w14:textId="77777777" w:rsidR="006B0477" w:rsidRDefault="00BF773E">
      <w:pPr>
        <w:pStyle w:val="Heading1"/>
        <w:rPr>
          <w:rFonts w:cs="Calibri Light"/>
          <w:szCs w:val="32"/>
        </w:rPr>
      </w:pPr>
      <w:r>
        <w:rPr>
          <w:rFonts w:ascii="Shofar" w:hAnsi="Shofar"/>
          <w:sz w:val="22"/>
          <w:rtl/>
        </w:rPr>
        <w:t>ביאור תוס</w:t>
      </w:r>
      <w:r>
        <w:rPr>
          <w:rFonts w:cs="Calibri Light"/>
          <w:szCs w:val="32"/>
          <w:rtl/>
        </w:rPr>
        <w:t xml:space="preserve">' </w:t>
      </w:r>
      <w:r>
        <w:rPr>
          <w:rFonts w:ascii="Shofar" w:hAnsi="Shofar"/>
          <w:sz w:val="22"/>
          <w:rtl/>
        </w:rPr>
        <w:t>ד</w:t>
      </w:r>
      <w:r>
        <w:rPr>
          <w:rFonts w:cs="Calibri Light"/>
          <w:szCs w:val="32"/>
          <w:rtl/>
        </w:rPr>
        <w:t>"</w:t>
      </w:r>
      <w:r>
        <w:rPr>
          <w:rFonts w:ascii="Shofar" w:hAnsi="Shofar"/>
          <w:sz w:val="22"/>
          <w:rtl/>
        </w:rPr>
        <w:t>ה אבל לכתף מאי</w:t>
      </w:r>
      <w:r>
        <w:rPr>
          <w:rFonts w:cs="Calibri Light"/>
          <w:szCs w:val="32"/>
          <w:rtl/>
        </w:rPr>
        <w:t>:</w:t>
      </w:r>
    </w:p>
    <w:p w14:paraId="3C50B3B3" w14:textId="77777777" w:rsidR="006B0477" w:rsidRDefault="00BF773E">
      <w:pPr>
        <w:pStyle w:val="Heading2"/>
        <w:rPr>
          <w:rFonts w:cs="Calibri Light"/>
          <w:szCs w:val="26"/>
        </w:rPr>
      </w:pPr>
      <w:r>
        <w:rPr>
          <w:rFonts w:ascii="Shofar" w:hAnsi="Shofar"/>
          <w:sz w:val="22"/>
          <w:rtl/>
        </w:rPr>
        <w:t>הערת תוס</w:t>
      </w:r>
      <w:r>
        <w:rPr>
          <w:rFonts w:cs="Calibri Light"/>
          <w:szCs w:val="26"/>
          <w:rtl/>
        </w:rPr>
        <w:t>':</w:t>
      </w:r>
    </w:p>
    <w:p w14:paraId="7F0A9C56" w14:textId="77777777" w:rsidR="006B0477" w:rsidRPr="000A167E" w:rsidRDefault="00BF773E">
      <w:pPr>
        <w:pStyle w:val="western"/>
        <w:spacing w:before="115" w:beforeAutospacing="0" w:after="115" w:line="259" w:lineRule="auto"/>
        <w:rPr>
          <w:rFonts w:ascii="Shofar" w:hAnsi="Shofar" w:cs="Guttman Rashi"/>
        </w:rPr>
      </w:pPr>
      <w:r w:rsidRPr="000A167E">
        <w:rPr>
          <w:rFonts w:ascii="Shofar" w:hAnsi="Shofar" w:cs="Guttman Rashi"/>
          <w:rtl/>
        </w:rPr>
        <w:t>גמ' מבאר שאם עמד בינתיים, צריך להיות שעמד לפוש, ולא שעמד לכתף. אז, מקשה שהסיפא יכול להיות כשעמד לכתף; לכן, מה שלא שנה את הסיפא כן משמע שלא כרבי אבין.</w:t>
      </w:r>
    </w:p>
    <w:p w14:paraId="551C85ED" w14:textId="77777777" w:rsidR="006B0477" w:rsidRPr="000A167E" w:rsidRDefault="00BF773E">
      <w:pPr>
        <w:pStyle w:val="western"/>
        <w:spacing w:before="115" w:beforeAutospacing="0" w:after="115" w:line="259" w:lineRule="auto"/>
        <w:rPr>
          <w:rFonts w:ascii="Shofar" w:hAnsi="Shofar" w:cs="Guttman Rashi"/>
        </w:rPr>
      </w:pPr>
      <w:r w:rsidRPr="000A167E">
        <w:rPr>
          <w:rFonts w:ascii="Shofar" w:hAnsi="Shofar" w:cs="Guttman Rashi"/>
          <w:rtl/>
        </w:rPr>
        <w:t>תוס' מעורר שבין כך ובין כך היה ציור אחר שהיה לו לומר בסיפא. היה לו לומר שסיפא הוא כשלא עמד בינתיים- בדיוק הציור של רבי אבין- ששם, לפי רבי אבין, חיוב מיתה פפוטר את חיוב ממון.</w:t>
      </w:r>
    </w:p>
    <w:p w14:paraId="424ACA83" w14:textId="77777777" w:rsidR="006B0477" w:rsidRPr="000A167E" w:rsidRDefault="00BF773E">
      <w:pPr>
        <w:pStyle w:val="western"/>
        <w:spacing w:before="115" w:beforeAutospacing="0" w:after="115" w:line="259" w:lineRule="auto"/>
        <w:rPr>
          <w:rFonts w:ascii="Shofar" w:hAnsi="Shofar" w:cs="Guttman Rashi"/>
        </w:rPr>
      </w:pPr>
      <w:r w:rsidRPr="000A167E">
        <w:rPr>
          <w:rFonts w:ascii="Shofar" w:hAnsi="Shofar" w:cs="Guttman Rashi"/>
          <w:rtl/>
        </w:rPr>
        <w:t>לכאו', אפשר לדחות שגמ' לא דן בעומד לפוש ועומד לכתף כדי להקשות, אלא דן בו כדי לבאר תירוץ של הגמ'. (נמצא, אז, שיבאר תי' שלא יקום. יש לדון בזה.) כיון שבאר כן, יותר יש לו להקשות כמו שהקשה, כיון שיותר היה לו לומר בסיפא ציור שעמד לכתף מלומר ציור שלא עמד.</w:t>
      </w:r>
    </w:p>
    <w:p w14:paraId="4A47CF44" w14:textId="77777777" w:rsidR="006B0477" w:rsidRPr="000A167E" w:rsidRDefault="00BF773E">
      <w:pPr>
        <w:pStyle w:val="western"/>
        <w:spacing w:before="115" w:beforeAutospacing="0" w:after="115" w:line="259" w:lineRule="auto"/>
        <w:rPr>
          <w:rFonts w:ascii="Shofar" w:hAnsi="Shofar" w:cs="Guttman Rashi"/>
        </w:rPr>
      </w:pPr>
      <w:r w:rsidRPr="000A167E">
        <w:rPr>
          <w:rFonts w:ascii="Shofar" w:hAnsi="Shofar" w:cs="Guttman Rashi"/>
          <w:rtl/>
        </w:rPr>
        <w:t xml:space="preserve">אפשר שתוס' לא מתרץ זה כיון שהוא פשוט. גם אפשר שתוס' לא מתרץ את זה כיון שסובר שאינו נכון. אולי סובר שאין כוונת גמ', בדיון שלו, לבאר, אלא להקשות. אבל, מקום של קושיית תוס', שהוא על הקושיה, ולא על הביאור, לא משמע כן. ויש לדון. גם אפשר שתוס' לא חש לתרץ כך, כיון שסבר שהקושיה לא </w:t>
      </w:r>
      <w:r w:rsidRPr="000A167E">
        <w:rPr>
          <w:rFonts w:ascii="Shofar" w:hAnsi="Shofar" w:cs="Guttman Rashi"/>
          <w:rtl/>
        </w:rPr>
        <w:lastRenderedPageBreak/>
        <w:t>חזקה, שרק מקשה ל"ל הקשה גמ' קושיה אחרת שהיא קצת יותר קצרה. אולי אינו בעיה גדולה אם גמ' משמש בקושיה קצת יותר ארוכה. ויש לדון.</w:t>
      </w:r>
      <w:r w:rsidRPr="000A167E">
        <w:rPr>
          <w:rFonts w:ascii="Shofar" w:hAnsi="Shofar" w:cs="Guttman Rashi"/>
          <w:rtl/>
        </w:rPr>
        <w:footnoteReference w:id="1"/>
      </w:r>
    </w:p>
    <w:p w14:paraId="3FE74F13" w14:textId="77777777" w:rsidR="006B0477" w:rsidRDefault="00BF773E">
      <w:pPr>
        <w:pStyle w:val="Heading1"/>
      </w:pPr>
      <w:r>
        <w:rPr>
          <w:rtl/>
        </w:rPr>
        <w:t>ביאור תוס' ד"ה מהלך כעומד דמי:</w:t>
      </w:r>
    </w:p>
    <w:p w14:paraId="27D170E8" w14:textId="77777777" w:rsidR="006B0477" w:rsidRDefault="00BF773E">
      <w:pPr>
        <w:pStyle w:val="Heading2"/>
      </w:pPr>
      <w:r>
        <w:rPr>
          <w:rtl/>
        </w:rPr>
        <w:t>קושיית תוס':</w:t>
      </w:r>
    </w:p>
    <w:p w14:paraId="28E5486D" w14:textId="77777777" w:rsidR="006B0477" w:rsidRDefault="00BF773E">
      <w:r>
        <w:rPr>
          <w:rtl/>
        </w:rPr>
        <w:t>בן עזאי סובר שמהלך כעומד דמי, שמי שהולך נחשב כאילו הוא עומד. מקשה, אז, איך יכול להיות שאדם חייב על העברת ד"א ברשות הרבים. אם אדם עומד בתוך העברתו ברשות הרבים, אינו חייב, כיון שצריך להוציא ד"א ממקומו בתחילת המעשה. אז, לפי בן עזאי תמיד לא יחייב.</w:t>
      </w:r>
    </w:p>
    <w:p w14:paraId="7F1856C2" w14:textId="77777777" w:rsidR="006B0477" w:rsidRDefault="00BF773E">
      <w:r>
        <w:rPr>
          <w:rtl/>
        </w:rPr>
        <w:t>אפשר לומר שנחשב מונח, אבל לא נחשב מונח די עד שהוא מקומו הראשון של המעשה. אבל, יש להעיר שהוא די לעשות שאדם יפטור מחמת הנחה במקום פטור. אם אדם הולך מרשות היחיד למק"פ לרשות הרבים, לפי ב"ע פטור הוא. אז, כמו שעושה לו מקום אחר שם, כמו כן יעשה לו מקום אחר כאן. ויש לדון אם צ"ל שתלויים זה בזה.</w:t>
      </w:r>
    </w:p>
    <w:p w14:paraId="63C55685" w14:textId="77777777" w:rsidR="006B0477" w:rsidRDefault="00BF773E">
      <w:r>
        <w:rPr>
          <w:rtl/>
        </w:rPr>
        <w:t>ואם תאמר אולי אין הכי נמי</w:t>
      </w:r>
      <w:r>
        <w:rPr>
          <w:rStyle w:val="FootnoteReference"/>
          <w:rtl/>
        </w:rPr>
        <w:footnoteReference w:id="2"/>
      </w:r>
      <w:r>
        <w:rPr>
          <w:rtl/>
        </w:rPr>
        <w:t xml:space="preserve">, אין בן עזאי מודה לכל דין של העברה ד"א. ויש לומר שלא אפשר שיהיה חולק על דבר זה, שמובא בהרבה משניות, שלא יובא </w:t>
      </w:r>
      <w:r>
        <w:rPr>
          <w:rtl/>
        </w:rPr>
        <w:lastRenderedPageBreak/>
        <w:t>שיטתו בפירוש. (עיין בתי' שיביא תוס' מירו', שלא משמע כן, כיון שגם יש הרבה משניות שהם דוחקים גדולים על פי זה.) גם אפשר שכיון שהלכה למשה מסיני הוא, מסתבר שאין חולק, כמש"א רמב"ם. (אבל, יש הרבה קושיות על הרמב"ם, ולא פשוט איך לפרש אותו.)</w:t>
      </w:r>
      <w:r>
        <w:rPr>
          <w:rStyle w:val="FootnoteReference"/>
          <w:rtl/>
        </w:rPr>
        <w:footnoteReference w:id="3"/>
      </w:r>
    </w:p>
    <w:p w14:paraId="24952ADF" w14:textId="77777777" w:rsidR="006B0477" w:rsidRDefault="00BF773E">
      <w:r>
        <w:rPr>
          <w:rtl/>
        </w:rPr>
        <w:t>היה אפשר לפרש שחלק מן הסיבה שהליכה נחשב כעמידה הוא שיש לבוד. אז, היה אפשר להוקים את זה כשהולך למעלה משלש טפחים, שאין לבוד. כנראה, תוס' לא מפרש ככה.</w:t>
      </w:r>
    </w:p>
    <w:p w14:paraId="099A7ED6" w14:textId="77777777" w:rsidR="006B0477" w:rsidRDefault="00BF773E">
      <w:r>
        <w:rPr>
          <w:rtl/>
        </w:rPr>
        <w:t>גם יש להעיר שרש"י כ' שהנחת פסיעה הוא הנחת עצמו. לא כל כך פשוט איך להגדיר את זה, כמו שכתבנו, אבל אולי אז נמצא שלא מניח את עצמו בכלל אם הוא דוחף את עצמו או הוא סקי"ד. ותחשב. אולי שם לא נחשב שעקר את עצמו בכלל.</w:t>
      </w:r>
      <w:r>
        <w:rPr>
          <w:rStyle w:val="FootnoteReference"/>
          <w:rtl/>
        </w:rPr>
        <w:footnoteReference w:id="4"/>
      </w:r>
    </w:p>
    <w:p w14:paraId="070098B5" w14:textId="77777777" w:rsidR="006B0477" w:rsidRDefault="00BF773E">
      <w:pPr>
        <w:pStyle w:val="Heading2"/>
      </w:pPr>
      <w:r>
        <w:rPr>
          <w:rtl/>
        </w:rPr>
        <w:lastRenderedPageBreak/>
        <w:t>תי' תוס':</w:t>
      </w:r>
    </w:p>
    <w:p w14:paraId="3CEF1DBD" w14:textId="77777777" w:rsidR="006B0477" w:rsidRDefault="00BF773E">
      <w:r>
        <w:rPr>
          <w:rtl/>
        </w:rPr>
        <w:t>תוס' אומר שהלכה למשה מסיני הוא. במילים אחרים, יש מקור מיוחד לו, וגזירת הכתוב (המסור) הוא.</w:t>
      </w:r>
    </w:p>
    <w:p w14:paraId="3C54A82A" w14:textId="77777777" w:rsidR="006B0477" w:rsidRDefault="00BF773E">
      <w:r>
        <w:rPr>
          <w:rtl/>
        </w:rPr>
        <w:t>ואם תאמר מה היה קושיית תוס', שפשוט לתרץ כך. ויש לדון, שלא כל כך פשוט שהלכה למשה מסיני הוא, אלא יש גמרא אחד שאומר כן. הרבה פעמים תוס' מקשה מה שמפורש בגמ' אחר. יותר מזה, נראה שעיקר של קושיית תוס' הוא מה שיקשה על פי תי' זה- אם כן למה לא לומדים ממנו. ותחשב.</w:t>
      </w:r>
    </w:p>
    <w:p w14:paraId="16C41832" w14:textId="77777777" w:rsidR="006B0477" w:rsidRDefault="00BF773E">
      <w:pPr>
        <w:pStyle w:val="Heading3"/>
      </w:pPr>
      <w:r>
        <w:rPr>
          <w:rtl/>
        </w:rPr>
        <w:t>קושיית תוס':</w:t>
      </w:r>
    </w:p>
    <w:p w14:paraId="7BE0EDD5" w14:textId="77777777" w:rsidR="006B0477" w:rsidRDefault="00BF773E">
      <w:r>
        <w:rPr>
          <w:rtl/>
        </w:rPr>
        <w:t xml:space="preserve">מקשה תוס' למה לא לומדים משם שלא נחשב הנחה. ואם תאמר הרי אין לומדים מהל"מ. וי"ל שמחלקת תנאים הוא (ששם מקשה ר"א על ר"ע מחמת זה; ויש לדון אם קבל ר"ע אותו). </w:t>
      </w:r>
    </w:p>
    <w:p w14:paraId="7F110301" w14:textId="77777777" w:rsidR="006B0477" w:rsidRDefault="00BF773E">
      <w:r>
        <w:rPr>
          <w:rtl/>
        </w:rPr>
        <w:t>גם יש לומר שהדיון הוא רק אם נאמרו שלש עשרה מדות שהתורה נדרשת בהם ללמוד מהלכה למשה מסיני. אבל, בוודאי יכולים ללמוד ממה מצינו. ויש לדון, שאז כל קל וחומר יכול להיות נדרש מתורת מה מצינו, ולא מתורת קל וחומר. ויש לדון, שלא נראה שזה נכון, שלפעמים אומרים קל וחומר כששני הדברים לא שייכים כל כך, ואין כל כך הכרח מן הסברה ללמוד מזה לזה. וצריך לחשוב.</w:t>
      </w:r>
    </w:p>
    <w:p w14:paraId="4AAD3CAB" w14:textId="77777777" w:rsidR="006B0477" w:rsidRDefault="00BF773E">
      <w:pPr>
        <w:pStyle w:val="Heading3"/>
      </w:pPr>
      <w:r>
        <w:rPr>
          <w:rtl/>
        </w:rPr>
        <w:t>תי' תוס':</w:t>
      </w:r>
    </w:p>
    <w:p w14:paraId="72FD36F9" w14:textId="77777777" w:rsidR="006B0477" w:rsidRDefault="00BF773E">
      <w:r>
        <w:rPr>
          <w:rtl/>
        </w:rPr>
        <w:t xml:space="preserve">תוס' תי' שלא יכולים ללמוד ממנו כיון ששם הלך בתוך מקום חיוב. לכאו', כוונת תוס' הוא כמו שבארנו. כאן, לא יפטור רק כיון שמונח שם, ואז עוקר אותו ממקום פטור, אלא כיון שהוא מונח שם, ואז מקומו נשתנה. לא נחשב מונח די עד שמקומו נשתנה. (הביאור בלשון יותר טקניקל"י יהיה כך. לכאו', הדרך לדחות הוא לומר אחד משני דברים. אולי אינו כל כך נחשב מונח או אולי מה שהוא </w:t>
      </w:r>
      <w:r>
        <w:rPr>
          <w:rtl/>
        </w:rPr>
        <w:lastRenderedPageBreak/>
        <w:t>מונח לא מזיק לחיוב כל כך. לכאו', לא מסתבר לומר שכיון שהוא במקום חיוב לא נחשב כל כך מונח. (אבל, אולי אפשר לדחות שהכוונה הוא שהוא מקום חיוב, כמו מקום עקירה ראשונה. כיון שהנחה שם לא שינה את מקומו כל כך, אינו הנחה כל כך חשובה, ואז לא משנה את הדין. דחוק.) אז, צריך לומר שהוא לא מזיק לחיוב. קשה למה לא יזיק לחיוב. כמו כל הנחה ברשות הרבים, ישנה את מקום החפץ, ועכשיו יצטרך להוציא ארבע אמות משם. צריך לומר שיותר קשה לשנות את מקום החפץ מלעשות שהוא נח במקום פטור. ותחשב.</w:t>
      </w:r>
    </w:p>
    <w:p w14:paraId="7732D9E7" w14:textId="77777777" w:rsidR="006B0477" w:rsidRDefault="00BF773E">
      <w:r>
        <w:rPr>
          <w:rtl/>
        </w:rPr>
        <w:t>אפשר לומר שבן עזאי מחייב מוליך ד"א ברה"ר אף אם ממש נח באמצע, ולומד אותו מזה.</w:t>
      </w:r>
    </w:p>
    <w:p w14:paraId="74DE5F09" w14:textId="77777777" w:rsidR="006B0477" w:rsidRDefault="00BF773E">
      <w:r>
        <w:rPr>
          <w:rtl/>
        </w:rPr>
        <w:t>על קושיית תוס', יש להקשות שגם כשמביא מרה"ר לרה"י או להיפך, מקום חיוב הוא, למי שבא מרה"ר או מרה"י. אז, נאמר שלפי בן עזאי, אם מוציא אותו מרשות היחיד, לא נח בתוך רשות היחיד. ונראה שאף לב"ע אף במקום חיוב נח, אלא שזה לא פוטר אותו.</w:t>
      </w:r>
    </w:p>
    <w:p w14:paraId="11F0E0AC" w14:textId="77777777" w:rsidR="006B0477" w:rsidRDefault="00BF773E">
      <w:pPr>
        <w:pStyle w:val="Heading2"/>
      </w:pPr>
      <w:r>
        <w:rPr>
          <w:rtl/>
        </w:rPr>
        <w:t>תי' ירושלמי:</w:t>
      </w:r>
    </w:p>
    <w:p w14:paraId="60E7D876" w14:textId="77777777" w:rsidR="006B0477" w:rsidRDefault="00BF773E">
      <w:r>
        <w:rPr>
          <w:rtl/>
        </w:rPr>
        <w:t>ירושלמי תי' שנמצא אם קופץ. לא מצאתי תי' זה בירושלמי שלנו; נראה שהוא רק בגי' של תוס' בירושלמי.</w:t>
      </w:r>
    </w:p>
    <w:p w14:paraId="396806A0" w14:textId="77777777" w:rsidR="006B0477" w:rsidRDefault="00BF773E">
      <w:r>
        <w:rPr>
          <w:rtl/>
        </w:rPr>
        <w:t>נמצא, לכאו', שירו' סובר שבלי נגיעה בארץ, לא יכול להיחשב מונח. אין זה מוכרח, שהיה אפשר לומר שמה שאדם עומד נחשב מונח הוא מפני שעומד להיות מונח. (ויש לדון, שאם כן נאמר כן גם גבי זריקה. באמת, ירו' מצדד כן. אבל, עדיין יש לדון בזה, שיש לומר שאף שעומד להיות נח, אי אפשר להיות נח עכשיו, ואז אי אפשר להחשיב אותו נח. ותחשב.) כמו"כ, היה אפשר לומר שמה שהוא מונח על אדם עושה שהוא מונח (במק"א בארנו את זה) או שמה שאדם באופן רגיל שלו (שגם הליכה דבר רגיל לו) עושה שהוא מונח. ותחשב.</w:t>
      </w:r>
    </w:p>
    <w:p w14:paraId="66D30735" w14:textId="77777777" w:rsidR="006B0477" w:rsidRDefault="00BF773E">
      <w:r>
        <w:rPr>
          <w:rtl/>
        </w:rPr>
        <w:lastRenderedPageBreak/>
        <w:t>גם יש להעיר שלא מצוי שאדם יקפוץ כן. אז, יש הרבה גמרות ומשניות שלא נמצאים, או שהם דחוקים מאד, לפי בן עזאי.</w:t>
      </w:r>
      <w:r>
        <w:rPr>
          <w:rStyle w:val="FootnoteReference"/>
          <w:rtl/>
        </w:rPr>
        <w:footnoteReference w:id="5"/>
      </w:r>
      <w:r>
        <w:rPr>
          <w:rtl/>
        </w:rPr>
        <w:t xml:space="preserve"> יותר מזה, יש לדון למה אינו נחשב שינוי. אפשר שאינו מוזר די לזה. יותר מזה, יש לומר שאין זה כל כך קרק' של הוצאה, ואז לא עושה שאינו כדרכו. לא נראה כן; נראה שהוא קרק' של ההוצאה. ותחשב.</w:t>
      </w:r>
    </w:p>
    <w:p w14:paraId="48C86959" w14:textId="77777777" w:rsidR="006B0477" w:rsidRDefault="00BF773E">
      <w:r>
        <w:rPr>
          <w:rtl/>
        </w:rPr>
        <w:t xml:space="preserve">ויש להעיר שלכאו' הירושלמי הוא קשיא על תוס'. לא רק נמצא שירו' חול' על תי' תוס', אלא קשה איך נאמר תי' תוס' אחרי שיש תי' של ירושלמי. תי' של תוס' מיוסד על הוכחה שבא מן ההלכה למשה מסיני. אבל, כיון שנוכל להוקים אותו בקופץ, קשה מהיכי תיתי לומר בו שלא מחשבים הולך כעומד. צריך לומר או שסובר תוס' שמסתבר לחלק (נמצא שחוזר מתי' הראשון, בין כך ובין כך, אחרי שתי' את הקושיה עליו) או שתוס' סובר שלא מסתבר שיהיה הלכה למשה מסיני רק בציור כזה (או, יותר מזה, ההלכה יזכיר שהוא רק בציור זה). גם אפשר שתוס' סובר שלא יחייב בקופץ. אבל, לא נראה כן מסברה, שמה לי זריקת החפץ, ששם ב"ע מודה, ומה לי זריקת עצמו. ותחשב. </w:t>
      </w:r>
    </w:p>
    <w:p w14:paraId="4B7E6727" w14:textId="77777777" w:rsidR="006B0477" w:rsidRDefault="00BF773E">
      <w:pPr>
        <w:pStyle w:val="Heading1"/>
      </w:pPr>
      <w:r>
        <w:rPr>
          <w:rtl/>
        </w:rPr>
        <w:lastRenderedPageBreak/>
        <w:t>ביאור תוד"ה אבל זורק מאי:</w:t>
      </w:r>
    </w:p>
    <w:p w14:paraId="4B482B9E" w14:textId="77777777" w:rsidR="006B0477" w:rsidRDefault="00BF773E">
      <w:pPr>
        <w:pStyle w:val="Heading2"/>
      </w:pPr>
      <w:r>
        <w:rPr>
          <w:rtl/>
        </w:rPr>
        <w:t>קושיית תוס':</w:t>
      </w:r>
    </w:p>
    <w:p w14:paraId="2ABE2E2E" w14:textId="77777777" w:rsidR="006B0477" w:rsidRDefault="00BF773E">
      <w:r>
        <w:rPr>
          <w:rtl/>
        </w:rPr>
        <w:t>גמ' מנסה להוקים רישא של המשנה, שמחייב גנב שמוציא חפץ מרשות בעליו בשבת, כבן עזאי. מקשה שאז סיפא, שפוטר, היה לו להיות כשזרק אותו, ששם עקירה צורך הנחה הוא.</w:t>
      </w:r>
      <w:r>
        <w:rPr>
          <w:rStyle w:val="FootnoteReference"/>
          <w:rtl/>
        </w:rPr>
        <w:footnoteReference w:id="6"/>
      </w:r>
    </w:p>
    <w:p w14:paraId="5CFE761F" w14:textId="77777777" w:rsidR="006B0477" w:rsidRDefault="00BF773E">
      <w:r>
        <w:rPr>
          <w:rtl/>
        </w:rPr>
        <w:t>מקשה תוס' למה יותר טוב שיהיה הציור כן. לכאו', יכול להיות שני ציורים למה יותר טוב למנות ציור זה:</w:t>
      </w:r>
    </w:p>
    <w:p w14:paraId="2906742E" w14:textId="77777777" w:rsidR="006B0477" w:rsidRDefault="00BF773E">
      <w:pPr>
        <w:pStyle w:val="ListParagraph"/>
        <w:numPr>
          <w:ilvl w:val="0"/>
          <w:numId w:val="1"/>
        </w:numPr>
      </w:pPr>
      <w:r>
        <w:rPr>
          <w:rtl/>
        </w:rPr>
        <w:t>הוא יותר דומה לרישא.</w:t>
      </w:r>
    </w:p>
    <w:p w14:paraId="77A3D848" w14:textId="77777777" w:rsidR="006B0477" w:rsidRDefault="00BF773E">
      <w:pPr>
        <w:pStyle w:val="ListParagraph"/>
        <w:numPr>
          <w:ilvl w:val="0"/>
          <w:numId w:val="1"/>
        </w:numPr>
      </w:pPr>
      <w:r>
        <w:rPr>
          <w:rtl/>
        </w:rPr>
        <w:t>הוא יותר מחודש.</w:t>
      </w:r>
      <w:r>
        <w:rPr>
          <w:rStyle w:val="FootnoteReference"/>
          <w:rtl/>
        </w:rPr>
        <w:footnoteReference w:id="7"/>
      </w:r>
    </w:p>
    <w:p w14:paraId="63AD3E9C" w14:textId="77777777" w:rsidR="006B0477" w:rsidRDefault="00BF773E">
      <w:r>
        <w:rPr>
          <w:rtl/>
        </w:rPr>
        <w:t xml:space="preserve">צריך לבאר איזה מהם הניח תוס' לעיל (גבי עומד לכתף). אם נאמר כראשון, יש לדון למה לא נאמר שגם כאן הוא יותר דומה. צריך לומר, וזה נראה מסתבר, שלא סובר תוס' שזריקה יותר דומה להוצאה משגרירה דומה להוצאה. זה נראה נכון (אבל יש להוסיף שמגמ' לקמן יוצא שגרירה רק מחייב אותו בחפץ שדרכו בגרירה. אז, אולי זרירה והוצאה הם בחפצים חלוקים, מה שאין כן בזריקה והוצאה.) אבל, אם נאמר כצד שני, קשה. לכאו', יש יותר חידוש אם היינו אומרים </w:t>
      </w:r>
      <w:r>
        <w:rPr>
          <w:rtl/>
        </w:rPr>
        <w:lastRenderedPageBreak/>
        <w:t>זריקה, והוא כרבי אבין. אז, נמצא שתוס' לא פי' שהיה לו לומר ציור של עומד לכתף מפני צד שני, וגם סובר שאי אפשר להיות מפני צד שני. זאת אומרת, קשה למה אין צד שני סיבה, ולמה אין זה משיב לקושייתו. נראה שהדרך לבאר הוא שפשוט לגמ' שיש חידוש גם בסיפא, כמו שמתרץ, ואז יש חי' בזה ויש חי' בזה. אז, אפשר לנקוט איזה שרוצה. רק ינקוט אחד- ולכן מקשה גמ'- כיון שהוא יותר דומה לרישא</w:t>
      </w:r>
      <w:r>
        <w:rPr>
          <w:rStyle w:val="FootnoteReference"/>
          <w:rtl/>
        </w:rPr>
        <w:footnoteReference w:id="8"/>
      </w:r>
      <w:r>
        <w:rPr>
          <w:rtl/>
        </w:rPr>
        <w:t>. ותחשב.</w:t>
      </w:r>
    </w:p>
    <w:p w14:paraId="0847DBA3" w14:textId="77777777" w:rsidR="006B0477" w:rsidRDefault="00BF773E">
      <w:pPr>
        <w:pStyle w:val="Heading2"/>
      </w:pPr>
      <w:r>
        <w:rPr>
          <w:rtl/>
        </w:rPr>
        <w:t>תי' תוס':</w:t>
      </w:r>
    </w:p>
    <w:p w14:paraId="47C1C472" w14:textId="77777777" w:rsidR="006B0477" w:rsidRDefault="00BF773E">
      <w:r>
        <w:rPr>
          <w:rtl/>
        </w:rPr>
        <w:t>תוס' תי' שהוצאה יותר דומה לזריקה משדומה לגרירה. הדמיון הוא מה שרק שייך לכאן (אבל, כיון שאנו דנים כאן, הוא דמיון חשוב), והוא שבהוצאה וזריקה, הקנין בא קודם ההנחה. אבל, בגרירה, החיוב בא בזמן ההנחה.</w:t>
      </w:r>
    </w:p>
    <w:p w14:paraId="6F9A2726" w14:textId="77777777" w:rsidR="006B0477" w:rsidRDefault="00BF773E">
      <w:r>
        <w:rPr>
          <w:rtl/>
        </w:rPr>
        <w:t>כמו כן, היה אפשר לחלק לומר שבזריקה ועקירה, בא גניבה מעקירה ראשונה, ולא מקנין משיכה שלאחר כן. (זה דומה למש"כ תוס', אבל חלוק.</w:t>
      </w:r>
    </w:p>
    <w:p w14:paraId="07DCBF90" w14:textId="77777777" w:rsidR="006B0477" w:rsidRDefault="00BF773E">
      <w:pPr>
        <w:pStyle w:val="Heading1"/>
      </w:pPr>
      <w:r>
        <w:rPr>
          <w:rtl/>
        </w:rPr>
        <w:t>ביאור תוס' ד"ה מגרר ויוצא:</w:t>
      </w:r>
    </w:p>
    <w:p w14:paraId="3AADBA60" w14:textId="77777777" w:rsidR="006B0477" w:rsidRDefault="00BF773E">
      <w:pPr>
        <w:pStyle w:val="Heading2"/>
      </w:pPr>
      <w:r>
        <w:rPr>
          <w:rtl/>
        </w:rPr>
        <w:t>הקדמה:</w:t>
      </w:r>
    </w:p>
    <w:p w14:paraId="35D3BE28" w14:textId="77777777" w:rsidR="006B0477" w:rsidRDefault="00BF773E">
      <w:r>
        <w:rPr>
          <w:rtl/>
        </w:rPr>
        <w:t xml:space="preserve">צריכים לדעת שקלא וטריא של הגמ' קודם שנוכל להבין את הקושיא של תוס'. גמ' מקשה על רבי אבין. כדי לתרץ, מוקים רישא בעומד בינתיים לפוש. מקשה שאז סיפא יהיה בעומד לפוש. אז, משנה את התי'- חוזר בו מאותו תי' הראשון- ואומר שרישא הוא כבן עזאי. מקשה כמעט אותו קושיה, שאז נעשה שהסיפא הוא </w:t>
      </w:r>
      <w:r>
        <w:rPr>
          <w:rtl/>
        </w:rPr>
        <w:lastRenderedPageBreak/>
        <w:t>כששיטת בן עזאי לא שייך, כשזרק אותו. לזה, תירץ גמ' שרצה שסיפא יהיה אותו ציור שהוא, שיש בו חידוש.</w:t>
      </w:r>
    </w:p>
    <w:p w14:paraId="1732D0BC" w14:textId="77777777" w:rsidR="006B0477" w:rsidRDefault="00BF773E">
      <w:pPr>
        <w:pStyle w:val="Heading2"/>
      </w:pPr>
      <w:r>
        <w:rPr>
          <w:rtl/>
        </w:rPr>
        <w:t>קושיית תוס':</w:t>
      </w:r>
    </w:p>
    <w:p w14:paraId="137E8BB9" w14:textId="77777777" w:rsidR="006B0477" w:rsidRDefault="00BF773E">
      <w:r>
        <w:rPr>
          <w:rtl/>
        </w:rPr>
        <w:t>מקשה תוס' למה מתרץ גמ' כן- שיש חידוש בציור של סיפא (מגרר), ולכן לא רצה לשנות ציור אחר- רק כשמתרץ לקושיה שנית (ל"ל הוקים את הסיפא בזורק אליבא דבן עזאי), ולא כשמתרץ לקושיה ראשונה (ל"ל מוקים את הסיפא בעומד לכתף).</w:t>
      </w:r>
    </w:p>
    <w:p w14:paraId="78C3005C" w14:textId="77777777" w:rsidR="006B0477" w:rsidRDefault="00BF773E">
      <w:r>
        <w:rPr>
          <w:rtl/>
        </w:rPr>
        <w:t>תוס' מניח שגמ' רק מתרץ כן לקושיה שנית</w:t>
      </w:r>
      <w:r>
        <w:rPr>
          <w:rStyle w:val="FootnoteReference"/>
          <w:rtl/>
        </w:rPr>
        <w:footnoteReference w:id="9"/>
      </w:r>
      <w:r>
        <w:rPr>
          <w:rtl/>
        </w:rPr>
        <w:t xml:space="preserve">. לא נראה שזה מוכרח. אפשר לומר שגמ' חוזר לשניהם ומתרץ כן. ואם תאמר ל"ל תי' כן מיד אחרי קושיה ראשונה. ויש לומר שרצה לבדוק, תחילה, למצוא תירוצים אחרים. אפשר שהוא מפני שתי' זה דחוק הוא, ויהיה יותר טוב אם ימצא תירוצים אחרים. גם יכול להיות מפני </w:t>
      </w:r>
      <w:r>
        <w:rPr>
          <w:rtl/>
        </w:rPr>
        <w:lastRenderedPageBreak/>
        <w:t xml:space="preserve">שכך דרך הגמ', להגדיל את התורה ולהאדירה על ידי מציאת כל הפירושים שיכולים למצוא. יש להוסיף שכאן לא רק חפש, אלא חפש ומצא, שיש, עכשיו, עוד דרך לבאר את המשנה. ותו"ת. </w:t>
      </w:r>
    </w:p>
    <w:p w14:paraId="6BF1C68D" w14:textId="77777777" w:rsidR="006B0477" w:rsidRDefault="00BF773E">
      <w:r>
        <w:rPr>
          <w:rtl/>
        </w:rPr>
        <w:t>יש לדון מהו הוכחת תוס' נגד זה. אולי והא מפני שהביא תי' שני, ולא רק המשיך עם תי' ראשון (ולא רצה לת' כמו שכתבנו), ואולי הוא מפני שלא חזר לומר שעכשיו יכולים לומר כתי' ראשון. (ואם תאמר למה יאמר כן. וי"ל שהוא מפני שתי' ראשון יותר טוב, שלכן התחיל בו.) יש לדחות לומר שלא צריכים לומר כן, שפשוט הוא.</w:t>
      </w:r>
    </w:p>
    <w:p w14:paraId="355AF640" w14:textId="77777777" w:rsidR="006B0477" w:rsidRDefault="00BF773E">
      <w:pPr>
        <w:pStyle w:val="Heading2"/>
      </w:pPr>
      <w:r>
        <w:rPr>
          <w:rtl/>
        </w:rPr>
        <w:t>תירוץ תוס':</w:t>
      </w:r>
    </w:p>
    <w:p w14:paraId="7DA5C5CB" w14:textId="77777777" w:rsidR="006B0477" w:rsidRDefault="00BF773E">
      <w:r>
        <w:rPr>
          <w:rtl/>
        </w:rPr>
        <w:t>תוס' תי' שנראה לגמ' שחידוש של לכתף (שכולל חידוש של רבי אבין עם חידוש שלא נחשב עמידה) יותר גדול מחידוש של מגרר.</w:t>
      </w:r>
      <w:r>
        <w:rPr>
          <w:rStyle w:val="FootnoteReference"/>
          <w:rtl/>
        </w:rPr>
        <w:footnoteReference w:id="10"/>
      </w:r>
      <w:r>
        <w:rPr>
          <w:rtl/>
        </w:rPr>
        <w:t xml:space="preserve"> לכן, אותו תי' שאומר עכשיו לא יתרץ שם, שלא מספיק לעשות שישנה ציור של מגרר.</w:t>
      </w:r>
    </w:p>
    <w:p w14:paraId="5BA20710" w14:textId="77777777" w:rsidR="006B0477" w:rsidRDefault="00BF773E">
      <w:pPr>
        <w:pStyle w:val="Heading2"/>
      </w:pPr>
      <w:r>
        <w:rPr>
          <w:rtl/>
        </w:rPr>
        <w:t>תירוץ תוס':</w:t>
      </w:r>
    </w:p>
    <w:p w14:paraId="71F5D6A3" w14:textId="77777777" w:rsidR="006B0477" w:rsidRDefault="00BF773E">
      <w:r>
        <w:rPr>
          <w:rtl/>
        </w:rPr>
        <w:t xml:space="preserve">תוס' גם מת' שאין כל כך סיבה לשנות סיפא בזורק, שאין זורק כל כך דומה למוציא. אבל, יש סיבה גדולה לשנות סיפא בשעמד לכתף, שאותו ציור מאד דומה לעומד לפוש. (כמובן, אז, יש המשך מתוס' שלפני כן לתוס' זה, שתוס' שלפני כן </w:t>
      </w:r>
      <w:r>
        <w:rPr>
          <w:rtl/>
        </w:rPr>
        <w:lastRenderedPageBreak/>
        <w:t>העיר שלא פשוט למה טוב לשנות זורק בסיפא, ועכשיו אומר תוס' שאין כל כך סיבה, ולכן יכול גמ' לתרץ.)</w:t>
      </w:r>
      <w:r>
        <w:rPr>
          <w:rStyle w:val="FootnoteReference"/>
          <w:rtl/>
        </w:rPr>
        <w:footnoteReference w:id="11"/>
      </w:r>
    </w:p>
    <w:p w14:paraId="7F3825A5" w14:textId="77777777" w:rsidR="006B0477" w:rsidRDefault="00BF773E">
      <w:r>
        <w:rPr>
          <w:rtl/>
        </w:rPr>
        <w:t>נקודה זו, שקושיה שנית של הגמ' יותר קלוש מקושיה ראשונה הוא מסתבר. הרי, בעצם אותו קושיה הוא, ואז קשה מה חשב גמ' כשאמר שבן עזאי הוא. צריך לומר שגמ' הכיר שאין כל כך סיבה להקשות כמו שהקשינו. כיון שכן, מסתבר שאף כשמקשה, אינו מקשה עם אותו תוקף, אלא מקשה שאף שאין הקושיה כל כך חזקה, עדיין הקושיה עומדת</w:t>
      </w:r>
      <w:r>
        <w:rPr>
          <w:rStyle w:val="FootnoteReference"/>
          <w:rtl/>
        </w:rPr>
        <w:footnoteReference w:id="12"/>
      </w:r>
      <w:r>
        <w:rPr>
          <w:rtl/>
        </w:rPr>
        <w:t>. ותחשב.</w:t>
      </w:r>
      <w:r>
        <w:rPr>
          <w:rStyle w:val="FootnoteReference"/>
          <w:rtl/>
        </w:rPr>
        <w:footnoteReference w:id="13"/>
      </w:r>
    </w:p>
    <w:p w14:paraId="280923A7" w14:textId="77777777" w:rsidR="006B0477" w:rsidRDefault="00BF773E">
      <w:pPr>
        <w:pStyle w:val="Heading1"/>
      </w:pPr>
      <w:r>
        <w:rPr>
          <w:rtl/>
        </w:rPr>
        <w:lastRenderedPageBreak/>
        <w:t>ביאור תוד"ה אלא במיצעי:</w:t>
      </w:r>
    </w:p>
    <w:p w14:paraId="01A98920" w14:textId="77777777" w:rsidR="006B0477" w:rsidRDefault="00BF773E">
      <w:pPr>
        <w:pStyle w:val="Heading2"/>
      </w:pPr>
      <w:r>
        <w:rPr>
          <w:rtl/>
        </w:rPr>
        <w:t>הקדמה:</w:t>
      </w:r>
    </w:p>
    <w:p w14:paraId="5FFE40BA" w14:textId="77777777" w:rsidR="006B0477" w:rsidRDefault="00BF773E">
      <w:pPr>
        <w:spacing w:line="252" w:lineRule="auto"/>
        <w:rPr>
          <w:rFonts w:eastAsia="Shofar"/>
        </w:rPr>
      </w:pPr>
      <w:r>
        <w:rPr>
          <w:rFonts w:eastAsia="Shofar"/>
          <w:rtl/>
        </w:rPr>
        <w:t>גמ’ הביא בריי’ שאומר שאם גנב מגרר כלי לגנוב אותו בשבת, פטור, שקנין וחיוב שבת בא בזמן אחד- בזמן שמושך אותו חוץ לרשות הבעל.</w:t>
      </w:r>
    </w:p>
    <w:p w14:paraId="380610F0" w14:textId="77777777" w:rsidR="006B0477" w:rsidRDefault="00BF773E">
      <w:pPr>
        <w:spacing w:line="252" w:lineRule="auto"/>
        <w:rPr>
          <w:rFonts w:eastAsia="Shofar"/>
        </w:rPr>
      </w:pPr>
      <w:r>
        <w:rPr>
          <w:rFonts w:eastAsia="Shofar"/>
          <w:rtl/>
        </w:rPr>
        <w:t>יש שני גמרות שמבארות מין כלי של הבריי’ שבארנו:</w:t>
      </w:r>
    </w:p>
    <w:p w14:paraId="5BC4A5AC" w14:textId="77777777" w:rsidR="006B0477" w:rsidRDefault="00BF773E">
      <w:pPr>
        <w:pStyle w:val="ListParagraph"/>
        <w:numPr>
          <w:ilvl w:val="0"/>
          <w:numId w:val="4"/>
        </w:numPr>
        <w:spacing w:line="252" w:lineRule="auto"/>
        <w:rPr>
          <w:rFonts w:eastAsia="Shofar"/>
        </w:rPr>
      </w:pPr>
      <w:r>
        <w:rPr>
          <w:rFonts w:eastAsia="Shofar"/>
          <w:rtl/>
        </w:rPr>
        <w:t>גמ’ שלנו יש לו שני הוכחות:</w:t>
      </w:r>
    </w:p>
    <w:p w14:paraId="22149333" w14:textId="77777777" w:rsidR="006B0477" w:rsidRDefault="00BF773E">
      <w:pPr>
        <w:pStyle w:val="ListParagraph"/>
        <w:numPr>
          <w:ilvl w:val="1"/>
          <w:numId w:val="4"/>
        </w:numPr>
        <w:spacing w:line="252" w:lineRule="auto"/>
        <w:rPr>
          <w:rFonts w:eastAsia="Shofar"/>
        </w:rPr>
      </w:pPr>
      <w:r>
        <w:rPr>
          <w:rFonts w:eastAsia="Shofar"/>
          <w:rtl/>
        </w:rPr>
        <w:t>צריך להיות דרך הוצאה בכך. לשון גמ’ משמע שמכוון לומר שצריך להיות שכך דרך הוצאה כדי שיתחייב מיתה כיון שהוציא בשבת.</w:t>
      </w:r>
      <w:r>
        <w:rPr>
          <w:rStyle w:val="FootnoteReference"/>
          <w:rFonts w:eastAsia="Shofar"/>
          <w:rtl/>
        </w:rPr>
        <w:footnoteReference w:id="14"/>
      </w:r>
    </w:p>
    <w:p w14:paraId="0A5FCB98" w14:textId="77777777" w:rsidR="006B0477" w:rsidRDefault="00BF773E">
      <w:pPr>
        <w:pStyle w:val="ListParagraph"/>
        <w:numPr>
          <w:ilvl w:val="1"/>
          <w:numId w:val="4"/>
        </w:numPr>
        <w:spacing w:line="252" w:lineRule="auto"/>
        <w:rPr>
          <w:rFonts w:eastAsia="Shofar"/>
        </w:rPr>
      </w:pPr>
      <w:r>
        <w:rPr>
          <w:rFonts w:eastAsia="Shofar"/>
          <w:rtl/>
        </w:rPr>
        <w:lastRenderedPageBreak/>
        <w:t>צריך להיות שיש חידוש במה שדרך הוצאה בכך. כן מוכרח לפי רבי אבין, שבלי זה, קשה למה לא אמר ציור היותר מחודש של גנב שבוציא מיד בזריקה.</w:t>
      </w:r>
    </w:p>
    <w:p w14:paraId="18124550" w14:textId="77777777" w:rsidR="006B0477" w:rsidRDefault="00BF773E">
      <w:pPr>
        <w:spacing w:line="252" w:lineRule="auto"/>
        <w:rPr>
          <w:rFonts w:eastAsia="Shofar"/>
        </w:rPr>
      </w:pPr>
      <w:r>
        <w:rPr>
          <w:rFonts w:eastAsia="Shofar"/>
          <w:rtl/>
        </w:rPr>
        <w:t>יש שלש מיני כלים- גדולים, בינונים, וקטנים. ממעטים קטנים מהוכחה ראשונה, וממעטים גדולים מהוכחה שנית. אז, נמצא שהבריי’ צריך להיות בבינונים.</w:t>
      </w:r>
    </w:p>
    <w:p w14:paraId="0FF9BF4B" w14:textId="77777777" w:rsidR="006B0477" w:rsidRDefault="00BF773E">
      <w:pPr>
        <w:pStyle w:val="ListParagraph"/>
        <w:numPr>
          <w:ilvl w:val="0"/>
          <w:numId w:val="3"/>
        </w:numPr>
        <w:spacing w:line="252" w:lineRule="auto"/>
        <w:rPr>
          <w:rFonts w:eastAsia="Shofar"/>
        </w:rPr>
      </w:pPr>
      <w:r>
        <w:rPr>
          <w:rFonts w:eastAsia="Shofar"/>
          <w:rtl/>
        </w:rPr>
        <w:t>גמ' בב”ב יש לו הוכחה אחת. שם, מביא מימרא שאומר שחפץ שרגילים בני אדם להגביה אינו נקנה במשיכה. גמ’ מבאר שצריך להיות שחפץ זה אינו רגיל להגביה אותו.</w:t>
      </w:r>
      <w:r>
        <w:rPr>
          <w:rStyle w:val="FootnoteReference"/>
          <w:rFonts w:eastAsia="Shofar"/>
          <w:rtl/>
        </w:rPr>
        <w:footnoteReference w:id="15"/>
      </w:r>
    </w:p>
    <w:p w14:paraId="7B2C60AE" w14:textId="77777777" w:rsidR="006B0477" w:rsidRDefault="00BF773E">
      <w:pPr>
        <w:spacing w:line="252" w:lineRule="auto"/>
        <w:rPr>
          <w:rFonts w:eastAsia="Shofar"/>
        </w:rPr>
      </w:pPr>
      <w:r>
        <w:rPr>
          <w:rFonts w:eastAsia="Shofar"/>
          <w:rtl/>
        </w:rPr>
        <w:t>מקשה תוס' שאף בלי הוכחה של הגמ' בב"ב</w:t>
      </w:r>
      <w:r>
        <w:rPr>
          <w:rStyle w:val="FootnoteReference"/>
          <w:rFonts w:eastAsia="Shofar"/>
          <w:rtl/>
        </w:rPr>
        <w:footnoteReference w:id="16"/>
      </w:r>
      <w:r>
        <w:rPr>
          <w:rFonts w:eastAsia="Shofar"/>
          <w:rtl/>
        </w:rPr>
        <w:t>, היה לנו כבר הוכחה של גמ' שלנו. כבר רואים מגמ' שלנו שלא מדברים על דבר שדרכו להגביה, שאז אין דרכו להוציא אותו ככה. אז, קשה איך יקשה מהנחה שכלים של הבריי' הם כלים קטנים.</w:t>
      </w:r>
    </w:p>
    <w:p w14:paraId="7085FB81" w14:textId="77777777" w:rsidR="006B0477" w:rsidRDefault="00BF773E">
      <w:pPr>
        <w:spacing w:line="252" w:lineRule="auto"/>
        <w:rPr>
          <w:rFonts w:eastAsia="Shofar"/>
        </w:rPr>
      </w:pPr>
      <w:r>
        <w:rPr>
          <w:rFonts w:eastAsia="Shofar"/>
          <w:rtl/>
        </w:rPr>
        <w:lastRenderedPageBreak/>
        <w:t>כנראה, תוס' מניח ששני הגדרים שווים. אין זה מוכרח</w:t>
      </w:r>
      <w:r>
        <w:rPr>
          <w:rStyle w:val="FootnoteReference"/>
          <w:rFonts w:eastAsia="Shofar"/>
          <w:rtl/>
        </w:rPr>
        <w:footnoteReference w:id="17"/>
      </w:r>
      <w:r>
        <w:rPr>
          <w:rFonts w:eastAsia="Shofar"/>
          <w:rtl/>
        </w:rPr>
        <w:t>. גדר אחד הוא ש"דרכו להוציא" אותו כן. גדר שני הוא ש"אין דרכו להגביה." היה אפשר לומר שיש דברים שדרכם להגביה ודרכם למשוך. אז, הוכחה ראשונה לא נגיד לנו שהבריי' לא מדבר בהם, שהרי דרך הוצאתם הוא כן. אבל, הוכחה שניה יאמר לנו שלא מדבר בהם, כיון שדרכם להגביה. ותחשב. (באמת, הייתי אומר שאותו גמ' מוכרח לחלוק על גמ' שלנו, ולכן פרש"י שחולק, כיון שדבר שלא פשוט אם דרך הוצאתו הוא במשיכה או לא הוא בוודאי דבר שדרכו להגביה אותו. ותחשב.</w:t>
      </w:r>
      <w:r>
        <w:rPr>
          <w:rStyle w:val="FootnoteReference"/>
          <w:rFonts w:eastAsia="Shofar"/>
          <w:rtl/>
        </w:rPr>
        <w:footnoteReference w:id="18"/>
      </w:r>
      <w:r>
        <w:rPr>
          <w:rStyle w:val="FootnoteReference"/>
          <w:rFonts w:eastAsia="Shofar"/>
          <w:rtl/>
        </w:rPr>
        <w:footnoteReference w:id="19"/>
      </w:r>
    </w:p>
    <w:p w14:paraId="5F0E6D49" w14:textId="77777777" w:rsidR="006B0477" w:rsidRDefault="00BF773E">
      <w:pPr>
        <w:pStyle w:val="Heading2"/>
      </w:pPr>
      <w:r>
        <w:rPr>
          <w:rtl/>
        </w:rPr>
        <w:t>תי' ראשון של תוס':</w:t>
      </w:r>
    </w:p>
    <w:p w14:paraId="4783793D" w14:textId="77777777" w:rsidR="006B0477" w:rsidRDefault="00BF773E">
      <w:r>
        <w:rPr>
          <w:rtl/>
        </w:rPr>
        <w:t>תוס' תי' שיש חילוק בין "דרכו להגביה" ל"דרך הוצאתו." דרכו להגביה תלוי רק בחפץ- מה בדרך כלל עושה עם החפץ. דרך הוצאתו תלוי במצב החפץ. אז, אם יכול להיות שאדם יוציא חפץ שדרכו להגביה באופן שדרך הוצאתו בכך. ציור של תוס' הוא שמוציא דבר קטן ממחתרת. החפץ הוא עוד דרכו להגביה, אבל מצב החפץ עושה שדרך הוצאה שלו בגרירה.</w:t>
      </w:r>
    </w:p>
    <w:p w14:paraId="19CEEC55" w14:textId="77777777" w:rsidR="006B0477" w:rsidRDefault="00BF773E">
      <w:r>
        <w:rPr>
          <w:rtl/>
        </w:rPr>
        <w:lastRenderedPageBreak/>
        <w:t>אז, צריכים הוכחה שנית, שהוא המוכיח שלא רק צריך להיות גדול שדרך הוצאתו בכל, אלא גם צריך להיות שאין דרכו להגביה אותו.</w:t>
      </w:r>
    </w:p>
    <w:p w14:paraId="324D442F" w14:textId="77777777" w:rsidR="006B0477" w:rsidRDefault="00BF773E">
      <w:r>
        <w:rPr>
          <w:rtl/>
        </w:rPr>
        <w:t>יש להעיר שלפי תוס', כשאומר גמ' שאי אפשר שמדברים על כלים קטנים כיון שאין דרך הוצאה בכך, אינו דווקא, שהיה אפשר להיות מדבר על כלים קטנים שדרך הוצאתם בכך, כמו אלו שמוציא ממחתרת.</w:t>
      </w:r>
    </w:p>
    <w:p w14:paraId="593D879B" w14:textId="77777777" w:rsidR="006B0477" w:rsidRDefault="00BF773E">
      <w:pPr>
        <w:pStyle w:val="Heading2"/>
      </w:pPr>
      <w:r>
        <w:rPr>
          <w:rtl/>
        </w:rPr>
        <w:t>תי שני של תוס':</w:t>
      </w:r>
    </w:p>
    <w:p w14:paraId="2888188E" w14:textId="77777777" w:rsidR="006B0477" w:rsidRDefault="00BF773E">
      <w:pPr>
        <w:spacing w:line="252" w:lineRule="auto"/>
        <w:rPr>
          <w:rFonts w:eastAsia="SimSun" w:cs="Times New Roman"/>
          <w:sz w:val="24"/>
          <w:szCs w:val="24"/>
        </w:rPr>
      </w:pPr>
      <w:r>
        <w:rPr>
          <w:rFonts w:eastAsia="Shofar"/>
          <w:rtl/>
        </w:rPr>
        <w:t>תוס' גם מתרץ שאינו קשה שיהיה כן- אינו קשה שהיה יכול גמ' להוכיח כן מהוכחה ראשונה, ואינו קשה שהק' מה שמכריח הוכחה שניה, ולא היתה הוכחה ראשונה מספקת, שכך הוא דרך הגמ', שמקשה קושיות, ואף אם יש קושיה אחרת שיוכיח שקושיה זו לא יעמוד, ולא יהיה יכול להיות ראיה לכלום. ותו"ת.</w:t>
      </w:r>
      <w:r>
        <w:rPr>
          <w:rStyle w:val="FootnoteReference"/>
          <w:rFonts w:eastAsia="Shofar"/>
          <w:rtl/>
        </w:rPr>
        <w:footnoteReference w:id="20"/>
      </w:r>
      <w:r>
        <w:rPr>
          <w:rtl/>
        </w:rPr>
        <w:t xml:space="preserve"> </w:t>
      </w:r>
    </w:p>
    <w:p w14:paraId="0822D1DC" w14:textId="77777777" w:rsidR="006B0477" w:rsidRDefault="00BF773E">
      <w:pPr>
        <w:pStyle w:val="Heading1"/>
      </w:pPr>
      <w:r>
        <w:rPr>
          <w:rtl/>
        </w:rPr>
        <w:lastRenderedPageBreak/>
        <w:t>ביאור תוס' ד"ה אי דאפקיה לרה"ר:</w:t>
      </w:r>
      <w:r>
        <w:rPr>
          <w:rStyle w:val="FootnoteReference"/>
          <w:rtl/>
        </w:rPr>
        <w:footnoteReference w:id="21"/>
      </w:r>
    </w:p>
    <w:p w14:paraId="3AD9A955" w14:textId="77777777" w:rsidR="006B0477" w:rsidRDefault="00BF773E">
      <w:pPr>
        <w:pStyle w:val="Heading2"/>
      </w:pPr>
      <w:r>
        <w:rPr>
          <w:rtl/>
        </w:rPr>
        <w:t>הקדמה:</w:t>
      </w:r>
    </w:p>
    <w:p w14:paraId="4B41F580" w14:textId="77777777" w:rsidR="006B0477" w:rsidRDefault="00BF773E">
      <w:r>
        <w:rPr>
          <w:rtl/>
        </w:rPr>
        <w:t>גמ' מנסה לבאר בריי' שהובא בגמ' דרך אגב. הבריי' מדבר במי שגונב דבר מרשות חברו על ידי גרירתו מרשות חברו. יוצא מן הבריי' שקונה באותו זמן שמחייב עליו חיוב שבת. מקשה גמ' שרק חייב חיוב שבת אם מוציא אותו לרשות הרבים, ואז לא קונה אותו, שבקנין משיכה קונה, ואין קנין משיכה ברה"ר.</w:t>
      </w:r>
    </w:p>
    <w:p w14:paraId="3C73FE40" w14:textId="77777777" w:rsidR="006B0477" w:rsidRDefault="00BF773E">
      <w:pPr>
        <w:pStyle w:val="Heading2"/>
      </w:pPr>
      <w:r>
        <w:rPr>
          <w:rtl/>
        </w:rPr>
        <w:t>קושיית תוס':</w:t>
      </w:r>
    </w:p>
    <w:p w14:paraId="48EDB36B" w14:textId="77777777" w:rsidR="006B0477" w:rsidRDefault="00BF773E">
      <w:r>
        <w:rPr>
          <w:rtl/>
        </w:rPr>
        <w:t>מקשה תוס' שרק לא יכול לקנות ברשות הרבים אם קונה בקנין משיכה. אבל, יש קנין אחר שעושה קנין ברשות הרבים, והוא קנין ארבע אמות. נבאר קנין ארבע אמות, ואז נחזור לקושיית תוס'.</w:t>
      </w:r>
    </w:p>
    <w:p w14:paraId="6208E55D" w14:textId="77777777" w:rsidR="006B0477" w:rsidRDefault="00BF773E">
      <w:r>
        <w:rPr>
          <w:rtl/>
        </w:rPr>
        <w:t>גמ' בב"מ (י.) אומר שתקנו רבנן שד"א של אדם קונה לו, כדי שלא יהיו ריבים בין בנ"א. שם, מביא ברי' שבו אין קנין ד"א. מביא שני תי'. תי' ראשון הוא שלא קונה אם רואים שמכוון לקנות בקנין אחר. תי' שני הוא שלא קונה ברשות הרבים, אם יש הרבה בנ"א שדוחקים אותו.</w:t>
      </w:r>
    </w:p>
    <w:p w14:paraId="0A54044B" w14:textId="77777777" w:rsidR="006B0477" w:rsidRDefault="00BF773E">
      <w:r>
        <w:rPr>
          <w:rtl/>
        </w:rPr>
        <w:lastRenderedPageBreak/>
        <w:t>תוס' מקשה שכאן יקנה בקנין ד"א. לכאו', אז, תוס' מקשה למה לא יאמר גמ' שלפי מד"א ראשון בב"מ אין קושיה, שקונה בד"א. (היה אפשר לומר שגם לפי מד"א שני יש תי', שאולי רק ברשות הרבים שדוחקים בני אדם סובר שלא קונה, אבל בסתם רה"ר, קונה. אבל, עיין שם בגמ', שלא משמע כן, ששם דן בלשון ריש לקיש, שאמר ש"ד"א קונות בכל מקום," ואומר ש"בכל מקום," לפי תי' שני רק מרבה צדי רשות הרבים. אילו היה גם ברה"ר כשאין דוחק, והיה קונה במקום שאין משיכה קונה, היה לו לומר שמרבה אותו מקום. ותחשב.</w:t>
      </w:r>
      <w:r>
        <w:rPr>
          <w:rStyle w:val="FootnoteReference"/>
          <w:rtl/>
        </w:rPr>
        <w:footnoteReference w:id="22"/>
      </w:r>
      <w:r>
        <w:rPr>
          <w:rtl/>
        </w:rPr>
        <w:t xml:space="preserve"> לשון תוס', כמובן, ש"יש מד"א...," לא משמע כן.)</w:t>
      </w:r>
    </w:p>
    <w:p w14:paraId="54356D1D" w14:textId="77777777" w:rsidR="006B0477" w:rsidRDefault="00BF773E">
      <w:r>
        <w:rPr>
          <w:rtl/>
        </w:rPr>
        <w:t>יש להעיר שלפי מקצת צדדים שבגמ'</w:t>
      </w:r>
      <w:r>
        <w:rPr>
          <w:rStyle w:val="FootnoteReference"/>
          <w:rtl/>
        </w:rPr>
        <w:footnoteReference w:id="23"/>
      </w:r>
      <w:r>
        <w:rPr>
          <w:rtl/>
        </w:rPr>
        <w:t>, צריך להיות שקונה בזמן שמניח אותו, ולא בזמן שמוציא אותו. אם קונה במשיכה, זה לא קשה, שנגיד שמשיכה קונה רק בסוף המשיכה. אם קונה בד"א, צריכים לחדש שרק קונה כשהוא מונח בתוך ד"א שלו, ולכן לא גוזל עד אז. ותחשב. קצת יש לדון למה יהיה כן.</w:t>
      </w:r>
    </w:p>
    <w:p w14:paraId="20A7D066" w14:textId="77777777" w:rsidR="006B0477" w:rsidRDefault="00BF773E">
      <w:pPr>
        <w:pStyle w:val="Heading2"/>
      </w:pPr>
      <w:r>
        <w:rPr>
          <w:rtl/>
        </w:rPr>
        <w:t>תי' תוס':</w:t>
      </w:r>
    </w:p>
    <w:p w14:paraId="60F28AE1" w14:textId="77777777" w:rsidR="006B0477" w:rsidRDefault="00BF773E">
      <w:r>
        <w:rPr>
          <w:rtl/>
        </w:rPr>
        <w:t>תוס' תי' שלא לכל דבר ולא בכל ציור עשו קנין של ד"א. רק מצאנו שני מקומות שבהם יש קנין זה:</w:t>
      </w:r>
    </w:p>
    <w:p w14:paraId="53C6D1EC" w14:textId="77777777" w:rsidR="006B0477" w:rsidRDefault="00BF773E">
      <w:pPr>
        <w:pStyle w:val="ListParagraph"/>
        <w:numPr>
          <w:ilvl w:val="0"/>
          <w:numId w:val="2"/>
        </w:numPr>
      </w:pPr>
      <w:r>
        <w:rPr>
          <w:rtl/>
        </w:rPr>
        <w:lastRenderedPageBreak/>
        <w:t>גבי מציאה (גמ' בב"מ שהזכרנו). שם יש קנין זה כדי שלא יבואו לידי מחלקת (מי זוכה במציאה). אבל, במקומות אחרים- כמו כאן, שגונב אותו- לא תקנו אותו רבנן.</w:t>
      </w:r>
    </w:p>
    <w:p w14:paraId="0D703210" w14:textId="77777777" w:rsidR="006B0477" w:rsidRDefault="00BF773E">
      <w:pPr>
        <w:pStyle w:val="ListParagraph"/>
        <w:numPr>
          <w:ilvl w:val="0"/>
          <w:numId w:val="2"/>
        </w:numPr>
      </w:pPr>
      <w:r>
        <w:rPr>
          <w:rtl/>
        </w:rPr>
        <w:t>גבי גט (בגיטין. שם יש קנין זה כדי שלא תתעגן (שלפעמים הבעל זורק הגט לה, ויוצא למדינת הים.)</w:t>
      </w:r>
    </w:p>
    <w:p w14:paraId="243D55CC" w14:textId="77777777" w:rsidR="006B0477" w:rsidRDefault="00BF773E">
      <w:r>
        <w:rPr>
          <w:rtl/>
        </w:rPr>
        <w:t>אבל, לא תקנו קנין זה לגרום לו להיות נחשב גנב, שאין סיבה להם לתקן. (ויש לדון בזה, שזה מציל לניזק, שמחייב את הגנב בקנס. אבל, עדיין מניח שאין זה סיבה די.)</w:t>
      </w:r>
    </w:p>
    <w:p w14:paraId="60113F9C" w14:textId="77777777" w:rsidR="006B0477" w:rsidRDefault="00BF773E">
      <w:r>
        <w:rPr>
          <w:rtl/>
        </w:rPr>
        <w:t xml:space="preserve">לכאו', מה שאומר, שלא קונה בכל מקום, הוא גמ' מפורשת בגיטין (עח:). </w:t>
      </w:r>
      <w:r>
        <w:rPr>
          <w:rtl/>
        </w:rPr>
        <w:tab/>
      </w:r>
    </w:p>
    <w:p w14:paraId="10C22EF9" w14:textId="77777777" w:rsidR="006B0477" w:rsidRDefault="00BF773E">
      <w:r>
        <w:rPr>
          <w:rtl/>
        </w:rPr>
        <w:t>אבל, במשיכה אינו כן. לכאו', הענין הוא שסיבה של משיכה שייכת בכל ציור. אם אדם קונה דבר מחברו, יש משיכה, כיון שחוששים שלא יקח אותו ממנו, וישרף ולא יהיה ניצול, ואם אדם גונב דבר מחברו, יש משיכה, שחוששים שישרף בבית גנב, ולא יציל אותו כיון שלא חייב על אונסו.</w:t>
      </w:r>
    </w:p>
    <w:p w14:paraId="0490BE22" w14:textId="77777777" w:rsidR="006B0477" w:rsidRDefault="00BF773E">
      <w:pPr>
        <w:pStyle w:val="Heading1"/>
      </w:pPr>
      <w:r>
        <w:rPr>
          <w:rtl/>
        </w:rPr>
        <w:t>ביאור תוס' ד"ה רב אשי אמר:</w:t>
      </w:r>
    </w:p>
    <w:p w14:paraId="3FDAD041" w14:textId="77777777" w:rsidR="006B0477" w:rsidRDefault="00BF773E">
      <w:r>
        <w:rPr>
          <w:rtl/>
        </w:rPr>
        <w:t>עיין בביאורים על הגמ', שבארנו כל התוס' שם.</w:t>
      </w:r>
    </w:p>
    <w:p w14:paraId="48742667" w14:textId="77777777" w:rsidR="006B0477" w:rsidRDefault="00BF773E">
      <w:pPr>
        <w:pStyle w:val="Heading1"/>
      </w:pPr>
      <w:r>
        <w:rPr>
          <w:rtl/>
        </w:rPr>
        <w:t>ביאור תוס' ד"ה וברשות הרבים:</w:t>
      </w:r>
    </w:p>
    <w:p w14:paraId="2AF220A0" w14:textId="77777777" w:rsidR="006B0477" w:rsidRDefault="00BF773E">
      <w:pPr>
        <w:pStyle w:val="Heading2"/>
      </w:pPr>
      <w:r>
        <w:rPr>
          <w:rtl/>
        </w:rPr>
        <w:t>הקדמה:</w:t>
      </w:r>
    </w:p>
    <w:p w14:paraId="25DA607C" w14:textId="77777777" w:rsidR="006B0477" w:rsidRDefault="00BF773E">
      <w:r>
        <w:rPr>
          <w:rtl/>
        </w:rPr>
        <w:t xml:space="preserve">גמ' מזכיר מחלקת אמוראים בקנין משיכה ברשות הרבים- רב אחא סובר שלא קונה ורבינא סובר שקונה. גמ' מביא משנה אחד, ומבאר איך שניהם מביאים ראיה מן המשנה לשיטתם. דיון של גמ' שלנו, וכן ענין של המשנה, הוא קנין של גניבה. כדי שאדם יהיה גנב (והנפקא מינא הוא שאז חייב לשלם אף אם נאנס </w:t>
      </w:r>
      <w:r>
        <w:rPr>
          <w:rtl/>
        </w:rPr>
        <w:lastRenderedPageBreak/>
        <w:t>החפץ, וכן שאז חייב לשלם קנסות של גניבה), צריך לעשות בו מעשה קנין. אז, הנידון כאן הוא אם משיכה ברשות הרבים הוא מעשה קנין או אינו מעשה קנין.</w:t>
      </w:r>
    </w:p>
    <w:p w14:paraId="45B43E07" w14:textId="77777777" w:rsidR="006B0477" w:rsidRDefault="00BF773E">
      <w:pPr>
        <w:pStyle w:val="Heading2"/>
      </w:pPr>
      <w:r>
        <w:rPr>
          <w:rtl/>
        </w:rPr>
        <w:t>שאלה:</w:t>
      </w:r>
    </w:p>
    <w:p w14:paraId="2EBC693D" w14:textId="77777777" w:rsidR="006B0477" w:rsidRDefault="00BF773E">
      <w:r>
        <w:rPr>
          <w:rtl/>
        </w:rPr>
        <w:t>בבבא בתרא, אביי ורבא אומרים שקנין משיכה לא קונה ברשות הרבים. שואל תוס' אם רבא ואביי סוברים כרב אחא, או אפשר שסוברים כרבינא.</w:t>
      </w:r>
    </w:p>
    <w:p w14:paraId="0D1E02B5" w14:textId="77777777" w:rsidR="006B0477" w:rsidRDefault="00BF773E">
      <w:r>
        <w:rPr>
          <w:rtl/>
        </w:rPr>
        <w:t>לכאו', אינו קשה שיחלוק רבינא על רבא ואביי, שגם רבינא אמורא כמותם. (אבל, יש להעיר, היה מאד אחריהם, שאביי נפטר קודם רבא (יבמות), ורב אשי נולד ביום שמת רבא (קידושין), ורבינא היה תלמיד של רב אשי.</w:t>
      </w:r>
      <w:r>
        <w:rPr>
          <w:rStyle w:val="FootnoteReference"/>
          <w:rtl/>
        </w:rPr>
        <w:footnoteReference w:id="24"/>
      </w:r>
      <w:r>
        <w:rPr>
          <w:rtl/>
        </w:rPr>
        <w:t xml:space="preserve"> אבל, יש להעיר שיש רבינא אחר, שהיה קדמון.</w:t>
      </w:r>
      <w:r>
        <w:rPr>
          <w:rStyle w:val="FootnoteReference"/>
          <w:rtl/>
        </w:rPr>
        <w:footnoteReference w:id="25"/>
      </w:r>
    </w:p>
    <w:p w14:paraId="535AA069" w14:textId="77777777" w:rsidR="006B0477" w:rsidRDefault="00BF773E">
      <w:r>
        <w:rPr>
          <w:rtl/>
        </w:rPr>
        <w:t xml:space="preserve">ויש להעיר שיהיה נפקא מינא, אולי, בקביעות פסק, שאם נמצא שזה מחלקת בין רבא אביי ור"א ובין רבינא, לכאו' יהיה הל' כרבים. ויש לדון, שאולי אפילו הכי, הל' כבתראי. ויש לדון, שלכאו' היה בדור של רב אחא, ואז יש מחלקת גם בבתראי. </w:t>
      </w:r>
    </w:p>
    <w:p w14:paraId="56C8C0FF" w14:textId="77777777" w:rsidR="006B0477" w:rsidRDefault="00BF773E">
      <w:r>
        <w:rPr>
          <w:rtl/>
        </w:rPr>
        <w:lastRenderedPageBreak/>
        <w:t>ויש להעיר שכבר יש רבים כרב אחא, כמו שרואים מגמ' שלנו. אבל, כמו שכתבנו, אפשר שרבינא סובר שאין שום חולק עליו, כמו שמשמע מלשון גמ' של "מתני."</w:t>
      </w:r>
    </w:p>
    <w:p w14:paraId="6EA0E335" w14:textId="77777777" w:rsidR="006B0477" w:rsidRDefault="00BF773E">
      <w:pPr>
        <w:pStyle w:val="Heading2"/>
      </w:pPr>
      <w:r>
        <w:rPr>
          <w:rtl/>
        </w:rPr>
        <w:t>שיטת ר"י:</w:t>
      </w:r>
    </w:p>
    <w:p w14:paraId="2D3949AA" w14:textId="77777777" w:rsidR="006B0477" w:rsidRDefault="00BF773E">
      <w:r>
        <w:rPr>
          <w:rtl/>
        </w:rPr>
        <w:t xml:space="preserve">ר"י סובר שלא מוכרח שרבא ואביי חולקים על רבינא. אפשר לחלק בין קנין שצריך כדי להתחייב באונס של גניבה וקנין שצריך כדי לקנות דבר. </w:t>
      </w:r>
    </w:p>
    <w:p w14:paraId="09CBB755" w14:textId="77777777" w:rsidR="006B0477" w:rsidRDefault="00BF773E">
      <w:r>
        <w:rPr>
          <w:rtl/>
        </w:rPr>
        <w:t>לא מבאר מקור לומר כן, אבל נראה שהוא גמ' בתחילת פרק הזורק. שם, גמ' מפרש שאילו היה רק כותב דין חצר גבי גניבה, הייתי אומר שרק גבי גניבה יש קנין חצר, כדי לקנוס לגנב.</w:t>
      </w:r>
      <w:r>
        <w:rPr>
          <w:rStyle w:val="FootnoteReference"/>
          <w:rtl/>
        </w:rPr>
        <w:footnoteReference w:id="26"/>
      </w:r>
      <w:r>
        <w:rPr>
          <w:rtl/>
        </w:rPr>
        <w:t xml:space="preserve"> אז, רואים שיש, על כל פנים, הו"א לומר שלא צריך קנין ממש גבי גניבה.</w:t>
      </w:r>
      <w:r>
        <w:rPr>
          <w:rStyle w:val="FootnoteReference"/>
          <w:rtl/>
        </w:rPr>
        <w:footnoteReference w:id="27"/>
      </w:r>
    </w:p>
    <w:p w14:paraId="6744F0AC" w14:textId="77777777" w:rsidR="006B0477" w:rsidRDefault="00BF773E">
      <w:r>
        <w:rPr>
          <w:rtl/>
        </w:rPr>
        <w:lastRenderedPageBreak/>
        <w:t>אבל, לא מוכרח שזה הסיבה. שם, גמ' מצדד כן, אבל דוחה אותו. אז, קל לומר שרק מחדש כן כדי לבאר למה יהיה רק בגניבה ולא בדבר אחר. נראה שאולי יש צדדים אחרים שאפשרים (אלא שצד שאמר גמ' הוא יותר קל לומר, ולכן נקט אותו גמ'.) אז, קל לומר שיחס שצריך כדי שייחשב גנב הוא יותר קטן מיחס שצריך כדי שייחשב בעל, ולכן אף משיכה ברשות הרבים גורם את זה.</w:t>
      </w:r>
      <w:r>
        <w:rPr>
          <w:rStyle w:val="FootnoteReference"/>
          <w:rtl/>
        </w:rPr>
        <w:footnoteReference w:id="28"/>
      </w:r>
    </w:p>
    <w:p w14:paraId="5AD1EA8C" w14:textId="77777777" w:rsidR="006B0477" w:rsidRDefault="00BF773E">
      <w:pPr>
        <w:pStyle w:val="Heading2"/>
      </w:pPr>
      <w:r>
        <w:rPr>
          <w:rtl/>
        </w:rPr>
        <w:t>שיטת ריצב"א:</w:t>
      </w:r>
    </w:p>
    <w:p w14:paraId="421FE48F" w14:textId="77777777" w:rsidR="006B0477" w:rsidRDefault="00BF773E">
      <w:r>
        <w:rPr>
          <w:rtl/>
        </w:rPr>
        <w:t>ריצב"א סובר שרבינא חולק על רבא ואביי. כמו שנבאר בסמוך בע"ה, אין הוכחה לומר שסובר שאין לחלק בין קנין גנב לקנין, אלא סובר שרבינא סובר כן גם בקנין סתם.</w:t>
      </w:r>
    </w:p>
    <w:p w14:paraId="5C902AC6" w14:textId="77777777" w:rsidR="006B0477" w:rsidRDefault="00BF773E">
      <w:pPr>
        <w:pStyle w:val="Heading3"/>
      </w:pPr>
      <w:r>
        <w:rPr>
          <w:rtl/>
        </w:rPr>
        <w:t>ראיות לשיטת ריצב"א:</w:t>
      </w:r>
    </w:p>
    <w:p w14:paraId="21C5CC31" w14:textId="77777777" w:rsidR="006B0477" w:rsidRDefault="00BF773E">
      <w:pPr>
        <w:pStyle w:val="Heading4"/>
      </w:pPr>
      <w:r>
        <w:rPr>
          <w:rtl/>
        </w:rPr>
        <w:t>ראיה ראשונה:</w:t>
      </w:r>
    </w:p>
    <w:p w14:paraId="3C373A9C" w14:textId="77777777" w:rsidR="006B0477" w:rsidRDefault="00BF773E">
      <w:r>
        <w:rPr>
          <w:rtl/>
        </w:rPr>
        <w:t>גמ' באר המקור לשיטת רב אחא ושיטת רבינא. שניהם למדו אותו ממשנה בב"ק (עט.) שמדבר על קנין גנב. אבל, משנה זה ממשיך לבאר דינים אחרים. אומר שאם עשה כן לבכורת בנו או לבעל חוב או לשומר, הדין שווה.</w:t>
      </w:r>
    </w:p>
    <w:p w14:paraId="2DD03F1A" w14:textId="77777777" w:rsidR="006B0477" w:rsidRDefault="00BF773E">
      <w:r>
        <w:rPr>
          <w:rtl/>
        </w:rPr>
        <w:t>רש"י שם מפרש את המשנה בשני אופנים:</w:t>
      </w:r>
    </w:p>
    <w:p w14:paraId="2911866A" w14:textId="77777777" w:rsidR="006B0477" w:rsidRDefault="00BF773E">
      <w:pPr>
        <w:pStyle w:val="ListParagraph"/>
        <w:numPr>
          <w:ilvl w:val="0"/>
          <w:numId w:val="6"/>
        </w:numPr>
      </w:pPr>
      <w:r>
        <w:rPr>
          <w:rtl/>
        </w:rPr>
        <w:lastRenderedPageBreak/>
        <w:t>אם בעל נתן את החפץ לבכורת בנו או לבעל חוב או לשומר, הדין שווה. אם נאמר כן, בא משנה לומר שגדר של קנין לגנב וגדר של קנין לכהן (לבכור) ולבעל חוב ולשומר הוא שווה.</w:t>
      </w:r>
    </w:p>
    <w:p w14:paraId="205E4C4E" w14:textId="77777777" w:rsidR="006B0477" w:rsidRDefault="00BF773E">
      <w:pPr>
        <w:pStyle w:val="ListParagraph"/>
      </w:pPr>
      <w:r>
        <w:rPr>
          <w:rtl/>
        </w:rPr>
        <w:t>אבל, רש"י דוחה לשון זה, מחמת לשון המשנה (שאומר לשון חיוב, ולא הפסד).</w:t>
      </w:r>
    </w:p>
    <w:p w14:paraId="5CA1FDDD" w14:textId="77777777" w:rsidR="006B0477" w:rsidRDefault="00BF773E">
      <w:pPr>
        <w:pStyle w:val="ListParagraph"/>
        <w:numPr>
          <w:ilvl w:val="0"/>
          <w:numId w:val="6"/>
        </w:numPr>
      </w:pPr>
      <w:r>
        <w:rPr>
          <w:rtl/>
        </w:rPr>
        <w:t>אם הגנב נתן את החפץ לבכורת בנו או לבעל חוב או לשומר, שאז חייב בדרך כלל, כיון שאחר קבל אותו בשליחות שלו</w:t>
      </w:r>
      <w:r>
        <w:rPr>
          <w:rStyle w:val="FootnoteReference"/>
          <w:rtl/>
        </w:rPr>
        <w:footnoteReference w:id="29"/>
      </w:r>
      <w:r>
        <w:rPr>
          <w:rtl/>
        </w:rPr>
        <w:t>, יש לו אותם הגדרות של גנב שלקח בפני עצמו.</w:t>
      </w:r>
    </w:p>
    <w:p w14:paraId="4D94E399" w14:textId="77777777" w:rsidR="006B0477" w:rsidRDefault="00BF773E">
      <w:r>
        <w:rPr>
          <w:rtl/>
        </w:rPr>
        <w:t>תוס' מפרש שיש ראיה מזה לריצב"א רק לפי פשט ראשון של רש"י,. לכאו', אז, סובר שאפשר שיש לחלק בין קנין שומר לחייב קנב וקנין שומר להיות שומר. יש לדון בזה. אם גנב רק נחשב גנב כיון שנהנה ממנו (עיין למטה), הרי לא נהנה, כיון שלא שומר עליו לו, אלא הוא שומר לאחר (אלא שלא יודע). אולי אם נאמר שהוא קנס, אין זה בעיה (אבל עדיין יש לדון למה הוא גנב מספיק לקנוס אותו, כמו שדנינו למטה, כיון שכאן לא גנב כלל). ותחשב.</w:t>
      </w:r>
    </w:p>
    <w:p w14:paraId="63EC3607" w14:textId="77777777" w:rsidR="006B0477" w:rsidRDefault="00BF773E">
      <w:r>
        <w:rPr>
          <w:rtl/>
        </w:rPr>
        <w:t>נראה שיש לדחות ראיה זו בכמה אופנים.</w:t>
      </w:r>
    </w:p>
    <w:p w14:paraId="77E19563" w14:textId="77777777" w:rsidR="006B0477" w:rsidRDefault="00BF773E">
      <w:r>
        <w:rPr>
          <w:rtl/>
        </w:rPr>
        <w:t>תוס' דחה אותו לומר שנוכל לבאר כצד שני. באמת, יש להעיר, רש"י מעדיף פשט השני. כמו"כ נראה גם מתוס' שם.</w:t>
      </w:r>
    </w:p>
    <w:p w14:paraId="242CF7EB" w14:textId="77777777" w:rsidR="006B0477" w:rsidRDefault="00BF773E">
      <w:r>
        <w:rPr>
          <w:rtl/>
        </w:rPr>
        <w:lastRenderedPageBreak/>
        <w:t>גם יש לדחות שנוכל לומר שהסיפא בא אגב רישא. לא באמת לומדים דינים שלהם מן המשנה, אלא מדייקים אותם. אז, יש לומר שמדייקים מן הרישא את הדינים שלהם, אבל לא מדייקים מן הסיפא, שבא אגב רישא.</w:t>
      </w:r>
      <w:r>
        <w:rPr>
          <w:rStyle w:val="FootnoteReference"/>
          <w:rtl/>
        </w:rPr>
        <w:footnoteReference w:id="30"/>
      </w:r>
    </w:p>
    <w:p w14:paraId="6C2FBD12" w14:textId="77777777" w:rsidR="006B0477" w:rsidRDefault="00BF773E">
      <w:r>
        <w:rPr>
          <w:rtl/>
        </w:rPr>
        <w:t>גם יש לדחות שגם דברים אלו לא צריכים כל כך קנין. לכאו', אין קנס בהם, ואז כדי לומר כן צריך לומר כפשט השני שכתבנו לעיל. יש לדון אם תוס' סובר שאין לחלק בין קנין גמור לקנין שצריך לכל אלו, או שתוס' סובר שמסתבר שרבא ואביי היו מדברים גם על אלו, שאמרו דין שלהם סתם. לא כל כך קשה אם לא היו כוללים קנין של גניבה, כיון שלא ממש עושה קנין וכיון שאסור הוא, אבל קשה אם לא היו כוללים כל אלו.</w:t>
      </w:r>
    </w:p>
    <w:p w14:paraId="7E755F69" w14:textId="77777777" w:rsidR="006B0477" w:rsidRDefault="00BF773E">
      <w:pPr>
        <w:pStyle w:val="Heading4"/>
      </w:pPr>
      <w:r>
        <w:rPr>
          <w:rtl/>
        </w:rPr>
        <w:t>ראיה שנית:</w:t>
      </w:r>
    </w:p>
    <w:p w14:paraId="77DA335B" w14:textId="77777777" w:rsidR="006B0477" w:rsidRDefault="00BF773E">
      <w:r>
        <w:rPr>
          <w:rtl/>
        </w:rPr>
        <w:t>תוס' מביא ראיה מגמ' ב"ק (סה.). שם, גמ' דורש מש"כ גבי גנב, "... המצא תמצא בידו," לומר שהו"א שצריך להיות קונה בידו. כיון שכ', "המצא תמצא, " קונים גם בחצר. מזה, רואה תוס' שרק קונה בקנין משיכה במקום שלוקח יכול לקנות.</w:t>
      </w:r>
    </w:p>
    <w:p w14:paraId="08F11FC6" w14:textId="77777777" w:rsidR="006B0477" w:rsidRDefault="00BF773E">
      <w:r>
        <w:rPr>
          <w:rtl/>
        </w:rPr>
        <w:t xml:space="preserve">לא ברור לי מהו ראייתו. לשונו בב"ק (עט.) הוא יותר מבואר, ונביא אותו. שם, כ': "ואין נראה לחלק כלל בין קניית גנב שאין אלא להתחייב באונסין ולשאר קניות מדדרשינן לעיל (דף סה.) גבי גנב אין לי אלא ידו גגו חצירו וקרפיפו מנין </w:t>
      </w:r>
      <w:r>
        <w:rPr>
          <w:rtl/>
        </w:rPr>
        <w:lastRenderedPageBreak/>
        <w:t>משמע דלא מחייב אלא במקום שראוי לקנות כי היכי דדרשינן גיטין (דף עז.) ונתן בידה."</w:t>
      </w:r>
    </w:p>
    <w:p w14:paraId="255CB032" w14:textId="77777777" w:rsidR="006B0477" w:rsidRDefault="00BF773E">
      <w:r>
        <w:rPr>
          <w:rtl/>
        </w:rPr>
        <w:t>איני יודע מה כוונתו. אולי קשה לו למה חושבים ש"ידו" רק משמע "ידו," ולא שגם משמע חצרו (שלפעמים נקרא ידו, כמו שאומר גמ' בב"ב גבי אלעזר), וחושב שהוא מפני שמניח גמ' שצריך לעשות בו קנין ממש. אבל, אף אם נחשוב זה- ומחודש לחשוב זה-, יש לדחות שיודע שיש דברים שלשא קונים, כיון שלא עושים קנין כלל או לא קרובים לקנין, ואין לגזור, אבל זה לא אומר שהגדרים הם שווים לגדרי קנין.</w:t>
      </w:r>
    </w:p>
    <w:p w14:paraId="6FE029A8" w14:textId="77777777" w:rsidR="006B0477" w:rsidRDefault="00BF773E">
      <w:r>
        <w:rPr>
          <w:rtl/>
        </w:rPr>
        <w:t>גם היה אפשר לומר שמביא ראיה מן המסקנא, שדורשים מ"המצא" שקונה בקנין חצר, וממה שממעטים אותו לקנין חצר (רק זה מרבים) משמע שהוא מפני שצריך דבר שעושה קנין. אבל, לא נראה שזה כוונת תוס', שלא מביא חלק זה, וגם לא נראה הראיה, מאותו דיחוי שכתבנו לעיל.</w:t>
      </w:r>
    </w:p>
    <w:sectPr w:rsidR="006B0477" w:rsidSect="000A167E">
      <w:headerReference w:type="even" r:id="rId8"/>
      <w:headerReference w:type="default" r:id="rId9"/>
      <w:footerReference w:type="even" r:id="rId10"/>
      <w:footerReference w:type="default" r:id="rId11"/>
      <w:headerReference w:type="first" r:id="rId12"/>
      <w:footerReference w:type="first" r:id="rId13"/>
      <w:pgSz w:w="8391" w:h="11906" w:code="11"/>
      <w:pgMar w:top="1440" w:right="1080" w:bottom="1440" w:left="1080" w:header="0" w:footer="0" w:gutter="0"/>
      <w:cols w:space="720"/>
      <w:formProt w:val="0"/>
      <w:bidi/>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D22BA" w14:textId="77777777" w:rsidR="00311488" w:rsidRDefault="00311488">
      <w:pPr>
        <w:spacing w:before="0" w:after="0" w:line="240" w:lineRule="auto"/>
      </w:pPr>
      <w:r>
        <w:separator/>
      </w:r>
    </w:p>
  </w:endnote>
  <w:endnote w:type="continuationSeparator" w:id="0">
    <w:p w14:paraId="390C6129" w14:textId="77777777" w:rsidR="00311488" w:rsidRDefault="003114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Noto Rashi Hebrew Light">
    <w:panose1 w:val="00000000000000000000"/>
    <w:charset w:val="B1"/>
    <w:family w:val="auto"/>
    <w:pitch w:val="variable"/>
    <w:sig w:usb0="00000803"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OpenSymbol">
    <w:altName w:val="Calibri"/>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BL Hebrew">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A1D1A" w14:textId="77777777" w:rsidR="006B0477" w:rsidRDefault="006B04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1201B" w14:textId="77777777" w:rsidR="006B0477" w:rsidRDefault="00BF773E">
    <w:pPr>
      <w:pStyle w:val="Footer"/>
      <w:spacing w:after="567"/>
      <w:jc w:val="center"/>
      <w:rPr>
        <w:rFonts w:cs="SBL Hebrew"/>
        <w:color w:val="auto"/>
        <w:lang w:bidi="he-IL"/>
      </w:rPr>
    </w:pPr>
    <w:r>
      <w:rPr>
        <w:rtl/>
        <w:lang w:bidi="he-IL"/>
      </w:rPr>
      <w:t>חרב אל הבדים- אלו נערות</w:t>
    </w:r>
  </w:p>
  <w:p w14:paraId="561976A9" w14:textId="77777777" w:rsidR="006B0477" w:rsidRDefault="006B04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7F36D" w14:textId="77777777" w:rsidR="006B0477" w:rsidRDefault="00BF773E">
    <w:pPr>
      <w:pStyle w:val="Footer"/>
      <w:spacing w:after="567"/>
      <w:jc w:val="center"/>
      <w:rPr>
        <w:rFonts w:cs="SBL Hebrew"/>
        <w:color w:val="auto"/>
        <w:lang w:bidi="he-IL"/>
      </w:rPr>
    </w:pPr>
    <w:r>
      <w:rPr>
        <w:rtl/>
        <w:lang w:bidi="he-IL"/>
      </w:rPr>
      <w:t xml:space="preserve">חרב </w:t>
    </w:r>
    <w:r>
      <w:rPr>
        <w:rtl/>
        <w:lang w:bidi="he-IL"/>
      </w:rPr>
      <w:t>אל הבדים- אלו נערות</w:t>
    </w:r>
  </w:p>
  <w:p w14:paraId="3E125266" w14:textId="77777777" w:rsidR="006B0477" w:rsidRDefault="006B0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67B47" w14:textId="77777777" w:rsidR="00311488" w:rsidRDefault="00311488">
      <w:pPr>
        <w:rPr>
          <w:sz w:val="12"/>
        </w:rPr>
      </w:pPr>
      <w:r>
        <w:separator/>
      </w:r>
    </w:p>
  </w:footnote>
  <w:footnote w:type="continuationSeparator" w:id="0">
    <w:p w14:paraId="4FFA70D4" w14:textId="77777777" w:rsidR="00311488" w:rsidRDefault="00311488">
      <w:pPr>
        <w:rPr>
          <w:sz w:val="12"/>
        </w:rPr>
      </w:pPr>
      <w:r>
        <w:continuationSeparator/>
      </w:r>
    </w:p>
  </w:footnote>
  <w:footnote w:id="1">
    <w:p w14:paraId="24FE5A42"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באמת, בכל זמן שאומר תוס' הערה- ולא משמע שדואג כל כך על ההערה- ולא אומר תי', צריך לדון אם יש תי', ומהו התי', ולמה לא אמר אותו תוס'. ותו"ת.</w:t>
      </w:r>
    </w:p>
  </w:footnote>
  <w:footnote w:id="2">
    <w:p w14:paraId="4CD967A6"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באמת, </w:t>
      </w:r>
      <w:r>
        <w:rPr>
          <w:rFonts w:ascii="BenOr Rashi" w:hAnsi="BenOr Rashi"/>
          <w:rtl/>
        </w:rPr>
        <w:t>עיין בלשון תוס', שלא מביא את זה לקושיה, אלא מתחיל מיד לומר שלא חולק על אותו דין. ותו"ת. זה גם משיב למה שהערנו שהוא פשוט. עדיין, יש לדון בשניהם.</w:t>
      </w:r>
    </w:p>
  </w:footnote>
  <w:footnote w:id="3">
    <w:p w14:paraId="4B6A24B2"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שיש שסוברים שכל ענינים של ד"א נלמד מהעברה. אם כן, יחלוק על כל מקום שד"א שייך. ויש לדון אם זה מצוי. וצריך לחשוב.</w:t>
      </w:r>
    </w:p>
  </w:footnote>
  <w:footnote w:id="4">
    <w:p w14:paraId="420E8EE4"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בדרך </w:t>
      </w:r>
      <w:r>
        <w:rPr>
          <w:rFonts w:ascii="BenOr Rashi" w:hAnsi="BenOr Rashi"/>
          <w:rtl/>
        </w:rPr>
        <w:t>אגב, אלא שאולי יהיה דבר זה נוגע, יש לדון איפה הוא מונח כשהוא עומד, במקומו או במקום רגלו. זה נוגע בין במקום למעלה למטה ובין במקום מצד לצד. אם נדון רק במקום מצד לצד, ונגיד שהוא מונח רק במקום שניהם, דהיי' כשהוא על גבו, יהיה לנו עוד תי', שנמצא שכשלא מעביר אותו עליו. אבל, לא נראה שצ"ל כן. מצאנו שרבנן, שמודים שנחשב מונח כשהוא עומד, לא מחלקים (כן נראה מסתימות שלהם) בין מי שמגביה אותו על מקום רגליו למי שלא עושה כן. ותחשב. אבל, יש להעיר, אם מקום הנחתו הוא מקום החפץ, ולא מקום האדם, יותר קל להבין איך קופץ ד"א. אולי מתחיל עם החפץ לאחוריו, ומסיים עם החפץ לפניו. ותחשב. אבל, מסתבר לי שעל כל פנים כשנח בעמידה, תלוי במקום גופו, ולא מקום החפץ. (אגב, גם מקום גופו לא פשוט, אם הוא מקום רגליו או מקום ראשו ורובו.)</w:t>
      </w:r>
    </w:p>
  </w:footnote>
  <w:footnote w:id="5">
    <w:p w14:paraId="438C8C95"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אינו </w:t>
      </w:r>
      <w:r>
        <w:rPr>
          <w:rFonts w:ascii="BenOr Rashi" w:hAnsi="BenOr Rashi"/>
          <w:rtl/>
        </w:rPr>
        <w:t>פשוט לי אם בכלל שייך לאדם לקפוץ כל כך. ראיתי שבלונ"ג ג'ומ"ף של האולימפיק"ס, בני אדם קפצו קרוב לשלשים פי"ט, ואז כנראה אפשר הוא.</w:t>
      </w:r>
    </w:p>
  </w:footnote>
  <w:footnote w:id="6">
    <w:p w14:paraId="01F9FC1C"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 xml:space="preserve">קצת צריך ביאור בזה, כיון ששם צריך להגביה אותו קודם שעוקר אותו על ידי זריקה. צריך לומר, כמו שכתבנו, שהוא עוקר אותו באופן שאין עקירה חוץ מעקירה מן הקרקע. ותו"ת. </w:t>
      </w:r>
    </w:p>
  </w:footnote>
  <w:footnote w:id="7">
    <w:p w14:paraId="6E4978B0"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נראה עוד פשט, והוא שגמ' יאמר שאין גרירה בכל ציור. אז, אולי היה לו לנקוט ציור שכולל יותר. ויש לדון אם, באמת, נגיד שהוא כולל יותר. ותחשב. על כל פנים, לא נראה שתוס' סובר שזה הענין גבי עומד לכתף, שגם כאן יכול להגיד כן. ותחשב.</w:t>
      </w:r>
    </w:p>
  </w:footnote>
  <w:footnote w:id="8">
    <w:p w14:paraId="13A7F2D3"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אז, </w:t>
      </w:r>
      <w:r>
        <w:rPr>
          <w:rFonts w:ascii="BenOr Rashi" w:hAnsi="BenOr Rashi"/>
          <w:rtl/>
        </w:rPr>
        <w:t>תי' הגמ' הוא שחיי' של גרירה הוא יותר גדול, ולכן נקט אותו. זה קצת דחוק בלשון גמ'.</w:t>
      </w:r>
    </w:p>
  </w:footnote>
  <w:footnote w:id="9">
    <w:p w14:paraId="2D1B4F03"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שוב </w:t>
      </w:r>
      <w:r>
        <w:rPr>
          <w:rFonts w:ascii="BenOr Rashi" w:hAnsi="BenOr Rashi"/>
          <w:rtl/>
        </w:rPr>
        <w:t>הבנתי שאין זה ממש מוכרח. אפשר לומר שתוס' מניח שגמ' לא הועיל כלום על ידי תירוץ שני, שהרי בין כך ובין כך צריכים לדחוק שנקט כן מחמת חידוש שיש בציור שני, כמו שאומר גמ'. אז, קשה למה אומר שקלא וטריא של תי' שיבוא. וא"ת אולי נקט אותו תירוץ כיון שסבר שעל ידו יתורץ הקושיה. במילים אחרים, נכון הוא שאחרי שדחינו את התירוץ שיבוא, אין צורך, אולי, בתירוץ, אבל היה סיבה לחשוב שיהיה תירוץ והתרצן סבר שתירוץ טוב הוא. ויש לומר שאף על פי כן, כיון שלבסוף אין תועלת בו, לא היה לו להביא אותו. ויש לדון, שכעין זה מצאנו בכמה מקומות שיביא גמ' את כל השקלא וטריא. (על כעין זה, יש ראשונים שאומרים  (נ"ל שבגיטין הוא) שהוא כדי להגדיל תורה ולהאדירה. באמת, הייתי אומר שגמ' מפורשת הוא בנדה ובחולין (סו) ובנדה (נא). אבל, במקום אחר כתבתי שאולי יש לחלק, שאולי יש לומר שאותו גמ' אומר שפסוק מצווה שצריך שניהם כדי להרבות מצוות לבני ישראל, שמקפידים על שמירה שיש לו סנפיר ושמירה שיש לו קשקשת. ותחשב.) גם יש לומר שתוס' לא סובר כן כיון שסובר שאין סברה שיחלק ביניהם (לפני שיש סברה שהוא אומר כדי לבאר את הגמ'), ואז לא מסתבר שהתרצן יחשוב שתי' זה יהני. ותחשב.</w:t>
      </w:r>
    </w:p>
    <w:p w14:paraId="0BB2EF13" w14:textId="77777777" w:rsidR="006B0477" w:rsidRDefault="00BF773E">
      <w:pPr>
        <w:pStyle w:val="FootnoteText"/>
        <w:rPr>
          <w:rFonts w:ascii="BenOr Rashi" w:hAnsi="BenOr Rashi"/>
        </w:rPr>
      </w:pPr>
      <w:r>
        <w:rPr>
          <w:rFonts w:ascii="BenOr Rashi" w:hAnsi="BenOr Rashi"/>
          <w:rtl/>
        </w:rPr>
        <w:t>לקמן, נעורר על זה למעלה.</w:t>
      </w:r>
    </w:p>
  </w:footnote>
  <w:footnote w:id="10">
    <w:p w14:paraId="6A8A5C3B"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אגב, </w:t>
      </w:r>
      <w:r>
        <w:rPr>
          <w:rFonts w:ascii="BenOr Rashi" w:hAnsi="BenOr Rashi"/>
          <w:rtl/>
        </w:rPr>
        <w:t>עיין במה שכתבנו לעיל, שלכאו' רק צריכים שהוא שווה לו.</w:t>
      </w:r>
    </w:p>
  </w:footnote>
  <w:footnote w:id="11">
    <w:p w14:paraId="59012357"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בתוס' לעלי שכ' שאפשר לגמ' להקשות ממה שלא שנה ציור שלא עמד בסיפא. ויש לדון אם תירוצים של תוס' יהנו לזה. לכאו', מתוס' שלעיל מוכרח שיהנו, שאי לאו הכי, יש לפרש שלכן מקשה ככה, שהוא קושיה שאין לו תירוץ. ויש לדון, שלא ידע גמ' כבר את התי', שהוא עוד בתוך הקושיה. (גם, כמו שכתבנו, אפשר שזהו התי', ותוס' סבר שאין צורך להזכיר את התירוץ.)</w:t>
      </w:r>
    </w:p>
  </w:footnote>
  <w:footnote w:id="12">
    <w:p w14:paraId="1BB5ADA1" w14:textId="77777777" w:rsidR="006B0477" w:rsidRDefault="00BF773E">
      <w:pPr>
        <w:pStyle w:val="FootnoteText"/>
        <w:rPr>
          <w:rFonts w:ascii="BenOr Rashi" w:hAnsi="BenOr Rashi"/>
        </w:rPr>
      </w:pPr>
      <w:r>
        <w:rPr>
          <w:rStyle w:val="FootnoteCharacters"/>
        </w:rPr>
        <w:footnoteRef/>
      </w:r>
      <w:r>
        <w:rPr>
          <w:rFonts w:ascii="BenOr Rashi" w:hAnsi="BenOr Rashi"/>
          <w:rtl/>
        </w:rPr>
        <w:tab/>
      </w:r>
      <w:r>
        <w:rPr>
          <w:rFonts w:ascii="BenOr Rashi" w:hAnsi="BenOr Rashi"/>
          <w:rtl/>
        </w:rPr>
        <w:t xml:space="preserve">אין </w:t>
      </w:r>
      <w:r>
        <w:rPr>
          <w:rFonts w:ascii="BenOr Rashi" w:hAnsi="BenOr Rashi"/>
          <w:rtl/>
        </w:rPr>
        <w:t>זה מוכרח, שמצאנו הרבה פעמים שגמ’ מתרץ בדבר שקשה עליו אותו קושיה. צריך לחפש לאותם מקומות ולדון בהם, אם נוכל למצוא ביאור להם או נהיה מוכרחים לומר שלאיזה סיבה מביא תי’ שיודע שאינם נכונים. (אגב, הסיבה מסתמא הוא מה שאומרים ראשונים בכמה מקומות, והוא שיש בזה ”להגדיל תורה ולהאדיר.“ כמו כן אומרים ראשונים בגיטין, כשמביא גמ’ שקלו“ט שקל לתרץ. וע“ש בפרק שמיני.)</w:t>
      </w:r>
    </w:p>
  </w:footnote>
  <w:footnote w:id="13">
    <w:p w14:paraId="23D2B7FB"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באמת, </w:t>
      </w:r>
      <w:r>
        <w:rPr>
          <w:rFonts w:ascii="BenOr Rashi" w:hAnsi="BenOr Rashi"/>
          <w:rtl/>
        </w:rPr>
        <w:t>אולי גמ' תי' תירוץ שני כיון שסמך על תי' זה לקושיה של הגמ'. אז, צריך להיות שרק מהני ל</w:t>
      </w:r>
      <w:bookmarkStart w:id="0" w:name="_GoBack_Copy_1_Copy_1_Copy_1_Copy_1"/>
      <w:bookmarkEnd w:id="0"/>
      <w:r>
        <w:rPr>
          <w:rFonts w:ascii="BenOr Rashi" w:hAnsi="BenOr Rashi"/>
          <w:rtl/>
        </w:rPr>
        <w:t>פי תי' שני, ולא לפי תי' ראשון.</w:t>
      </w:r>
    </w:p>
  </w:footnote>
  <w:footnote w:id="14">
    <w:p w14:paraId="65E8DE64"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כן </w:t>
      </w:r>
      <w:r>
        <w:rPr>
          <w:rFonts w:ascii="BenOr Rashi" w:hAnsi="BenOr Rashi"/>
          <w:rtl/>
        </w:rPr>
        <w:t>נראה מלשון הגמ', כיון שדן בדרך הוצאה, ולא בדרך קנין או דרך שימוש. כמו כן, נראה כן ממה שלא מביא מימרא שצריך להיות שאין דרכו בהגבה כדי שיקנה במשיכה. מהמשך תוס' יהיה פשוט שכן פי' תוס', אבל לא מוכרח כן ממש מן הגמ'. יכולים לבאר, אז, שגמ' שלנו אומר שהחידוש של הבריי' הוא המימרא שבב"ב. גמ' שבב"ב הניח שמשנה שלנו הוא בכלים קטנים, ולכן הק' על אותו מאמר. (נמצא שכשעשה כן גם הקשה על רבי אבין, אבל זה לא קשה, שלא מוכרחים אנו לומר כרבי אבין.) גם ע' ברשי, שגם הוא פי' כן.</w:t>
      </w:r>
    </w:p>
    <w:p w14:paraId="31A883BC" w14:textId="77777777" w:rsidR="006B0477" w:rsidRDefault="00BF773E">
      <w:pPr>
        <w:pStyle w:val="FootnoteText"/>
        <w:rPr>
          <w:rFonts w:ascii="BenOr Rashi" w:hAnsi="BenOr Rashi"/>
        </w:rPr>
      </w:pPr>
      <w:r>
        <w:rPr>
          <w:rFonts w:ascii="BenOr Rashi" w:hAnsi="BenOr Rashi"/>
          <w:rtl/>
        </w:rPr>
        <w:t>ויש להעיר שלכאו', תוס' לא צריך להקשות מגמ' שלנו, שיכול להקשות רק מן הסברה. הרי, כדי לחייב לשבת, צריך לעשות דבר שאין בו שינוי. זה לא נורמלי, ואז יש בו שינוי. אולי אין הכי נמי, ותוס' רק מביא גמ' שלנו לסמך את הקושיה. אז, כמובן, תי' שכתבנו כאן למטה לא מהני, שאף אם גמ' שלנו מוכיח כמו הוכחת גמ' בב"ב, עדיין הוכחה זו כמו שמפרש תוס' קיימת. אבל, אולי יש לומר שלא קל לדעת מה נחשב שינוי מספיק מדעתינו, ולכן צריך שגמ' יאמר שאין דרך הוצאה בכך. ותחשב.</w:t>
      </w:r>
    </w:p>
  </w:footnote>
  <w:footnote w:id="15">
    <w:p w14:paraId="28D2A23C"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שם, שמרשב"ם משמע שמסקנה של הגמ' הוא שמדברים בכלים גדולים. לכאו', מגמ' שלנו, יוצא שמדברים בכלים בינונים. מסתבר לומר שאין חילוק, וכלים גדולים של שם הוא כלים בינונים של כאן. ותחשב.</w:t>
      </w:r>
    </w:p>
  </w:footnote>
  <w:footnote w:id="16">
    <w:p w14:paraId="33A69098"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באמת, הוא קצת יותר מכך. אינו רק קשה למה הביא הוכחה זה ולא הביא הוכחה אחרת, אלא שם הגמ' מקשה על שיטה מחמת זה; ההוכחה בא מאותו שיטה, ומקשה לומר שאין אותו הגדרה נכונה, ואז ממילא אין השיטה נכונה. אבל, מגמ' שלנו יוצא שההגדרה נכונה, ואז אינו קשה על אותו שיטה. ותחשב.</w:t>
      </w:r>
    </w:p>
  </w:footnote>
  <w:footnote w:id="17">
    <w:p w14:paraId="1805E4EC"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שוב </w:t>
      </w:r>
      <w:r>
        <w:rPr>
          <w:rFonts w:ascii="BenOr Rashi" w:hAnsi="BenOr Rashi"/>
          <w:rtl/>
        </w:rPr>
        <w:t>ראיתי שתוס' בב"ב (פו) אומר כחילוק זה.</w:t>
      </w:r>
    </w:p>
  </w:footnote>
  <w:footnote w:id="18">
    <w:p w14:paraId="352BF313"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לא </w:t>
      </w:r>
      <w:r>
        <w:rPr>
          <w:rFonts w:ascii="BenOr Rashi" w:hAnsi="BenOr Rashi"/>
          <w:rtl/>
        </w:rPr>
        <w:t>מסתבר לי שדרכו בהגבהה הוא שהגבהה יותר קל ממשיכה. נראה שענין של דרכו בהגבהה הוא ככה: רבנן תקנו קנין משיכה. רק תקנו אותו כיון שבטלו קנין אחד- קנין מעות- והיה צורך לקנין אחר. לכן, תקנו משיכה, שהיא קנין אחרת. אבל, אם יש כבר קנין אחר שקל לעשות, והוא הגבהה במקום שמצוי להגביה, אין צורך לרבנן לתקן.</w:t>
      </w:r>
    </w:p>
  </w:footnote>
  <w:footnote w:id="19">
    <w:p w14:paraId="7218E25C"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להוסיף שאפשר להיות שרק מגיע לגדר שצריך כדי להיות בו חיוב שבת כיון שאינו קונה בו. אז, אי אפשר לגמ' להוכיח מדין שבת בלי הוכחה מדין קנין, שאחד תללוי באחר. ותחשב.</w:t>
      </w:r>
    </w:p>
  </w:footnote>
  <w:footnote w:id="20">
    <w:p w14:paraId="3FB0E80C"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שקצת יש לדון מה רוצה תוס' שיקרה, אם רוצה שלא יקשה כלל, כיון שמוכרח התי', או שיאמר "ולטעמיך." כשאומר תוס' תי' זה, מאד משמע מדבריו כצד שני. כן נראה, שבלי זה, כל זמן שאומרים "לטעמיך" יהיה קשה למה אומר אותו בכלל. (ויש לדון, שאולי לפעמים ה"לטעמיך" יותר פשוט ולפעמים הוא יותר קשה לחשוב עליו.) אפשר לומר שזה מה שמחדש תוס' בתי' שני. לא מחדש שלא לעולם אומר את ה"לטעמיך," אלא מחדש שרק "לטעמיך" הוא, ואז לא צריך כל כך להיות נאמר. אבל, אילו היה לגמ' להשמיט את כל הקושיה, אולי לא היה קל לומר שיקשה בלי צורך. ותחשב.</w:t>
      </w:r>
    </w:p>
  </w:footnote>
  <w:footnote w:id="21">
    <w:p w14:paraId="00C2DB52"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משנים </w:t>
      </w:r>
      <w:r>
        <w:rPr>
          <w:rFonts w:ascii="BenOr Rashi" w:hAnsi="BenOr Rashi"/>
          <w:rtl/>
        </w:rPr>
        <w:t>מקום תוס' זה לתת אותו מאוחר, כמו שכתבנו. ונראה שאולי גם תוס' הפך את הסדר. למטה, בביאורים על גמ', בארנו שאולי שני הדיונים של גמ' כאן הם חידושים שיוצאים ממה שנקט ציור זה, או שניהם הם דיונים על הבריי' שבאים אך ורק כיון שהובא הבריי' בגמ' שלנו. אז, לא קשה לומר שדן ראשון במקומו. אבל, אם נאמר כן, קשה לומר שתוד"ה ר"א יבוא אחרי ד"ה מיצעי, שהיה צריך לומר, אז, שמתחיל גמ' לדון בזה, אומר תי' ראשון, חוזר לדון מה הוציא, ושוב מביא תי' אחרים. ותחשב.</w:t>
      </w:r>
    </w:p>
  </w:footnote>
  <w:footnote w:id="22">
    <w:p w14:paraId="4E648CCA"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שבאמת, קצת צריך ביאור למה צריך ריבוי לצידי רשות הרבים, אחרי שאין קנין שלא מהני שם. צריך לומר שגם מה שמשיכה מהני שם הוא חידוש לגמ'. אז, לא נוכל לסמך על מה שידוע שכל קנין מהני שם, שלא כל כך נודע הוא. ותו"ת.</w:t>
      </w:r>
    </w:p>
  </w:footnote>
  <w:footnote w:id="23">
    <w:p w14:paraId="0279FD7A"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אם </w:t>
      </w:r>
      <w:r>
        <w:rPr>
          <w:rFonts w:ascii="BenOr Rashi" w:hAnsi="BenOr Rashi"/>
          <w:rtl/>
        </w:rPr>
        <w:t>לא נאמר כרבי אבין, או אם נאמר כפשט השני בדברי רבי אבין.</w:t>
      </w:r>
    </w:p>
  </w:footnote>
  <w:footnote w:id="24">
    <w:p w14:paraId="1CFDD2F7"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עיין </w:t>
      </w:r>
      <w:r>
        <w:rPr>
          <w:rFonts w:ascii="BenOr Rashi" w:hAnsi="BenOr Rashi"/>
          <w:rtl/>
        </w:rPr>
        <w:t>בב"ק (לג) שמקשה מרבה על ר"ה בדר"י, אף שרבה היה מדבר עם רבא, ור"ה בדר"י כבר נקרא זקן מרבא (בגיטין (עח)), ורבא לא חי לזמן רב (אלא שתוס' לא צריך לסבור כן, שגורס שם בר"ה וביבמות שרבה לא חי לזמן רב).</w:t>
      </w:r>
    </w:p>
  </w:footnote>
  <w:footnote w:id="25">
    <w:p w14:paraId="50931690"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הוא אותו רבינא שחי בזמן של רב אחא. ראיתי בסדר הדורות, בנושא רב אחא, שדן בזה.</w:t>
      </w:r>
    </w:p>
    <w:p w14:paraId="35D57212" w14:textId="77777777" w:rsidR="006B0477" w:rsidRDefault="006B0477">
      <w:pPr>
        <w:pStyle w:val="FootnoteText"/>
        <w:rPr>
          <w:rFonts w:ascii="BenOr Rashi" w:hAnsi="BenOr Rashi"/>
        </w:rPr>
      </w:pPr>
    </w:p>
  </w:footnote>
  <w:footnote w:id="26">
    <w:p w14:paraId="5885FB9F"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אגב, עיין שם, שהערנו:</w:t>
      </w:r>
    </w:p>
    <w:p w14:paraId="2712EFDC" w14:textId="77777777" w:rsidR="006B0477" w:rsidRDefault="00BF773E">
      <w:pPr>
        <w:pStyle w:val="FootnoteText"/>
        <w:rPr>
          <w:rFonts w:ascii="BenOr Rashi" w:hAnsi="BenOr Rashi"/>
        </w:rPr>
      </w:pPr>
      <w:r>
        <w:rPr>
          <w:rFonts w:ascii="BenOr Rashi" w:hAnsi="BenOr Rashi"/>
          <w:rtl/>
        </w:rPr>
        <w:t>מעניין שנקנס, שהרי, לא גזל, ולא עבר על שום דבר. ונראה שני פשטים בזה:</w:t>
      </w:r>
    </w:p>
    <w:p w14:paraId="1C889062" w14:textId="77777777" w:rsidR="006B0477" w:rsidRDefault="00BF773E">
      <w:pPr>
        <w:pStyle w:val="FootnoteText"/>
        <w:numPr>
          <w:ilvl w:val="0"/>
          <w:numId w:val="5"/>
        </w:numPr>
        <w:rPr>
          <w:rFonts w:ascii="BenOr Rashi" w:hAnsi="BenOr Rashi"/>
        </w:rPr>
      </w:pPr>
      <w:r>
        <w:rPr>
          <w:rFonts w:ascii="BenOr Rashi" w:hAnsi="BenOr Rashi"/>
          <w:rtl/>
        </w:rPr>
        <w:t>אפשר שנקנס כדי להראות רעת גזילה, והוא שרואים שאף מי שעשה דבר דומה לגזירה נקנס. ודחוק.</w:t>
      </w:r>
    </w:p>
    <w:p w14:paraId="3E17C1B0" w14:textId="77777777" w:rsidR="006B0477" w:rsidRDefault="00BF773E">
      <w:pPr>
        <w:pStyle w:val="FootnoteText"/>
        <w:numPr>
          <w:ilvl w:val="0"/>
          <w:numId w:val="5"/>
        </w:numPr>
        <w:rPr>
          <w:rFonts w:ascii="BenOr Rashi" w:hAnsi="BenOr Rashi"/>
        </w:rPr>
      </w:pPr>
      <w:r>
        <w:rPr>
          <w:rFonts w:ascii="BenOr Rashi" w:hAnsi="BenOr Rashi"/>
          <w:rtl/>
        </w:rPr>
        <w:t>אפשר שעושה רע אף שלא קנה אותו. יש לדון אם הוא בעצמו או רע או שרק חוששים שיבוא לידי גזילה של אותו חפץ.</w:t>
      </w:r>
    </w:p>
  </w:footnote>
  <w:footnote w:id="27">
    <w:p w14:paraId="306E5EB8"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יש </w:t>
      </w:r>
      <w:r>
        <w:rPr>
          <w:rFonts w:ascii="BenOr Rashi" w:hAnsi="BenOr Rashi"/>
          <w:rtl/>
        </w:rPr>
        <w:t>להעיר שקצת יש לחלק. אם אדם מביא אותו לחצר שלו, אפשר שלא יעשה קנין אחר. אז, אולי קל לומר שזה קנס שרצו רבנן לקבוע. אבל, אם מושך אותו ברשות בעלים, הוא יעשה עוד קנין, שלא ישאר אותו שם. אז, אולי אין צורך לקנס אותו. ותחשב.</w:t>
      </w:r>
    </w:p>
  </w:footnote>
  <w:footnote w:id="28">
    <w:p w14:paraId="15349442"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ויש </w:t>
      </w:r>
      <w:r>
        <w:rPr>
          <w:rFonts w:ascii="BenOr Rashi" w:hAnsi="BenOr Rashi"/>
          <w:rtl/>
        </w:rPr>
        <w:t>להעיר שהיה נראה לומר, אולי, שגניבה הוא שעשה דבר שהיה קונה (לולי שהוא של אחר). כמו שמצאנו שיש איסור של תמורה, שהוא לקיחת קדושה מדבר, באופן שהיה חל (אם היה אפשר), כמו כן אסור לקנות דבר של אדם באופן שהיה ממש קונה (אם אפשר). אז, לכאו' אי אפשר לחלק.</w:t>
      </w:r>
    </w:p>
  </w:footnote>
  <w:footnote w:id="29">
    <w:p w14:paraId="1D287288" w14:textId="77777777" w:rsidR="006B0477" w:rsidRDefault="00BF773E">
      <w:pPr>
        <w:pStyle w:val="FootnoteText"/>
        <w:rPr>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לכאו', </w:t>
      </w:r>
      <w:r>
        <w:rPr>
          <w:rFonts w:ascii="BenOr Rashi" w:hAnsi="BenOr Rashi"/>
          <w:rtl/>
        </w:rPr>
        <w:t>לא אומרים כאן דברי הרב ודברי התלמיד כיון שלא הגיד לאחר שגניבה היא, ואז אין סיבה שלא יקח אותו. אף אם נאמר שמה שאין שליח לדבר עבירה אינו מפני שאין סמיכות דעת, נוכל לומר שכאן אינו משום שליחות, אלא מפני שנהנה בנתינה לאחר, וכעין ערב. ותחשב על זה.</w:t>
      </w:r>
    </w:p>
  </w:footnote>
  <w:footnote w:id="30">
    <w:p w14:paraId="33BE9AFB" w14:textId="77777777" w:rsidR="006B0477" w:rsidRDefault="00BF773E">
      <w:pPr>
        <w:pStyle w:val="FootnoteText"/>
        <w:rPr>
          <w:rStyle w:val="FootnoteCharacters"/>
          <w:rFonts w:ascii="BenOr Rashi" w:hAnsi="BenOr Rashi"/>
        </w:rPr>
      </w:pPr>
      <w:r>
        <w:rPr>
          <w:rStyle w:val="FootnoteCharacters"/>
        </w:rPr>
        <w:footnoteRef/>
      </w:r>
      <w:r>
        <w:rPr>
          <w:rFonts w:ascii="BenOr Rashi" w:hAnsi="BenOr Rashi"/>
          <w:rtl/>
        </w:rPr>
        <w:tab/>
        <w:t xml:space="preserve"> </w:t>
      </w:r>
      <w:r>
        <w:rPr>
          <w:rFonts w:ascii="BenOr Rashi" w:hAnsi="BenOr Rashi"/>
          <w:rtl/>
        </w:rPr>
        <w:t xml:space="preserve">ואם </w:t>
      </w:r>
      <w:r>
        <w:rPr>
          <w:rFonts w:ascii="BenOr Rashi" w:hAnsi="BenOr Rashi"/>
          <w:rtl/>
        </w:rPr>
        <w:t>תאמר אם כן לא נלמד מן הרישא, שאולי בא אגב סיפא. י"ל שתוס' כ' במק"א שיותר מצוי שסיפא יבוא אגב רישא משרישא יבוא אגב סיפא (מסתמא מפני שיותר נוח לקרוא דבר שבא אגב דבר אחר אם כבר קרא את הדבר האחר). גם יש לומר שאינו כל כך חידוש שלא קונה ברשות הרבים לבכורת בנו, כיון שצריך קנין גמור, ולא היינו צריכים דיוק שם. גם יש לומר שאין הכי נמי, היה אפשר לדחות כן, אלא שיש דיחוי אחרת.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31CEA" w14:textId="77777777" w:rsidR="006B0477" w:rsidRDefault="006B04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E5A1" w14:textId="77777777" w:rsidR="006B0477" w:rsidRDefault="00BF773E">
    <w:pPr>
      <w:pStyle w:val="Header"/>
      <w:spacing w:before="567"/>
      <w:jc w:val="center"/>
      <w:rPr>
        <w:lang w:bidi="he-IL"/>
      </w:rPr>
    </w:pPr>
    <w:r>
      <w:rPr>
        <w:rtl/>
        <w:lang w:bidi="he-IL"/>
      </w:rPr>
      <w:t>ביאורים- תוספות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15014" w14:textId="77777777" w:rsidR="006B0477" w:rsidRDefault="00BF773E">
    <w:pPr>
      <w:pStyle w:val="Header"/>
      <w:spacing w:before="567"/>
      <w:jc w:val="center"/>
      <w:rPr>
        <w:lang w:bidi="he-IL"/>
      </w:rPr>
    </w:pPr>
    <w:r>
      <w:rPr>
        <w:rtl/>
        <w:lang w:bidi="he-IL"/>
      </w:rPr>
      <w:t xml:space="preserve">ביאורים- </w:t>
    </w:r>
    <w:r>
      <w:rPr>
        <w:rtl/>
        <w:lang w:bidi="he-IL"/>
      </w:rPr>
      <w:t>תוספות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15A5"/>
    <w:multiLevelType w:val="multilevel"/>
    <w:tmpl w:val="FBD6F3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591408"/>
    <w:multiLevelType w:val="multilevel"/>
    <w:tmpl w:val="44586E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ECF3146"/>
    <w:multiLevelType w:val="multilevel"/>
    <w:tmpl w:val="0BA405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02A25F7"/>
    <w:multiLevelType w:val="multilevel"/>
    <w:tmpl w:val="5B1A55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A0E0B7E"/>
    <w:multiLevelType w:val="multilevel"/>
    <w:tmpl w:val="38D470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51F358A"/>
    <w:multiLevelType w:val="multilevel"/>
    <w:tmpl w:val="5F8615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8D71189"/>
    <w:multiLevelType w:val="multilevel"/>
    <w:tmpl w:val="EE5E43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5"/>
  </w:num>
  <w:num w:numId="2">
    <w:abstractNumId w:val="3"/>
  </w:num>
  <w:num w:numId="3">
    <w:abstractNumId w:val="1"/>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477"/>
    <w:rsid w:val="000A167E"/>
    <w:rsid w:val="00311488"/>
    <w:rsid w:val="006B0477"/>
    <w:rsid w:val="00BF6C04"/>
    <w:rsid w:val="00BF773E"/>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C20E"/>
  <w15:docId w15:val="{9E8A4922-A8B7-4F68-9439-49531CC7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ahoma"/>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B32"/>
    <w:pPr>
      <w:bidi/>
      <w:spacing w:before="283" w:after="283" w:line="259" w:lineRule="auto"/>
    </w:pPr>
    <w:rPr>
      <w:rFonts w:ascii="Calibri" w:eastAsia="Calibri" w:hAnsi="Calibri" w:cs="Guttman Rashi"/>
      <w:color w:val="000000"/>
      <w:lang w:bidi="ar-SA"/>
    </w:rPr>
  </w:style>
  <w:style w:type="paragraph" w:styleId="Heading1">
    <w:name w:val="heading 1"/>
    <w:basedOn w:val="Normal"/>
    <w:next w:val="Normal"/>
    <w:link w:val="Heading1Char"/>
    <w:uiPriority w:val="9"/>
    <w:qFormat/>
    <w:rsid w:val="0064404D"/>
    <w:pPr>
      <w:keepNext/>
      <w:keepLines/>
      <w:ind w:left="283"/>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rsid w:val="0064404D"/>
    <w:pPr>
      <w:keepNext/>
      <w:keepLines/>
      <w:ind w:left="567"/>
      <w:outlineLvl w:val="1"/>
    </w:pPr>
    <w:rPr>
      <w:rFonts w:ascii="Calibri Light" w:hAnsi="Calibri Light"/>
      <w:bCs/>
      <w:sz w:val="26"/>
    </w:rPr>
  </w:style>
  <w:style w:type="paragraph" w:styleId="Heading3">
    <w:name w:val="heading 3"/>
    <w:basedOn w:val="Normal"/>
    <w:next w:val="Normal"/>
    <w:link w:val="Heading3Char"/>
    <w:uiPriority w:val="9"/>
    <w:unhideWhenUsed/>
    <w:qFormat/>
    <w:rsid w:val="0064404D"/>
    <w:pPr>
      <w:keepNext/>
      <w:keepLines/>
      <w:ind w:left="850"/>
      <w:outlineLvl w:val="2"/>
    </w:pPr>
    <w:rPr>
      <w:rFonts w:ascii="Calibri Light" w:hAnsi="Calibri Light"/>
      <w:bCs/>
      <w:sz w:val="24"/>
    </w:rPr>
  </w:style>
  <w:style w:type="paragraph" w:styleId="Heading4">
    <w:name w:val="heading 4"/>
    <w:basedOn w:val="Normal"/>
    <w:next w:val="Normal"/>
    <w:link w:val="Heading4Char"/>
    <w:uiPriority w:val="9"/>
    <w:unhideWhenUsed/>
    <w:qFormat/>
    <w:rsid w:val="0064404D"/>
    <w:pPr>
      <w:keepNext/>
      <w:keepLines/>
      <w:suppressAutoHyphens w:val="0"/>
      <w:ind w:left="864"/>
      <w:outlineLvl w:val="3"/>
    </w:pPr>
    <w:rPr>
      <w:rFonts w:asciiTheme="majorHAnsi" w:eastAsiaTheme="majorEastAsia" w:hAnsiTheme="majorHAnsi"/>
      <w:bCs/>
      <w:i/>
    </w:rPr>
  </w:style>
  <w:style w:type="paragraph" w:styleId="Heading5">
    <w:name w:val="heading 5"/>
    <w:basedOn w:val="Normal"/>
    <w:next w:val="Normal"/>
    <w:link w:val="Heading5Char"/>
    <w:uiPriority w:val="9"/>
    <w:unhideWhenUsed/>
    <w:qFormat/>
    <w:rsid w:val="0064404D"/>
    <w:pPr>
      <w:keepNext/>
      <w:keepLines/>
      <w:suppressAutoHyphens w:val="0"/>
      <w:ind w:left="1008"/>
      <w:outlineLvl w:val="4"/>
    </w:pPr>
    <w:rPr>
      <w:rFonts w:asciiTheme="majorHAnsi" w:eastAsiaTheme="majorEastAsia" w:hAnsiTheme="majorHAnsi"/>
      <w:bCs/>
    </w:rPr>
  </w:style>
  <w:style w:type="paragraph" w:styleId="Heading9">
    <w:name w:val="heading 9"/>
    <w:basedOn w:val="Normal"/>
    <w:next w:val="Normal"/>
    <w:link w:val="Heading9Char"/>
    <w:uiPriority w:val="9"/>
    <w:unhideWhenUsed/>
    <w:qFormat/>
    <w:rsid w:val="006E1B32"/>
    <w:pPr>
      <w:keepNext/>
      <w:keepLines/>
      <w:suppressAutoHyphens w:val="0"/>
      <w:jc w:val="center"/>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אגב Char"/>
    <w:basedOn w:val="DefaultParagraphFont"/>
    <w:link w:val="a"/>
    <w:qFormat/>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qFormat/>
    <w:rsid w:val="0064404D"/>
    <w:rPr>
      <w:rFonts w:ascii="Calibri Light" w:eastAsia="Calibri" w:hAnsi="Calibri Light"/>
      <w:color w:val="2F5496"/>
      <w:sz w:val="32"/>
      <w:szCs w:val="32"/>
    </w:rPr>
  </w:style>
  <w:style w:type="character" w:customStyle="1" w:styleId="Heading2Char">
    <w:name w:val="Heading 2 Char"/>
    <w:basedOn w:val="DefaultParagraphFont"/>
    <w:link w:val="Heading2"/>
    <w:uiPriority w:val="9"/>
    <w:qFormat/>
    <w:rsid w:val="0064404D"/>
    <w:rPr>
      <w:rFonts w:ascii="Calibri Light" w:eastAsia="Calibri" w:hAnsi="Calibri Light"/>
      <w:color w:val="2F5496"/>
      <w:sz w:val="26"/>
      <w:szCs w:val="26"/>
    </w:rPr>
  </w:style>
  <w:style w:type="character" w:customStyle="1" w:styleId="Heading3Char">
    <w:name w:val="Heading 3 Char"/>
    <w:basedOn w:val="DefaultParagraphFont"/>
    <w:link w:val="Heading3"/>
    <w:uiPriority w:val="9"/>
    <w:qFormat/>
    <w:rsid w:val="0064404D"/>
    <w:rPr>
      <w:rFonts w:ascii="Calibri Light" w:eastAsia="Calibri" w:hAnsi="Calibri Light"/>
      <w:color w:val="1F3763"/>
      <w:sz w:val="24"/>
      <w:szCs w:val="24"/>
    </w:rPr>
  </w:style>
  <w:style w:type="character" w:customStyle="1" w:styleId="Heading4Char">
    <w:name w:val="Heading 4 Char"/>
    <w:basedOn w:val="DefaultParagraphFont"/>
    <w:link w:val="Heading4"/>
    <w:uiPriority w:val="9"/>
    <w:qFormat/>
    <w:rsid w:val="0064404D"/>
    <w:rPr>
      <w:rFonts w:asciiTheme="majorHAnsi" w:eastAsiaTheme="majorEastAsia" w:hAnsiTheme="majorHAnsi" w:cs="Shofar"/>
      <w:bCs/>
      <w:i/>
    </w:rPr>
  </w:style>
  <w:style w:type="character" w:customStyle="1" w:styleId="Heading5Char">
    <w:name w:val="Heading 5 Char"/>
    <w:basedOn w:val="DefaultParagraphFont"/>
    <w:link w:val="Heading5"/>
    <w:uiPriority w:val="9"/>
    <w:qFormat/>
    <w:rsid w:val="0064404D"/>
    <w:rPr>
      <w:rFonts w:asciiTheme="majorHAnsi" w:eastAsiaTheme="majorEastAsia" w:hAnsiTheme="majorHAnsi" w:cs="Shofar"/>
      <w:bCs/>
    </w:rPr>
  </w:style>
  <w:style w:type="character" w:customStyle="1" w:styleId="Heading9Char">
    <w:name w:val="Heading 9 Char"/>
    <w:basedOn w:val="DefaultParagraphFont"/>
    <w:link w:val="Heading9"/>
    <w:uiPriority w:val="9"/>
    <w:qFormat/>
    <w:rsid w:val="006E1B32"/>
    <w:rPr>
      <w:rFonts w:asciiTheme="majorHAnsi" w:eastAsiaTheme="majorEastAsia" w:hAnsiTheme="majorHAnsi" w:cs="Noto Rashi Hebrew Light"/>
      <w:bCs/>
      <w:i/>
      <w:color w:val="000000"/>
      <w:sz w:val="21"/>
      <w:szCs w:val="20"/>
      <w:lang w:bidi="ar-SA"/>
    </w:rPr>
  </w:style>
  <w:style w:type="character" w:customStyle="1" w:styleId="FootnoteCharacters">
    <w:name w:val="Footnote Characters"/>
    <w:qFormat/>
    <w:rsid w:val="00275943"/>
    <w:rPr>
      <w:vertAlign w:val="superscript"/>
    </w:rPr>
  </w:style>
  <w:style w:type="character" w:styleId="FootnoteReference">
    <w:name w:val="footnote reference"/>
    <w:rPr>
      <w:vertAlign w:val="superscript"/>
    </w:rPr>
  </w:style>
  <w:style w:type="character" w:customStyle="1" w:styleId="FootnoteTextChar">
    <w:name w:val="Footnote Text Char"/>
    <w:basedOn w:val="DefaultParagraphFont"/>
    <w:link w:val="FootnoteText"/>
    <w:uiPriority w:val="99"/>
    <w:qFormat/>
    <w:rsid w:val="00275943"/>
    <w:rPr>
      <w:sz w:val="20"/>
      <w:szCs w:val="20"/>
    </w:rPr>
  </w:style>
  <w:style w:type="character" w:customStyle="1" w:styleId="FootnoteTextChar1">
    <w:name w:val="Footnote Text Char1"/>
    <w:basedOn w:val="DefaultParagraphFont"/>
    <w:uiPriority w:val="99"/>
    <w:semiHidden/>
    <w:qFormat/>
    <w:rsid w:val="00275943"/>
    <w:rPr>
      <w:rFonts w:cs="Shofar"/>
      <w:sz w:val="20"/>
      <w:szCs w:val="20"/>
    </w:rPr>
  </w:style>
  <w:style w:type="character" w:styleId="Hyperlink">
    <w:name w:val="Hyperlink"/>
    <w:basedOn w:val="DefaultParagraphFont"/>
    <w:uiPriority w:val="99"/>
    <w:semiHidden/>
    <w:unhideWhenUsed/>
    <w:rsid w:val="004D2A91"/>
    <w:rPr>
      <w:color w:val="000080"/>
      <w:u w:val="single"/>
    </w:rPr>
  </w:style>
  <w:style w:type="character" w:styleId="FollowedHyperlink">
    <w:name w:val="FollowedHyperlink"/>
    <w:basedOn w:val="DefaultParagraphFont"/>
    <w:uiPriority w:val="99"/>
    <w:semiHidden/>
    <w:unhideWhenUsed/>
    <w:rsid w:val="004D2A91"/>
    <w:rPr>
      <w:color w:val="954F72" w:themeColor="followedHyperlink"/>
      <w:u w:val="single"/>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a2">
    <w:name w:val="סמלי מספור"/>
    <w:qFormat/>
  </w:style>
  <w:style w:type="character" w:customStyle="1" w:styleId="Bullets">
    <w:name w:val="Bullets"/>
    <w:qFormat/>
    <w:rPr>
      <w:rFonts w:ascii="OpenSymbol" w:eastAsia="OpenSymbol" w:hAnsi="OpenSymbol" w:cs="OpenSymbol"/>
    </w:rPr>
  </w:style>
  <w:style w:type="character" w:customStyle="1" w:styleId="HeaderChar">
    <w:name w:val="Header Char"/>
    <w:basedOn w:val="DefaultParagraphFont"/>
    <w:link w:val="Header"/>
    <w:uiPriority w:val="99"/>
    <w:qFormat/>
    <w:rsid w:val="000D7010"/>
    <w:rPr>
      <w:rFonts w:cs="Guttman Rashi"/>
      <w:color w:val="000000"/>
      <w:lang w:bidi="ar-SA"/>
    </w:rPr>
  </w:style>
  <w:style w:type="character" w:customStyle="1" w:styleId="FooterChar">
    <w:name w:val="Footer Char"/>
    <w:basedOn w:val="DefaultParagraphFont"/>
    <w:link w:val="Footer"/>
    <w:qFormat/>
    <w:rsid w:val="000D7010"/>
    <w:rPr>
      <w:rFonts w:cs="Guttman Rashi"/>
      <w:color w:val="000000"/>
      <w:lang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pPr>
      <w:spacing w:before="0"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
    <w:name w:val="אגב"/>
    <w:basedOn w:val="Normal"/>
    <w:link w:val="Char"/>
    <w:qFormat/>
    <w:rsid w:val="0064404D"/>
    <w:pPr>
      <w:suppressAutoHyphens w:val="0"/>
    </w:pPr>
    <w:rPr>
      <w:rFonts w:asciiTheme="minorBidi" w:hAnsiTheme="minorBidi" w:cs="Noto Rashi Hebrew Light"/>
      <w:szCs w:val="20"/>
    </w:rPr>
  </w:style>
  <w:style w:type="paragraph" w:styleId="FootnoteText">
    <w:name w:val="footnote text"/>
    <w:basedOn w:val="Normal"/>
    <w:link w:val="FootnoteTextChar"/>
    <w:uiPriority w:val="99"/>
    <w:unhideWhenUsed/>
    <w:rsid w:val="00275943"/>
    <w:pPr>
      <w:spacing w:line="240" w:lineRule="auto"/>
      <w:ind w:left="340" w:hanging="340"/>
    </w:pPr>
    <w:rPr>
      <w:rFonts w:cs="BenOr Rashi"/>
      <w:sz w:val="20"/>
      <w:szCs w:val="20"/>
    </w:rPr>
  </w:style>
  <w:style w:type="paragraph" w:customStyle="1" w:styleId="sdfootnote-western">
    <w:name w:val="sdfootnote-western"/>
    <w:basedOn w:val="Normal"/>
    <w:qFormat/>
    <w:rsid w:val="004D2A91"/>
    <w:pPr>
      <w:suppressAutoHyphens w:val="0"/>
      <w:spacing w:beforeAutospacing="1" w:after="0" w:line="240" w:lineRule="auto"/>
    </w:pPr>
    <w:rPr>
      <w:rFonts w:ascii="Times New Roman" w:eastAsia="Times New Roman" w:hAnsi="Times New Roman" w:cs="Times New Roman"/>
      <w:sz w:val="20"/>
      <w:szCs w:val="20"/>
    </w:rPr>
  </w:style>
  <w:style w:type="paragraph" w:customStyle="1" w:styleId="western">
    <w:name w:val="western"/>
    <w:basedOn w:val="Normal"/>
    <w:qFormat/>
    <w:rsid w:val="004D2A91"/>
    <w:pPr>
      <w:suppressAutoHyphens w:val="0"/>
      <w:spacing w:beforeAutospacing="1" w:after="144" w:line="276" w:lineRule="auto"/>
    </w:pPr>
    <w:rPr>
      <w:rFonts w:ascii="Times New Roman" w:eastAsia="Times New Roman" w:hAnsi="Times New Roman" w:cs="Times New Roman"/>
    </w:rPr>
  </w:style>
  <w:style w:type="paragraph" w:styleId="ListParagraph">
    <w:name w:val="List Paragraph"/>
    <w:basedOn w:val="Normal"/>
    <w:uiPriority w:val="34"/>
    <w:qFormat/>
    <w:rsid w:val="005F696E"/>
    <w:pPr>
      <w:spacing w:before="0" w:after="160"/>
      <w:ind w:left="720"/>
      <w:contextualSpacing/>
    </w:pPr>
  </w:style>
  <w:style w:type="paragraph" w:styleId="NoSpacing">
    <w:name w:val="No Spacing"/>
    <w:uiPriority w:val="1"/>
    <w:qFormat/>
    <w:rsid w:val="007E4424"/>
    <w:pPr>
      <w:bidi/>
    </w:pPr>
    <w:rPr>
      <w:rFonts w:cs="Shofar"/>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TableNormal1">
    <w:name w:val="Table Normal1"/>
    <w:qFormat/>
    <w:pPr>
      <w:spacing w:after="160" w:line="252" w:lineRule="auto"/>
    </w:pPr>
    <w:rPr>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D7010"/>
    <w:pPr>
      <w:tabs>
        <w:tab w:val="center" w:pos="4680"/>
        <w:tab w:val="right" w:pos="9360"/>
      </w:tabs>
      <w:spacing w:before="0" w:after="0" w:line="240" w:lineRule="auto"/>
    </w:pPr>
  </w:style>
  <w:style w:type="paragraph" w:styleId="Footer">
    <w:name w:val="footer"/>
    <w:basedOn w:val="Normal"/>
    <w:link w:val="FooterChar"/>
    <w:unhideWhenUsed/>
    <w:rsid w:val="000D7010"/>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2625D-7518-45F7-81D7-1FEC151C4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25</Pages>
  <Words>3050</Words>
  <Characters>17386</Characters>
  <Application>Microsoft Office Word</Application>
  <DocSecurity>0</DocSecurity>
  <Lines>144</Lines>
  <Paragraphs>40</Paragraphs>
  <ScaleCrop>false</ScaleCrop>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134</cp:revision>
  <dcterms:created xsi:type="dcterms:W3CDTF">2024-03-20T13:36:00Z</dcterms:created>
  <dcterms:modified xsi:type="dcterms:W3CDTF">2024-08-01T19:29:00Z</dcterms:modified>
  <dc:language>en-US</dc:language>
</cp:coreProperties>
</file>