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58ABF" w14:textId="77777777" w:rsidR="00C00E31" w:rsidRDefault="00F01A45">
      <w:pPr>
        <w:pStyle w:val="Heading1"/>
        <w:spacing w:before="240" w:after="0"/>
        <w:ind w:left="0"/>
      </w:pPr>
      <w:r>
        <w:rPr>
          <w:rtl/>
        </w:rPr>
        <w:t>ביאור תוס’ ד"ה לא קנס ולא פיתוי:</w:t>
      </w:r>
    </w:p>
    <w:p w14:paraId="3038705E" w14:textId="77777777" w:rsidR="00C00E31" w:rsidRDefault="00F01A45">
      <w:pPr>
        <w:pStyle w:val="Heading2"/>
      </w:pPr>
      <w:r>
        <w:rPr>
          <w:rtl/>
        </w:rPr>
        <w:t>גי’ שלנו:</w:t>
      </w:r>
    </w:p>
    <w:p w14:paraId="003B9BB9" w14:textId="77777777" w:rsidR="00C00E31" w:rsidRDefault="00F01A45">
      <w:pPr>
        <w:spacing w:before="240" w:after="0"/>
        <w:rPr>
          <w:lang w:bidi="he-IL"/>
        </w:rPr>
      </w:pPr>
      <w:r>
        <w:rPr>
          <w:rtl/>
          <w:lang w:bidi="he-IL"/>
        </w:rPr>
        <w:t>גי’ שלנו בגמ’ הוא שאלו נשים הנזכרות אין להן לא קנס ולא פיתוי.</w:t>
      </w:r>
    </w:p>
    <w:p w14:paraId="09D1A5F5" w14:textId="77777777" w:rsidR="00C00E31" w:rsidRDefault="00F01A45">
      <w:pPr>
        <w:pStyle w:val="Heading2"/>
      </w:pPr>
      <w:r>
        <w:rPr>
          <w:rtl/>
        </w:rPr>
        <w:t>גי’ שמביא תוס’:</w:t>
      </w:r>
    </w:p>
    <w:p w14:paraId="4AD85FC0" w14:textId="77777777" w:rsidR="00C00E31" w:rsidRDefault="00F01A45">
      <w:pPr>
        <w:spacing w:before="240" w:after="0"/>
        <w:rPr>
          <w:lang w:bidi="he-IL"/>
        </w:rPr>
      </w:pPr>
      <w:r>
        <w:rPr>
          <w:rtl/>
          <w:lang w:bidi="he-IL"/>
        </w:rPr>
        <w:t xml:space="preserve">גי’ שמביא תוס’ הוא שאלו שים הנזכרות אין להן לא אונס ולא פיתוי. </w:t>
      </w:r>
    </w:p>
    <w:p w14:paraId="69DE365C" w14:textId="77777777" w:rsidR="00C00E31" w:rsidRDefault="00F01A45">
      <w:pPr>
        <w:pStyle w:val="Heading3"/>
      </w:pPr>
      <w:r>
        <w:rPr>
          <w:rtl/>
        </w:rPr>
        <w:t>הוכחה:</w:t>
      </w:r>
    </w:p>
    <w:p w14:paraId="0CD84E60" w14:textId="77777777" w:rsidR="00C00E31" w:rsidRDefault="00F01A45">
      <w:pPr>
        <w:spacing w:before="240" w:after="0"/>
        <w:rPr>
          <w:lang w:bidi="he-IL"/>
        </w:rPr>
      </w:pPr>
      <w:r>
        <w:rPr>
          <w:rtl/>
          <w:lang w:bidi="he-IL"/>
        </w:rPr>
        <w:t>מוכיח תוס’ כגי’ שמביא כיון שלא מסתבר שיאמר לשון "קנס" לדבר רק על אונס, ולא על פיתוי. הרי, בשניהם יש חיוב קנס. אז, צריך לומר שאומר "אונס" ו"פיתוי.” יש לדון, אז, למה לא רק אומר "קנס.” אולי מודה למה שידחה (לקמן) ש"קנס" בפני עצמו יותר משמע אונס. רק אומר שלא יאמר כן אם גם אומר פיתוי. ותחשב.</w:t>
      </w:r>
    </w:p>
    <w:p w14:paraId="61438261" w14:textId="77777777" w:rsidR="00C00E31" w:rsidRDefault="00F01A45">
      <w:pPr>
        <w:pStyle w:val="Heading3"/>
      </w:pPr>
      <w:r>
        <w:rPr>
          <w:rtl/>
        </w:rPr>
        <w:t>דיחוי:</w:t>
      </w:r>
    </w:p>
    <w:p w14:paraId="75EDA458" w14:textId="77777777" w:rsidR="00C00E31" w:rsidRDefault="00F01A45">
      <w:pPr>
        <w:spacing w:before="240" w:after="0"/>
        <w:rPr>
          <w:lang w:bidi="he-IL"/>
        </w:rPr>
      </w:pPr>
      <w:r>
        <w:rPr>
          <w:rtl/>
          <w:lang w:bidi="he-IL"/>
        </w:rPr>
        <w:t>תוס’ דוחה שיותר קל לקרוא לאונס "קנס,” ולכן אפשר לומר שהוא הנקרא קנס, ופיתוי נקרא "פיתוי.” הסיבה שיותר נקרא קנס הוא שקונסים אותו יותר, שלא יכול לגרש אותה (וגם חייב אף אם לא מגרש אותה). עדיין מעניין, שהייתי אומר שעיקר ההוכחה היה בא מן ההנחה שיהיה סימיטר"י באמירתם. ותחשב. צריך לומר שאינו כן, אלא מקשה למה נקרא לאונס בשם קנס כיון שגם מדברים על פיתוי, שהוא ג"כ קנס.</w:t>
      </w:r>
    </w:p>
    <w:p w14:paraId="38C6AD65" w14:textId="77777777" w:rsidR="00C00E31" w:rsidRDefault="00F01A45">
      <w:pPr>
        <w:spacing w:before="240" w:after="0"/>
        <w:rPr>
          <w:lang w:bidi="he-IL"/>
        </w:rPr>
      </w:pPr>
      <w:r>
        <w:rPr>
          <w:rtl/>
          <w:lang w:bidi="he-IL"/>
        </w:rPr>
        <w:t xml:space="preserve">לולי תוס’, היה אפשר לומר שנקרא "קנס" יותר כיון שהוא הקנס היותר מצוי. בדרך כלל, אם הוא רוצה לבעול אותה, והיא רוצה להיבעל, ישא אותה, ולא </w:t>
      </w:r>
      <w:r>
        <w:rPr>
          <w:rtl/>
          <w:lang w:bidi="he-IL"/>
        </w:rPr>
        <w:lastRenderedPageBreak/>
        <w:t>יבעול אותה ביאסור. יש לדון, שאולי לא רוצה לשלם לה כתובה או להתאגד לה, וכן היא לא רוצה כך, או שלא רוצים שאחרים ישמעו שבועל אותה. ותחשב. (אין קושיות אלו חזקות, שלא צריך להיות שתמיד הוא כן, אלא שהרבה פעמים הוא כן. ותחשב.)</w:t>
      </w:r>
      <w:r>
        <w:rPr>
          <w:rStyle w:val="FootnoteReference"/>
          <w:rtl/>
          <w:lang w:bidi="he-IL"/>
        </w:rPr>
        <w:footnoteReference w:id="1"/>
      </w:r>
    </w:p>
    <w:p w14:paraId="38F6C50C" w14:textId="77777777" w:rsidR="00C00E31" w:rsidRDefault="00F01A45">
      <w:pPr>
        <w:pStyle w:val="Heading1"/>
        <w:spacing w:before="240" w:after="0"/>
        <w:ind w:left="0"/>
      </w:pPr>
      <w:r>
        <w:rPr>
          <w:rtl/>
        </w:rPr>
        <w:t>ביאור תוס’ ד"ה ממאנת:</w:t>
      </w:r>
    </w:p>
    <w:p w14:paraId="6DF23087" w14:textId="77777777" w:rsidR="00C00E31" w:rsidRDefault="00F01A45">
      <w:pPr>
        <w:spacing w:before="240" w:after="0"/>
        <w:rPr>
          <w:lang w:bidi="he-IL"/>
        </w:rPr>
      </w:pPr>
      <w:r>
        <w:rPr>
          <w:rtl/>
          <w:lang w:bidi="he-IL"/>
        </w:rPr>
        <w:t>משנה מונה דברים שאין בהם קנס של אונס ומפתה. אחד מן הדברים הוא "ממאנת.” הפשטות של המשנה הוא שהיא אשה שמיאנה בבעל שלה.</w:t>
      </w:r>
      <w:r>
        <w:rPr>
          <w:rStyle w:val="FootnoteReference"/>
          <w:rtl/>
          <w:lang w:bidi="he-IL"/>
        </w:rPr>
        <w:footnoteReference w:id="2"/>
      </w:r>
    </w:p>
    <w:p w14:paraId="7F3C9CB5" w14:textId="77777777" w:rsidR="00C00E31" w:rsidRDefault="00F01A45">
      <w:pPr>
        <w:pStyle w:val="Heading2"/>
      </w:pPr>
      <w:r>
        <w:rPr>
          <w:rtl/>
        </w:rPr>
        <w:t>פירוש רשי:</w:t>
      </w:r>
    </w:p>
    <w:p w14:paraId="5354BAB9" w14:textId="77777777" w:rsidR="00C00E31" w:rsidRDefault="00F01A45">
      <w:pPr>
        <w:rPr>
          <w:lang w:bidi="he-IL"/>
        </w:rPr>
      </w:pPr>
      <w:r>
        <w:rPr>
          <w:rtl/>
          <w:lang w:bidi="he-IL"/>
        </w:rPr>
        <w:t>רש"י פי’ שהסיבה לפטור ממאנת הוא שלא נחשוב שהיא בתולה. כיון שהיתה נשואה מדרבנן, וההי מותר ומצווה לבעל לבעול אותה, מניחים שהיא כבר בעולה, ולכן אין בה קנסות אלו.</w:t>
      </w:r>
      <w:r>
        <w:rPr>
          <w:rStyle w:val="FootnoteReference"/>
          <w:rtl/>
          <w:lang w:bidi="he-IL"/>
        </w:rPr>
        <w:footnoteReference w:id="3"/>
      </w:r>
    </w:p>
    <w:p w14:paraId="748C257E" w14:textId="77777777" w:rsidR="00C00E31" w:rsidRDefault="00F01A45">
      <w:pPr>
        <w:pStyle w:val="Heading3"/>
      </w:pPr>
      <w:r>
        <w:rPr>
          <w:rtl/>
        </w:rPr>
        <w:lastRenderedPageBreak/>
        <w:t>קושיות על רש"י:</w:t>
      </w:r>
    </w:p>
    <w:p w14:paraId="3F874E41" w14:textId="77777777" w:rsidR="00C00E31" w:rsidRDefault="00F01A45">
      <w:pPr>
        <w:rPr>
          <w:lang w:bidi="he-IL"/>
        </w:rPr>
      </w:pPr>
      <w:r>
        <w:rPr>
          <w:rtl/>
          <w:lang w:bidi="he-IL"/>
        </w:rPr>
        <w:t>תוס’ מקשה שני קושיות על רש"י; רק הראשון עומד.</w:t>
      </w:r>
    </w:p>
    <w:p w14:paraId="44D1FAA4" w14:textId="77777777" w:rsidR="00C00E31" w:rsidRDefault="00F01A45">
      <w:pPr>
        <w:pStyle w:val="Heading4"/>
        <w:numPr>
          <w:ilvl w:val="0"/>
          <w:numId w:val="0"/>
        </w:numPr>
        <w:ind w:left="1134"/>
      </w:pPr>
      <w:r>
        <w:rPr>
          <w:rtl/>
        </w:rPr>
        <w:t>קושיה ראשונה:</w:t>
      </w:r>
    </w:p>
    <w:p w14:paraId="4689360D" w14:textId="77777777" w:rsidR="00C00E31" w:rsidRDefault="00F01A45">
      <w:pPr>
        <w:pStyle w:val="BodyText"/>
        <w:rPr>
          <w:lang w:bidi="he-IL"/>
        </w:rPr>
      </w:pPr>
      <w:r>
        <w:rPr>
          <w:rtl/>
          <w:lang w:bidi="he-IL"/>
        </w:rPr>
        <w:t xml:space="preserve">גמ’ מדייק מציור של ממאנת שיש קנס לקטנה (כיון שממאנת צ"ל קטנה). קשה איך מדייקים כן, שהרי יכול להיות שמשנה מדברת בממאנת כשהיתה קטנה, כשנאנסה בנערותה. שם יתקיים עוד הסברה של רש"י, ואז נוכל לפרש ציור זה ככה. </w:t>
      </w:r>
    </w:p>
    <w:p w14:paraId="18EB6DB6" w14:textId="77777777" w:rsidR="00C00E31" w:rsidRDefault="00F01A45">
      <w:pPr>
        <w:pStyle w:val="BodyText"/>
        <w:rPr>
          <w:lang w:bidi="he-IL"/>
        </w:rPr>
      </w:pPr>
      <w:r>
        <w:rPr>
          <w:rtl/>
          <w:lang w:bidi="he-IL"/>
        </w:rPr>
        <w:t>לכאו’, הדרך לדחות, לפי רש"י, יהיה לומר שלשון המשנה (או סתימות שלו, או מה שאומר "ממאנת,” ולא "מי שמיאנה") משמע שמדבר בממאנת מיד אחרי שמיאנה.</w:t>
      </w:r>
    </w:p>
    <w:p w14:paraId="1ADCA28E" w14:textId="77777777" w:rsidR="00C00E31" w:rsidRDefault="00F01A45">
      <w:pPr>
        <w:pStyle w:val="Heading4"/>
        <w:numPr>
          <w:ilvl w:val="0"/>
          <w:numId w:val="0"/>
        </w:numPr>
        <w:ind w:left="1134"/>
      </w:pPr>
      <w:r>
        <w:rPr>
          <w:rtl/>
        </w:rPr>
        <w:t>קושיה שנית:</w:t>
      </w:r>
    </w:p>
    <w:p w14:paraId="1D54E759" w14:textId="77777777" w:rsidR="00C00E31" w:rsidRDefault="00F01A45">
      <w:pPr>
        <w:pStyle w:val="BodyText"/>
        <w:rPr>
          <w:lang w:bidi="he-IL"/>
        </w:rPr>
      </w:pPr>
      <w:r>
        <w:rPr>
          <w:rtl/>
          <w:lang w:bidi="he-IL"/>
        </w:rPr>
        <w:t>לפי רש"י, הקרק’ שפוטר הוא שהיתה נשואה כבר (ואז מניחים שנבעלה כבר). אז, קשה למה לא נקט אשה שנתגרשה. (יש לדון רוצה שנאמר הציור של אשה שנתגרשה, שהוא יותר מצוי, או שנאמר אשה שנתקדשה שאינה אשת איש, שיכלל את כל הציורים. לא נראה כשני, כיון שזה דבר ארוך לומר, ולא מסתבר שהיה לו לומר כן.)</w:t>
      </w:r>
    </w:p>
    <w:p w14:paraId="5D3BF8ED" w14:textId="77777777" w:rsidR="00C00E31" w:rsidRDefault="00F01A45">
      <w:pPr>
        <w:pStyle w:val="Heading4"/>
        <w:numPr>
          <w:ilvl w:val="0"/>
          <w:numId w:val="0"/>
        </w:numPr>
        <w:ind w:left="1134"/>
      </w:pPr>
      <w:r>
        <w:rPr>
          <w:rtl/>
        </w:rPr>
        <w:t>דיחוי לקושיה שנית:</w:t>
      </w:r>
    </w:p>
    <w:p w14:paraId="60C993C2" w14:textId="77777777" w:rsidR="00C00E31" w:rsidRDefault="00F01A45">
      <w:pPr>
        <w:pStyle w:val="BodyText"/>
        <w:rPr>
          <w:lang w:bidi="he-IL"/>
        </w:rPr>
      </w:pPr>
      <w:r>
        <w:rPr>
          <w:rtl/>
          <w:lang w:bidi="he-IL"/>
        </w:rPr>
        <w:t xml:space="preserve">דוחה תוס’ שיש שיטה לקמן שכל אשה שנתקדשה- אף אם בוודאי לא נבעלה, שלא נתנשאה- לא מקבלת קנס. אז, אם רק אומר אשה שנתקדשה, הו"א שמכוון לומר כאותו השיטה. (אז, לא נדע מהו הדין לשיטות החולקות.) </w:t>
      </w:r>
    </w:p>
    <w:p w14:paraId="30365664" w14:textId="77777777" w:rsidR="00C00E31" w:rsidRDefault="00F01A45">
      <w:pPr>
        <w:pStyle w:val="BodyText"/>
        <w:rPr>
          <w:lang w:bidi="he-IL"/>
        </w:rPr>
      </w:pPr>
      <w:r>
        <w:rPr>
          <w:rtl/>
          <w:lang w:bidi="he-IL"/>
        </w:rPr>
        <w:lastRenderedPageBreak/>
        <w:t>ק"ק למה לא נוקט אשה שנתנשאה. אז, ממה שלא נקט אשה שנתקדשה, נדע שלא רצה לומר כאותו שיטה. ויש לומר שלא ינקוט כן כיון שצריך לפרש איך הותרה (וכמו שהערנו לעיל). לא יכול לנקוט אשה שנפטרה בגט, כיון שלא ידועים אם נתקדשה או נתנשאה, ואז נוכל לומר שהוא לפי אותה שיטה. וא"ת איך נודע נגד זה בממאנת. צריך לומר שממה ששינה, בא לגלות לנו שלא רצה לומר כאותו שיטה (שכך היינו מניחים, שהוא יותר נודע לנו), אלא מחדש דין אחר. דחוק.</w:t>
      </w:r>
    </w:p>
    <w:p w14:paraId="2F9CF6CC" w14:textId="77777777" w:rsidR="00C00E31" w:rsidRDefault="00F01A45">
      <w:pPr>
        <w:pStyle w:val="Heading2"/>
      </w:pPr>
      <w:r>
        <w:rPr>
          <w:rtl/>
        </w:rPr>
        <w:t>פירוש ר"י:</w:t>
      </w:r>
    </w:p>
    <w:p w14:paraId="33B4B9FD" w14:textId="77777777" w:rsidR="00C00E31" w:rsidRDefault="00F01A45">
      <w:pPr>
        <w:rPr>
          <w:lang w:bidi="he-IL"/>
        </w:rPr>
      </w:pPr>
      <w:r>
        <w:rPr>
          <w:rtl/>
          <w:lang w:bidi="he-IL"/>
        </w:rPr>
        <w:t>ר"י מפרש שמדבר בבעל שאנס או פיתה את אשתו הקטנה (שנשוי לה בקידושין דרבנן). הו"א שיתחייב בקנס, אחרי שמאנה לו, שנמצא שלא היה שום קידושין. מחדש המשנה שלא חייב לה. (אולי זה מפני שרבנן תקנו כעין תי’ דאו’, או אולי זה מפני שרבנן חששו שאל"ה אף אחד לא ישא אשה, שכיון שהוא נשוי לה, אולי מצוי שיאנס או יפתה אותה.</w:t>
      </w:r>
      <w:r>
        <w:rPr>
          <w:rStyle w:val="FootnoteReference"/>
          <w:rtl/>
          <w:lang w:bidi="he-IL"/>
        </w:rPr>
        <w:footnoteReference w:id="4"/>
      </w:r>
      <w:r>
        <w:rPr>
          <w:rtl/>
          <w:lang w:bidi="he-IL"/>
        </w:rPr>
        <w:t xml:space="preserve">) </w:t>
      </w:r>
    </w:p>
    <w:p w14:paraId="374FFC7F" w14:textId="77777777" w:rsidR="00C00E31" w:rsidRDefault="00F01A45">
      <w:pPr>
        <w:rPr>
          <w:lang w:bidi="he-IL"/>
        </w:rPr>
      </w:pPr>
      <w:r>
        <w:rPr>
          <w:rtl/>
          <w:lang w:bidi="he-IL"/>
        </w:rPr>
        <w:t>קצת צריך לבאר למה אין הו"א לחייב אותו גם אם לא מיאנה, שעדיין רק מדרבנן נשואה לו. צריך לומר שאז פשוט שרבנן יעשו את הקידושין שלו בדינים של קידושין דאו’. גם יש לומר ששם הם בייחוס זה לזה. כמו שאין איסור של פנוי הבא על הפנויה, אף שאין נישואין ממש ביניהם, כך לא יתחייב אונס על ביאתם.</w:t>
      </w:r>
    </w:p>
    <w:p w14:paraId="129668F5" w14:textId="77777777" w:rsidR="00C00E31" w:rsidRDefault="00F01A45">
      <w:pPr>
        <w:rPr>
          <w:lang w:bidi="he-IL"/>
        </w:rPr>
      </w:pPr>
      <w:r>
        <w:rPr>
          <w:rtl/>
          <w:lang w:bidi="he-IL"/>
        </w:rPr>
        <w:lastRenderedPageBreak/>
        <w:t>לכאו’, צריך ביאור מהו הצד לחייב אותו, שהרי נפטור אותו כיון שכבר בעל אותה, ואינה בתולה. צריך לומר שמדברים במי שבועל לפעם ראשונה. (אגב, יש להעיר שאז צריך לומר לא היתה נשואה כבר, ואז אין זה נמצא ביתומה בחיי האב. ויש לדון, שאולי נמצא אם רק נתארסה קודם לכן, ולא נבעלה.) קצת קשה, שצריך להיות שיש עדים על זה (שאי לאו כן, הוא מודה בקנס</w:t>
      </w:r>
      <w:r>
        <w:rPr>
          <w:rStyle w:val="FootnoteReference"/>
          <w:rtl/>
          <w:lang w:bidi="he-IL"/>
        </w:rPr>
        <w:footnoteReference w:id="5"/>
      </w:r>
      <w:r>
        <w:rPr>
          <w:rtl/>
          <w:lang w:bidi="he-IL"/>
        </w:rPr>
        <w:t>); זה לא מצוי. אם נאמר שכל ביאה שלהם נחשב פיתוי, לא קשה, אבל עדיין מה שדן באונס ק"ק.</w:t>
      </w:r>
    </w:p>
    <w:p w14:paraId="2F454A29" w14:textId="77777777" w:rsidR="00C00E31" w:rsidRDefault="00F01A45">
      <w:pPr>
        <w:rPr>
          <w:lang w:bidi="he-IL"/>
        </w:rPr>
      </w:pPr>
      <w:r>
        <w:rPr>
          <w:rtl/>
          <w:lang w:bidi="he-IL"/>
        </w:rPr>
        <w:t>אז, אין הק’ על רש"י קשה. הרי, צריך להיות שמדברים בקטנה, שמדברים במי שנבעלה ושוב מיאנה. הרי, רק קטנה ממאנת. (גם מת’ לק’ שנית, שלא נקט נתגרשה, כיון שבא לדון במיאון, שעוקר למפרע.)</w:t>
      </w:r>
    </w:p>
    <w:p w14:paraId="103AC17E" w14:textId="77777777" w:rsidR="00C00E31" w:rsidRDefault="00F01A45">
      <w:pPr>
        <w:rPr>
          <w:lang w:bidi="he-IL"/>
        </w:rPr>
      </w:pPr>
      <w:r>
        <w:rPr>
          <w:rtl/>
          <w:lang w:bidi="he-IL"/>
        </w:rPr>
        <w:t>(יש להעיר שלפי רשי, אבל לא לפי תוס’, יש לומר שגמ’ לא משנה כל כך בין הו"א למס’, שבתחילה, אולי, הניח שממאנת ר"ל ראויה למאן, אלא הוא שהיא במצב שראויה למאן, דהיינו שכבר נשאה. לתוס’, צריך לומר שהיא ממאנת ממש. נראה שכן צריך לומר לפי רש"י, שאי לאו הכי, קשה למה צריך למאן בסוף הנישואין. ותחשב. אבל, ע’ בלשון גמ’ לקמן, שמשמע שמחדש מה שממאנת ר"ל ראוייה למאן, ולא מה שכל קטנה בכלל זה. ויש להעיר שלרש"י, קשה למה לא מרבה עכשיו קטנה.)</w:t>
      </w:r>
    </w:p>
    <w:p w14:paraId="391DB3E6" w14:textId="77777777" w:rsidR="00C00E31" w:rsidRDefault="00F01A45">
      <w:pPr>
        <w:pStyle w:val="Heading3"/>
      </w:pPr>
      <w:r>
        <w:rPr>
          <w:rtl/>
        </w:rPr>
        <w:t>קושיית הר"י:</w:t>
      </w:r>
    </w:p>
    <w:p w14:paraId="438B5014" w14:textId="77777777" w:rsidR="00C00E31" w:rsidRDefault="00F01A45">
      <w:pPr>
        <w:rPr>
          <w:lang w:bidi="he-IL"/>
        </w:rPr>
      </w:pPr>
      <w:r>
        <w:rPr>
          <w:rtl/>
          <w:lang w:bidi="he-IL"/>
        </w:rPr>
        <w:t xml:space="preserve">מקשה ר"י מתי’ גמ’. כמו שבארנו בביאורים שלנו על הגמ’, מנסה גמ’ לומר שמשנה הולך כשיטת רבי יהודה, שסובר שאשה ממאנת כשהיא גודלה. הרי, זה רק אם לא נבעלה כשהיתה גדולה, שאם נבעלה, הביאה עושה קידושין. לכן, </w:t>
      </w:r>
      <w:r>
        <w:rPr>
          <w:rtl/>
          <w:lang w:bidi="he-IL"/>
        </w:rPr>
        <w:lastRenderedPageBreak/>
        <w:t>אומר גמ’, אין לדייק מזה דין קטנה, שיש לומר שמדברים על נערה. הרי, אם נבעלה בהיותה נערה, רבי יהודה סובר שלא יכול למאן. אז, מוכרח שמדברים בנבעלה כשהיא קטנה.</w:t>
      </w:r>
    </w:p>
    <w:p w14:paraId="528BDAB8" w14:textId="77777777" w:rsidR="00C00E31" w:rsidRDefault="00F01A45">
      <w:pPr>
        <w:pStyle w:val="Heading4"/>
        <w:numPr>
          <w:ilvl w:val="0"/>
          <w:numId w:val="0"/>
        </w:numPr>
        <w:ind w:left="1134"/>
      </w:pPr>
      <w:r>
        <w:rPr>
          <w:rtl/>
        </w:rPr>
        <w:t>תי’ ראשון:</w:t>
      </w:r>
    </w:p>
    <w:p w14:paraId="5A529B4F" w14:textId="77777777" w:rsidR="00C00E31" w:rsidRDefault="00F01A45">
      <w:pPr>
        <w:pStyle w:val="BodyText"/>
        <w:rPr>
          <w:lang w:bidi="he-IL"/>
        </w:rPr>
      </w:pPr>
      <w:r>
        <w:rPr>
          <w:rtl/>
          <w:lang w:bidi="he-IL"/>
        </w:rPr>
        <w:t>תי’ שנמצא כשבועל ואומר שלא מכוון לשם קידושין. אז, אין קי’ חלים, ועדיין יכולה למאן, וגם יש ביאה לה.</w:t>
      </w:r>
      <w:r>
        <w:rPr>
          <w:rStyle w:val="FootnoteReference"/>
          <w:rtl/>
          <w:lang w:bidi="he-IL"/>
        </w:rPr>
        <w:footnoteReference w:id="6"/>
      </w:r>
    </w:p>
    <w:p w14:paraId="2E1D1711" w14:textId="77777777" w:rsidR="00C00E31" w:rsidRDefault="00F01A45">
      <w:pPr>
        <w:pStyle w:val="Heading4"/>
        <w:numPr>
          <w:ilvl w:val="0"/>
          <w:numId w:val="0"/>
        </w:numPr>
        <w:ind w:left="1134"/>
      </w:pPr>
      <w:r>
        <w:rPr>
          <w:rtl/>
        </w:rPr>
        <w:lastRenderedPageBreak/>
        <w:t>תי’ שני:</w:t>
      </w:r>
    </w:p>
    <w:p w14:paraId="2D0ABA33" w14:textId="77777777" w:rsidR="00C00E31" w:rsidRDefault="00F01A45">
      <w:pPr>
        <w:pStyle w:val="BodyText"/>
        <w:rPr>
          <w:lang w:bidi="he-IL"/>
        </w:rPr>
      </w:pPr>
      <w:r>
        <w:rPr>
          <w:rtl/>
          <w:lang w:bidi="he-IL"/>
        </w:rPr>
        <w:t>תי’ כעין זה שנמצא בכל פיתוי ואונס; פיתוי ואונס הם ביאות שבהכרח לא מכוון לביאה.</w:t>
      </w:r>
      <w:r>
        <w:rPr>
          <w:rStyle w:val="FootnoteReference"/>
          <w:rtl/>
          <w:lang w:bidi="he-IL"/>
        </w:rPr>
        <w:footnoteReference w:id="7"/>
      </w:r>
    </w:p>
    <w:p w14:paraId="0F95F3E6" w14:textId="77777777" w:rsidR="00C00E31" w:rsidRDefault="00F01A45">
      <w:pPr>
        <w:pStyle w:val="BodyText"/>
        <w:rPr>
          <w:lang w:bidi="he-IL"/>
        </w:rPr>
      </w:pPr>
      <w:r>
        <w:rPr>
          <w:rtl/>
          <w:lang w:bidi="he-IL"/>
        </w:rPr>
        <w:t>לא כל כך פשוט מה בא לחדש בזה. אולי בא לחדש שכל ביאה כזה שאינו על שם קידושין יש לו אותו הדין. יש לדון. גם יש לומר שאומר שלא מוזר שיקרה כן, שכל פיתוי ואונס הוא כן. לא משמע כן מלשון שלו.</w:t>
      </w:r>
      <w:r>
        <w:rPr>
          <w:rStyle w:val="FootnoteReference"/>
          <w:rtl/>
          <w:lang w:bidi="he-IL"/>
        </w:rPr>
        <w:footnoteReference w:id="8"/>
      </w:r>
    </w:p>
    <w:p w14:paraId="06BA68F8" w14:textId="77777777" w:rsidR="00C00E31" w:rsidRDefault="00F01A45">
      <w:pPr>
        <w:pStyle w:val="Heading1"/>
      </w:pPr>
      <w:r>
        <w:rPr>
          <w:rtl/>
        </w:rPr>
        <w:t>ביאור תוס’ ד"ה ולא פיתוי:</w:t>
      </w:r>
    </w:p>
    <w:p w14:paraId="38599E3A" w14:textId="77777777" w:rsidR="00C00E31" w:rsidRDefault="00F01A45">
      <w:pPr>
        <w:pStyle w:val="Heading2"/>
      </w:pPr>
      <w:r>
        <w:rPr>
          <w:rtl/>
        </w:rPr>
        <w:t>קושיית תוס’:</w:t>
      </w:r>
    </w:p>
    <w:p w14:paraId="6117F062" w14:textId="77777777" w:rsidR="00C00E31" w:rsidRDefault="00F01A45">
      <w:pPr>
        <w:rPr>
          <w:lang w:bidi="he-IL"/>
        </w:rPr>
      </w:pPr>
      <w:r>
        <w:rPr>
          <w:rtl/>
          <w:lang w:bidi="he-IL"/>
        </w:rPr>
        <w:t>משנה אומר שלממאנת אין קנס פיתוי ואונס. מקשה שכיון שאין לה אב, שלכן יכולה למאן, קשה למה צריך להזכיר שאין לה פיתוי, שכל יתומה אין לה פיתוי (כיון שמוחלת).</w:t>
      </w:r>
    </w:p>
    <w:p w14:paraId="6E6DCD38" w14:textId="77777777" w:rsidR="00C00E31" w:rsidRDefault="00F01A45">
      <w:pPr>
        <w:rPr>
          <w:lang w:bidi="he-IL"/>
        </w:rPr>
      </w:pPr>
      <w:r>
        <w:rPr>
          <w:rtl/>
          <w:lang w:bidi="he-IL"/>
        </w:rPr>
        <w:t xml:space="preserve">וא"ת מהיכי תיתי שאב שלה מת; אולי היא ממאנת כיון שנתגרשה מנישואין אחרת. אפשר שתוס’ הולך לשיטתו, והוא שהפטור אינו שנבעלה כבר, אלא מי שהיה לו להיות הבעל אינו חייב באונס ופיתוי. אז, צריך לומר שלא היתה נשואה </w:t>
      </w:r>
      <w:r>
        <w:rPr>
          <w:rtl/>
          <w:lang w:bidi="he-IL"/>
        </w:rPr>
        <w:lastRenderedPageBreak/>
        <w:t>כבר (שאילו היתה נשואה, נפטור כיון שכבר נבעלה). קשה, שעדיין יכול להיות שרק היתה מקודשת כבר, ונתגרשה מזה. אז, יכולים האם והאחים לישא אותה, ויכולה למאן. ותחשב. (אולי בטל כוח האב רק אם כבר נשואה. צריך לע’ בקידושין בזה.) גם יש לומר שזה לא יהני כל כך, שרוצה שיהיה לפי מד"א שאז קנס שלה. אם כן, עדיין מוחלת.</w:t>
      </w:r>
    </w:p>
    <w:p w14:paraId="0566D396" w14:textId="77777777" w:rsidR="00C00E31" w:rsidRDefault="00F01A45">
      <w:pPr>
        <w:rPr>
          <w:lang w:bidi="he-IL"/>
        </w:rPr>
      </w:pPr>
      <w:r>
        <w:rPr>
          <w:rtl/>
          <w:lang w:bidi="he-IL"/>
        </w:rPr>
        <w:t>יש להעיר שנקודה זו לא פשוטה. בבלי בוודאי סובר כן, אבל במקום אחר העיר תוס’ שירושלמי חולק על זה. אז, קצת קשה למה לא נאמר שאף זה חידוש.</w:t>
      </w:r>
    </w:p>
    <w:p w14:paraId="54CFC6E1" w14:textId="77777777" w:rsidR="00C00E31" w:rsidRDefault="00F01A45">
      <w:pPr>
        <w:rPr>
          <w:lang w:bidi="he-IL"/>
        </w:rPr>
      </w:pPr>
      <w:r>
        <w:rPr>
          <w:rtl/>
          <w:lang w:bidi="he-IL"/>
        </w:rPr>
        <w:t>יש להעיר שהיה אפשר לומר ש"לא פיתוי" רצה לומר שאין חיוב פיתוי, ולא רק שמניחים מחילה על זה. (הלשון אולי יותר מדוקדק אם מניח שמחילה לא פוטר אותו מן התשלומים, אלא עושה שנחשב שכבר שילם, או כעין זה.) מסתבר שמשנה לא ישמיע לנו את זה, כיון שאין שום נפקא מינא בו.</w:t>
      </w:r>
    </w:p>
    <w:p w14:paraId="420D9814" w14:textId="77777777" w:rsidR="00C00E31" w:rsidRDefault="00F01A45">
      <w:pPr>
        <w:pStyle w:val="Heading2"/>
      </w:pPr>
      <w:r>
        <w:rPr>
          <w:rtl/>
        </w:rPr>
        <w:t>תי’ תוס’:</w:t>
      </w:r>
    </w:p>
    <w:p w14:paraId="1E901826" w14:textId="77777777" w:rsidR="00C00E31" w:rsidRDefault="00F01A45">
      <w:pPr>
        <w:rPr>
          <w:lang w:bidi="he-IL"/>
        </w:rPr>
      </w:pPr>
      <w:r>
        <w:rPr>
          <w:rtl/>
          <w:lang w:bidi="he-IL"/>
        </w:rPr>
        <w:t>תוס’ תי’ שנכון הוא שאין בו חידוש. אבל, כיון שהוא נמנה בשאר הציורים (שיש בו חידוש בכל שאר הציורים</w:t>
      </w:r>
      <w:r>
        <w:rPr>
          <w:rStyle w:val="FootnoteReference"/>
          <w:rtl/>
          <w:lang w:bidi="he-IL"/>
        </w:rPr>
        <w:footnoteReference w:id="9"/>
      </w:r>
      <w:r>
        <w:rPr>
          <w:rtl/>
          <w:lang w:bidi="he-IL"/>
        </w:rPr>
        <w:t xml:space="preserve">), מזכיר אותו גם בציור זה (אגב שאר הציורים). </w:t>
      </w:r>
    </w:p>
    <w:p w14:paraId="18FB3E54" w14:textId="77777777" w:rsidR="00C00E31" w:rsidRDefault="00F01A45">
      <w:pPr>
        <w:rPr>
          <w:lang w:bidi="he-IL"/>
        </w:rPr>
      </w:pPr>
      <w:r>
        <w:rPr>
          <w:rtl/>
          <w:lang w:bidi="he-IL"/>
        </w:rPr>
        <w:lastRenderedPageBreak/>
        <w:t>לולי תוס’, היה אפשר לומר שמזכיר דין פיתוי מחמת דין אונס, שכיון שהם דומים (דומים במה שעשה, ודומים במה משלם, ודומים מתי נוהגים), כיון שהזכיר אונס גם מזכיר פיתוי.</w:t>
      </w:r>
    </w:p>
    <w:p w14:paraId="7992CBCB" w14:textId="77777777" w:rsidR="00C00E31" w:rsidRDefault="00F01A45">
      <w:pPr>
        <w:pStyle w:val="Heading1"/>
      </w:pPr>
      <w:r>
        <w:rPr>
          <w:rtl/>
        </w:rPr>
        <w:t>ביאור תוס’ ד"ה אבל חייבי לאווים:</w:t>
      </w:r>
    </w:p>
    <w:p w14:paraId="0FA11C31" w14:textId="77777777" w:rsidR="00C00E31" w:rsidRDefault="00F01A45">
      <w:pPr>
        <w:pStyle w:val="Heading2"/>
      </w:pPr>
      <w:r>
        <w:rPr>
          <w:rtl/>
        </w:rPr>
        <w:t>הקדמה:</w:t>
      </w:r>
    </w:p>
    <w:p w14:paraId="32C33794" w14:textId="77777777" w:rsidR="00C00E31" w:rsidRDefault="00F01A45">
      <w:pPr>
        <w:rPr>
          <w:lang w:bidi="he-IL"/>
        </w:rPr>
      </w:pPr>
      <w:r>
        <w:rPr>
          <w:rtl/>
          <w:lang w:bidi="he-IL"/>
        </w:rPr>
        <w:t>גמ’ בא לבאר מה הם "עריות,” ומה הם "שניות לעריות.” מפרש שני מהלכים, כפי שני תנאים. תוס’ יבאר תנאים אחרים שיכולים לפרש כמותם.</w:t>
      </w:r>
    </w:p>
    <w:p w14:paraId="0637EFF4" w14:textId="77777777" w:rsidR="00C00E31" w:rsidRDefault="00F01A45">
      <w:pPr>
        <w:pStyle w:val="Heading2"/>
      </w:pPr>
      <w:r>
        <w:rPr>
          <w:rtl/>
        </w:rPr>
        <w:t>קושיית תוס’:</w:t>
      </w:r>
    </w:p>
    <w:p w14:paraId="2AFD062F" w14:textId="77777777" w:rsidR="00C00E31" w:rsidRDefault="00F01A45">
      <w:pPr>
        <w:rPr>
          <w:lang w:bidi="he-IL"/>
        </w:rPr>
      </w:pPr>
      <w:r>
        <w:rPr>
          <w:rtl/>
          <w:lang w:bidi="he-IL"/>
        </w:rPr>
        <w:t>למה לא מפרש ש"עריות" הם חייבי מיתה, ו"שניות לעריות" הם חיייבי כרת, אבל לא כשיטת שמעון התימני, אלא כשיטת רבי נחוניה בן הקנה, שאומר שחייבי כריתות פוטר מחיוב ממון כמו שחיוב מיתה פוטר מחיוב ממון.</w:t>
      </w:r>
      <w:r>
        <w:rPr>
          <w:rStyle w:val="FootnoteReference"/>
          <w:rtl/>
          <w:lang w:bidi="he-IL"/>
        </w:rPr>
        <w:footnoteReference w:id="10"/>
      </w:r>
    </w:p>
    <w:p w14:paraId="47E308CC" w14:textId="77777777" w:rsidR="00C00E31" w:rsidRDefault="00F01A45">
      <w:pPr>
        <w:pStyle w:val="Heading2"/>
      </w:pPr>
      <w:r>
        <w:rPr>
          <w:rtl/>
        </w:rPr>
        <w:t>תי’ תוס’:</w:t>
      </w:r>
    </w:p>
    <w:p w14:paraId="6BD55E23" w14:textId="77777777" w:rsidR="00C00E31" w:rsidRDefault="00F01A45">
      <w:pPr>
        <w:rPr>
          <w:lang w:bidi="he-IL"/>
        </w:rPr>
      </w:pPr>
      <w:r>
        <w:rPr>
          <w:rtl/>
          <w:lang w:bidi="he-IL"/>
        </w:rPr>
        <w:t xml:space="preserve">באר שלשון של המשנה לא משמע כן. קורא לציור אחד "עריות,” ולציור שני "שניות לעריות.” מניח תוס’ שהם שניות במה שאין הפטור מממון כל כך פשוט. לכאו’ הוא מה שהוא רק כאן, אבל לא במקום אחד. בדרך כלל, אין פטור ממון למי שבעל ערווה כזה, ולכן נקראת שניה. אבל, עריות עצמם, דהיינו חייבי </w:t>
      </w:r>
      <w:r>
        <w:rPr>
          <w:rtl/>
          <w:lang w:bidi="he-IL"/>
        </w:rPr>
        <w:lastRenderedPageBreak/>
        <w:t>מיתה, תמיד פוטרים מממון. (גם אפשר לומר שהוא שניות במה שאינם כל כך פשוטים מן הקראי, וצריכים לחפש למקור.)</w:t>
      </w:r>
    </w:p>
    <w:p w14:paraId="7389515C" w14:textId="77777777" w:rsidR="00C00E31" w:rsidRDefault="00F01A45">
      <w:pPr>
        <w:rPr>
          <w:lang w:bidi="he-IL"/>
        </w:rPr>
      </w:pPr>
      <w:r>
        <w:rPr>
          <w:rtl/>
          <w:lang w:bidi="he-IL"/>
        </w:rPr>
        <w:t>קצת קשה למה לא חושב שנקראים שניות כיון שאין החומרא העונש שלהם כל כך חמור. אפשר לומר ששניה לא משמע שאינו כל כך חזק, אלא משמע שהוא שווה לדבר, אבל גרוע ממנו באותו דבר שהם שווים. אז, אומרים אותו גבי איסורים דברנן, שהם בכלל אחד, שהם למנוע מרע אחת, אבל אחד יותר חזק בו, שגורם אותו רעה, ואחד יותר קלוש, שהוא רק הרחק ממה שגורם אותו רעה. אז, כמו כן צריך לומר כאן, שהם שווים בדבר, בפטור ממון, אבל אחד יותר חזק בו, כמו שבארנו, ואחד יותר קלוש בו. ותחשב.</w:t>
      </w:r>
    </w:p>
    <w:p w14:paraId="76031EF2" w14:textId="77777777" w:rsidR="00C00E31" w:rsidRDefault="00F01A45">
      <w:pPr>
        <w:pStyle w:val="Heading2"/>
      </w:pPr>
      <w:r>
        <w:rPr>
          <w:rtl/>
        </w:rPr>
        <w:t>קושיית תוס’:</w:t>
      </w:r>
    </w:p>
    <w:p w14:paraId="70C712BC" w14:textId="77777777" w:rsidR="00C00E31" w:rsidRDefault="00F01A45">
      <w:pPr>
        <w:rPr>
          <w:lang w:bidi="he-IL"/>
        </w:rPr>
      </w:pPr>
      <w:r>
        <w:rPr>
          <w:rtl/>
          <w:lang w:bidi="he-IL"/>
        </w:rPr>
        <w:t>למה לא מפרש ש"עריות" הוא חיובי מיתה ו"שניות לעריות" הוא חייבי כרת ולאו. כך יתקיים לפי רבי עקיבא, כיון שסובר שחייבי לאווים הם כחייבי כריתות.</w:t>
      </w:r>
      <w:r>
        <w:rPr>
          <w:rStyle w:val="FootnoteReference"/>
          <w:rtl/>
          <w:lang w:bidi="he-IL"/>
        </w:rPr>
        <w:footnoteReference w:id="11"/>
      </w:r>
      <w:r>
        <w:rPr>
          <w:rtl/>
          <w:lang w:bidi="he-IL"/>
        </w:rPr>
        <w:t xml:space="preserve"> זה יהיה כדרשה לפי שמעון התימני.</w:t>
      </w:r>
    </w:p>
    <w:p w14:paraId="2026BAFF" w14:textId="77777777" w:rsidR="00C00E31" w:rsidRDefault="00F01A45">
      <w:pPr>
        <w:pStyle w:val="Heading2"/>
      </w:pPr>
      <w:r>
        <w:rPr>
          <w:rtl/>
        </w:rPr>
        <w:t>תי’ תוס’:</w:t>
      </w:r>
    </w:p>
    <w:p w14:paraId="08E0967E" w14:textId="77777777" w:rsidR="00C00E31" w:rsidRDefault="00F01A45">
      <w:pPr>
        <w:rPr>
          <w:lang w:bidi="he-IL"/>
        </w:rPr>
      </w:pPr>
      <w:r>
        <w:rPr>
          <w:rtl/>
          <w:lang w:bidi="he-IL"/>
        </w:rPr>
        <w:t xml:space="preserve">תוס’ תי’ שלא רוצים שיהיה כשיטת רבי עקיבא נגד הרבנן. לכאו’, זה גם יתרץ. לקושייתו הראשונה (שלא יהיה כשיטת רנבה"ק נגד רבנן.) ויש לדון, ששם יהיה או </w:t>
      </w:r>
      <w:r>
        <w:rPr>
          <w:rtl/>
          <w:lang w:bidi="he-IL"/>
        </w:rPr>
        <w:lastRenderedPageBreak/>
        <w:t>כשה"ת או כרנבה"ק, ושניהם נגד רבנן. כאן, מצרפים שני יחידים, שהוא כר"ע נגד רבנן וכשה"ת נגד רבנן.</w:t>
      </w:r>
    </w:p>
    <w:p w14:paraId="2AFA08B0" w14:textId="77777777" w:rsidR="00C00E31" w:rsidRDefault="00F01A45">
      <w:pPr>
        <w:pStyle w:val="Heading2"/>
      </w:pPr>
      <w:r>
        <w:rPr>
          <w:rtl/>
        </w:rPr>
        <w:t>תי’ תוס’:</w:t>
      </w:r>
    </w:p>
    <w:p w14:paraId="552C0228" w14:textId="77777777" w:rsidR="00C00E31" w:rsidRDefault="00F01A45">
      <w:pPr>
        <w:rPr>
          <w:lang w:bidi="he-IL"/>
        </w:rPr>
      </w:pPr>
      <w:r>
        <w:rPr>
          <w:rtl/>
          <w:lang w:bidi="he-IL"/>
        </w:rPr>
        <w:t>תוס’ תי’ שכיון שכבר אמר אחד לפי רבנן לפי שה"ת, רוצה לומר אחד לפי רבנן לפי רשב"מ, שהוא החולק על שה"ת בסוגיה זו. (אף שיש מח’ ידוע בין רבנן לר"ע, לא חולקים בסוגיה זו.) וא"ת למה בראשון אמר שיטת רבנן לפי רשב"מ, ולא שיטת ר"ע. וי"ל כתי’ ראשון (אלא שזה יותר טוב מתי’ ראשו, שאף אם נאמר כיחיד, לא נאמר כיחיד במקום לומר כרבים). נראה שאפשר לומר כעין זה לת’ לק’ ראשון, לומר שאין הענין רק שכיון שהזכרנו חולק אחד מזכירים שיטה האחרת, אלא שרוצים להזכיר שני חולקים. אז, לא נזכיר רבי נחוניה בן הקנה, שלא מצאנו שיחלוק עם תנא אחר בדין זה. ותחשב על זה.</w:t>
      </w:r>
    </w:p>
    <w:p w14:paraId="145B978B" w14:textId="77777777" w:rsidR="00C00E31" w:rsidRDefault="00F01A45">
      <w:pPr>
        <w:pStyle w:val="Heading1"/>
      </w:pPr>
      <w:r>
        <w:rPr>
          <w:rtl/>
        </w:rPr>
        <w:t>ביאור תוס’ ד"ה עד שירבה:</w:t>
      </w:r>
    </w:p>
    <w:p w14:paraId="18D16F43" w14:textId="77777777" w:rsidR="00C00E31" w:rsidRDefault="00F01A45">
      <w:pPr>
        <w:pStyle w:val="Heading2"/>
      </w:pPr>
      <w:r>
        <w:rPr>
          <w:rtl/>
        </w:rPr>
        <w:t>הקדמה:</w:t>
      </w:r>
    </w:p>
    <w:p w14:paraId="35A626EC" w14:textId="77777777" w:rsidR="00C00E31" w:rsidRDefault="00F01A45">
      <w:pPr>
        <w:rPr>
          <w:lang w:bidi="he-IL"/>
        </w:rPr>
      </w:pPr>
      <w:r>
        <w:rPr>
          <w:rtl/>
          <w:lang w:bidi="he-IL"/>
        </w:rPr>
        <w:t>שיטת רבי יהודה הוא שיכולה אשה למאן אף אחרי שנתגדלה, עד זמן מסויים. תוס’ יביא שני גירסאות באותו זמן.</w:t>
      </w:r>
    </w:p>
    <w:p w14:paraId="422FED72" w14:textId="77777777" w:rsidR="00C00E31" w:rsidRDefault="00F01A45">
      <w:pPr>
        <w:pStyle w:val="Heading2"/>
      </w:pPr>
      <w:r>
        <w:rPr>
          <w:rtl/>
        </w:rPr>
        <w:t>גירסא ראשונה:</w:t>
      </w:r>
    </w:p>
    <w:p w14:paraId="43B513B8" w14:textId="77777777" w:rsidR="00C00E31" w:rsidRDefault="00F01A45">
      <w:pPr>
        <w:rPr>
          <w:lang w:bidi="he-IL"/>
        </w:rPr>
      </w:pPr>
      <w:r>
        <w:rPr>
          <w:rtl/>
          <w:lang w:bidi="he-IL"/>
        </w:rPr>
        <w:t>אותו זמן הוא זמן שירבה השחור על הלבן. בתחילה, תוס’ מפרש שהשחור הוא השער והלבן הוא הבשר. אז, אומר שבאותו מקום (קצת צריך ביאור מה בכלל אותו מקום) נתרבה השער על הבשר.</w:t>
      </w:r>
    </w:p>
    <w:p w14:paraId="14C24380" w14:textId="77777777" w:rsidR="00C00E31" w:rsidRDefault="00F01A45">
      <w:pPr>
        <w:pStyle w:val="Heading2"/>
      </w:pPr>
      <w:r>
        <w:rPr>
          <w:rtl/>
        </w:rPr>
        <w:lastRenderedPageBreak/>
        <w:t>גירסא שני:</w:t>
      </w:r>
    </w:p>
    <w:p w14:paraId="7BA44E2D" w14:textId="77777777" w:rsidR="00C00E31" w:rsidRDefault="00F01A45">
      <w:pPr>
        <w:rPr>
          <w:lang w:bidi="he-IL"/>
        </w:rPr>
      </w:pPr>
      <w:r>
        <w:rPr>
          <w:rtl/>
          <w:lang w:bidi="he-IL"/>
        </w:rPr>
        <w:t>אותו זמן הוא שירבה השחור. השחור הוא השער; אז, רק אומר שצריך להיות הרבה שער. יש להעיר שלפי גי’ זו השיעור שנותן רבי יהודה הוא מאד קשה להגדיר (בלי סיוע מגמ’), שרק אומר שצריך להיות הרבה. פשוט ש"הרבה" אינה הגדרה טובה. אז, קצת מוזר שרבי יהודה יפרש כן.</w:t>
      </w:r>
    </w:p>
    <w:p w14:paraId="69581BE4" w14:textId="77777777" w:rsidR="00C00E31" w:rsidRDefault="00F01A45">
      <w:pPr>
        <w:pStyle w:val="Heading2"/>
      </w:pPr>
      <w:r>
        <w:rPr>
          <w:rtl/>
        </w:rPr>
        <w:t>הוכחה לגי’ שני:</w:t>
      </w:r>
    </w:p>
    <w:p w14:paraId="7432EA4B" w14:textId="77777777" w:rsidR="00C00E31" w:rsidRDefault="00F01A45">
      <w:pPr>
        <w:rPr>
          <w:lang w:bidi="he-IL"/>
        </w:rPr>
      </w:pPr>
      <w:r>
        <w:rPr>
          <w:rtl/>
          <w:lang w:bidi="he-IL"/>
        </w:rPr>
        <w:t>גמ’ אומר בנדה שלא באמת צריכים שירבה השחור, אלא רק צריכים שיהיה נראה כאילו הרבה השחור, והוא שיהיו שני שערות שוכבות. אם צריך להרבות על הלבן, קשה להבין גמ’ זו, שזה לא יהיה נראה שיש יותר שחור מן הבשר. אז, צריכים לפרש שלא לגרוס זה, אלא לומר שהוא עד שירבה השחור.</w:t>
      </w:r>
    </w:p>
    <w:p w14:paraId="605331BC" w14:textId="77777777" w:rsidR="00C00E31" w:rsidRDefault="00F01A45">
      <w:pPr>
        <w:pStyle w:val="Heading2"/>
      </w:pPr>
      <w:r>
        <w:rPr>
          <w:rtl/>
        </w:rPr>
        <w:t>דיחוי ההוכחה וביאור גי’ ראשונה:</w:t>
      </w:r>
    </w:p>
    <w:p w14:paraId="72A7E81D" w14:textId="77777777" w:rsidR="00C00E31" w:rsidRDefault="00F01A45">
      <w:pPr>
        <w:rPr>
          <w:lang w:bidi="he-IL"/>
        </w:rPr>
      </w:pPr>
      <w:r>
        <w:rPr>
          <w:rtl/>
          <w:lang w:bidi="he-IL"/>
        </w:rPr>
        <w:t>דוחה תוס’ על פי מה שפי’ הר"ח בגי’ ראשונה. הר"ח פי’ שאין הלבן מכוון לבשר. אלא, בתחילה, השער שיוצא ממנה לבן. צריכים ששחור של השער ירבה על הלבן של השער (או שייהה נראה כן).</w:t>
      </w:r>
      <w:r>
        <w:rPr>
          <w:rStyle w:val="FootnoteReference"/>
          <w:rtl/>
          <w:lang w:bidi="he-IL"/>
        </w:rPr>
        <w:footnoteReference w:id="12"/>
      </w:r>
    </w:p>
    <w:p w14:paraId="2E80932D" w14:textId="77777777" w:rsidR="00C00E31" w:rsidRDefault="00F01A45">
      <w:pPr>
        <w:rPr>
          <w:lang w:bidi="he-IL"/>
        </w:rPr>
      </w:pPr>
      <w:r>
        <w:rPr>
          <w:rtl/>
          <w:lang w:bidi="he-IL"/>
        </w:rPr>
        <w:t xml:space="preserve">גם היה אפשר לפרש ש"על הלבן" לא רצה לומר "יותר מן הלבן,” אלא מפרש על איזה שחור אנו דנים, והוא השחור שהוא על הלבן. אולי אותו מקום בגוף הוא </w:t>
      </w:r>
      <w:r>
        <w:rPr>
          <w:rtl/>
          <w:lang w:bidi="he-IL"/>
        </w:rPr>
        <w:lastRenderedPageBreak/>
        <w:t>לבן ביותר (איך אני אדע המציאות), ומפרש שעל אותו שער מדברים. לא נראה כן, שלכאו’, פשוט על איזה מין שער אנו מדברים. כמו כן, יש לומר שרצה לומר שהשחור שעל הלבן, ולא שיוצא ממנה ירבה. במילים אחרים, יש חלק מן השער שהוא נקרא על הלבן, שהוא קרוב לבשר, ויש חלק ממנו שאינו על הבשר, אלא כבר יצא ממנו. צריך להיות ששחור שעל הלבן נתרבה. גמ’ מפרש שלא צריך להיות רק הסמוך לו (מה שהוא ממש עליו), אלא אף מספיק אם שוכב, ואז נראה שהוא עליו.</w:t>
      </w:r>
    </w:p>
    <w:p w14:paraId="159AFBE5" w14:textId="77777777" w:rsidR="00C00E31" w:rsidRDefault="00F01A45">
      <w:pPr>
        <w:rPr>
          <w:lang w:bidi="he-IL"/>
        </w:rPr>
      </w:pPr>
      <w:r>
        <w:rPr>
          <w:rtl/>
          <w:lang w:bidi="he-IL"/>
        </w:rPr>
        <w:t>ואגב, יש להביא שרש"י כ’ כגי’ שנית בנדה, וביבמות, ובב"ב, ובחולין. אבל, לא גורס כמותו כאן. מסתבר שצריכים לשנות את הגי’ כאן. (שוב ראיתי שעוז והדר דן בזה בהגו"צ שלו.)</w:t>
      </w:r>
      <w:r>
        <w:rPr>
          <w:rStyle w:val="FootnoteReference"/>
          <w:rtl/>
          <w:lang w:bidi="he-IL"/>
        </w:rPr>
        <w:footnoteReference w:id="13"/>
      </w:r>
    </w:p>
    <w:p w14:paraId="75BE2BCC" w14:textId="77777777" w:rsidR="00C00E31" w:rsidRDefault="00F01A45">
      <w:pPr>
        <w:pStyle w:val="Heading1"/>
      </w:pPr>
      <w:r>
        <w:rPr>
          <w:rtl/>
        </w:rPr>
        <w:lastRenderedPageBreak/>
        <w:t>ביאור תוס’ ד"ה זו דברי רבי מאיר:</w:t>
      </w:r>
    </w:p>
    <w:p w14:paraId="1BA32660" w14:textId="77777777" w:rsidR="00C00E31" w:rsidRDefault="00F01A45">
      <w:pPr>
        <w:pStyle w:val="Heading2"/>
      </w:pPr>
      <w:r>
        <w:rPr>
          <w:rtl/>
        </w:rPr>
        <w:t>ציון:</w:t>
      </w:r>
    </w:p>
    <w:p w14:paraId="5D03EEB0" w14:textId="77777777" w:rsidR="00C00E31" w:rsidRDefault="00F01A45">
      <w:pPr>
        <w:rPr>
          <w:lang w:bidi="he-IL"/>
        </w:rPr>
      </w:pPr>
      <w:r>
        <w:rPr>
          <w:rtl/>
          <w:lang w:bidi="he-IL"/>
        </w:rPr>
        <w:t>תוס’ מביא על איזה דבר נאמר אותו מאמר; נאמר על מה שאמר משנה ש"כל מקום שיש קנס…,” שאין קנס לקטנה. (גם רש"י מביא אותו משם.) גם רש"י מביא אותו משם.</w:t>
      </w:r>
    </w:p>
    <w:p w14:paraId="7AE8D084" w14:textId="77777777" w:rsidR="00C00E31" w:rsidRDefault="00F01A45">
      <w:pPr>
        <w:rPr>
          <w:lang w:bidi="he-IL"/>
        </w:rPr>
      </w:pPr>
      <w:r>
        <w:rPr>
          <w:rtl/>
          <w:lang w:bidi="he-IL"/>
        </w:rPr>
        <w:t>נראה שתוס’ בא לפרש שלא תאמר שנאמר על הבריי’ הזה (אולי מפני שיודעים שלא אמר עליו או אולי מפני שאז תי’ של גמ’ לא כל כך טוב, שהמשנה צריך להיות רבי מאיר, ולא כמותו בדבר אחד ונגדו בדבר אחר).</w:t>
      </w:r>
    </w:p>
    <w:p w14:paraId="50945E73" w14:textId="77777777" w:rsidR="00C00E31" w:rsidRDefault="00F01A45">
      <w:pPr>
        <w:pStyle w:val="Heading1"/>
      </w:pPr>
      <w:r>
        <w:rPr>
          <w:rtl/>
        </w:rPr>
        <w:t>ביאור תוד"ה ואם איתא:</w:t>
      </w:r>
    </w:p>
    <w:p w14:paraId="66F83D6A" w14:textId="77777777" w:rsidR="00C00E31" w:rsidRDefault="00F01A45">
      <w:pPr>
        <w:pStyle w:val="Heading2"/>
      </w:pPr>
      <w:r>
        <w:rPr>
          <w:rtl/>
        </w:rPr>
        <w:t>הקדמה:</w:t>
      </w:r>
    </w:p>
    <w:p w14:paraId="5C58EAF7" w14:textId="77777777" w:rsidR="00C00E31" w:rsidRDefault="00F01A45">
      <w:pPr>
        <w:rPr>
          <w:lang w:bidi="he-IL"/>
        </w:rPr>
      </w:pPr>
      <w:r>
        <w:rPr>
          <w:rtl/>
          <w:lang w:bidi="he-IL"/>
        </w:rPr>
        <w:t>בדרך כלל, אם אדם בא על אשת איש, הוא והיא נהרגים במיתת חנק. יש יוצא מכלל זה, והוא בא על נערה המאורסה. שם, הוא והיא חייבים בסקילה. חולקים רבנן ורבי מאיר אם דין זה גם כן בקטנה המאורסה (כן סוברים רבנן) או לא (כן סובר רבי מאיר).</w:t>
      </w:r>
    </w:p>
    <w:p w14:paraId="5A3AEF4E" w14:textId="77777777" w:rsidR="00C00E31" w:rsidRDefault="00F01A45">
      <w:pPr>
        <w:rPr>
          <w:lang w:bidi="he-IL"/>
        </w:rPr>
      </w:pPr>
      <w:r>
        <w:rPr>
          <w:rtl/>
          <w:lang w:bidi="he-IL"/>
        </w:rPr>
        <w:t>גמ’ בסנהדרין (סו:) שואל מה הדין בבא על הקטנה לפי רבי מאיר- אם חייב חנק או לא חייב מיתה. מסיק שחייב חנק, ומקשה ממה שכ’, “גם שניהם,” שמדמה הבועל לאשה. לבסוף, יוצא שמח’ תנאים הוא, בין רבי יאשיה לרבי יונתן, אם מדמים אותם (רבי יאשה) או לא מדמים (רבי יונתן).</w:t>
      </w:r>
    </w:p>
    <w:p w14:paraId="21FB5A8E" w14:textId="77777777" w:rsidR="00C00E31" w:rsidRDefault="00F01A45">
      <w:pPr>
        <w:rPr>
          <w:lang w:bidi="he-IL"/>
        </w:rPr>
      </w:pPr>
      <w:r>
        <w:rPr>
          <w:rtl/>
          <w:lang w:bidi="he-IL"/>
        </w:rPr>
        <w:t xml:space="preserve">מצאנו שני פירושים בדמיון שנעשה. רש"י פי’ שהדמון הוא שרק מחייבים מיתה אם דומים במה ששניהם הם בני חיוב מיתה. אז, קושיית גמ’ הוא שכשבא על קטנה, לא יוכל לחייב שום מיתה, כיון שאין הקטנה חייב במיתה. וא"ת אם כן </w:t>
      </w:r>
      <w:r>
        <w:rPr>
          <w:rtl/>
          <w:lang w:bidi="he-IL"/>
        </w:rPr>
        <w:lastRenderedPageBreak/>
        <w:t>נק’ גם לפי רבנן. וי"ל שלפי רבנן זה לא נלמד מאותו פסוק שבו כ’,”שניהם,” אלא מקרא שמחייב אותו סקילה. ר"ת פיפ’ שרק מחייבים מיתה אם דומים במה שלשניהם יש (אילו חייב מיתה) אותו מין של מיתה. אז, גמ’ מקשה שלא יחייב במיתה אם בא על הקטן, כיון שהוא יחייב מיתת חנק. אילו היתה גדולה וחייבת מיתה, היתה חייבת סקילה. אז, אינם דומים, ולא יתחייב.</w:t>
      </w:r>
      <w:r>
        <w:rPr>
          <w:rStyle w:val="FootnoteReference"/>
          <w:rtl/>
          <w:lang w:bidi="he-IL"/>
        </w:rPr>
        <w:footnoteReference w:id="14"/>
      </w:r>
    </w:p>
    <w:p w14:paraId="42CDBD8C" w14:textId="77777777" w:rsidR="00C00E31" w:rsidRDefault="00F01A45">
      <w:pPr>
        <w:rPr>
          <w:lang w:bidi="he-IL"/>
        </w:rPr>
      </w:pPr>
      <w:r>
        <w:rPr>
          <w:rtl/>
          <w:lang w:bidi="he-IL"/>
        </w:rPr>
        <w:t>מה שתוס’ יביא מן הגמ’ הוא שיש שיטות שם שסוברים כרבי מאיר במה שממעט קטנה. לפי רש"י, רבי יאשיה סובר כן, שממעט ממיתה ציור שקטנה היא. אם כן, אי אפשר לומר שחייב עליה סקילה. לכאו’, היה אפשר לדחות שרבי יאשיה הוא, בהכרח, לפי רבנן, בשאר ציורים שבא על קטנה. אבל, לרבי מאיר יהיה גם בציור זה. אז, אין הוכחה מדברי רבי יאשיה לרבי מאיר. (ועיין שם בראשונים שכנראה לא פשוט למעט בא על קטנה. אולי לא יכולים להוקים אותו בשום ציור חוץ מכאן.)</w:t>
      </w:r>
    </w:p>
    <w:p w14:paraId="69ED7408" w14:textId="77777777" w:rsidR="00C00E31" w:rsidRDefault="00F01A45">
      <w:pPr>
        <w:rPr>
          <w:lang w:bidi="he-IL"/>
        </w:rPr>
      </w:pPr>
      <w:r>
        <w:rPr>
          <w:rtl/>
          <w:lang w:bidi="he-IL"/>
        </w:rPr>
        <w:t>לכאו’, לפי רבי יונתן יהיה לנו אותו ראיה, שרק לא דורש כרבי יאשיה כיון שיש קרא אחר. יש לומר שאחרי שכתוב אותו קרא, דורש כרבנן. במילים אחרים, לא היינו דרושים כרבנן נגד שני הפסוקים (אחד שמשמע כרבי מאיר ואחד שמשמע כרבי יאשיה), אבל כשעושים כשני פסוקים דורשים נגד שני הפסוקים.</w:t>
      </w:r>
    </w:p>
    <w:p w14:paraId="55893E62" w14:textId="77777777" w:rsidR="00C00E31" w:rsidRDefault="00F01A45">
      <w:pPr>
        <w:rPr>
          <w:lang w:bidi="he-IL"/>
        </w:rPr>
      </w:pPr>
      <w:r>
        <w:rPr>
          <w:rtl/>
          <w:lang w:bidi="he-IL"/>
        </w:rPr>
        <w:lastRenderedPageBreak/>
        <w:t>לפי תוס’, שתי השיטות סוברים כרבי מאיר, שחולקים אם יהיה חיוב מיתה אחרי שהמיתה שיתחייבו יהיה שונה. השינוי צריך להיות שהיא מקבלת סקילה והוא מקבל חנק. אז, צריך לומר ששניהם סוברים שהוא מקבל חנק.</w:t>
      </w:r>
    </w:p>
    <w:p w14:paraId="0D2B0986" w14:textId="77777777" w:rsidR="00C00E31" w:rsidRDefault="00F01A45">
      <w:pPr>
        <w:rPr>
          <w:lang w:bidi="he-IL"/>
        </w:rPr>
      </w:pPr>
      <w:r>
        <w:rPr>
          <w:rtl/>
          <w:lang w:bidi="he-IL"/>
        </w:rPr>
        <w:t>כיון ששני המחלקתים בין רבנן לרבי מאיר תלויים זה בזה, צריך לומר שסוברים כרבי מאיר גם כאן.</w:t>
      </w:r>
      <w:r>
        <w:rPr>
          <w:rStyle w:val="FootnoteReference"/>
          <w:rtl/>
          <w:lang w:bidi="he-IL"/>
        </w:rPr>
        <w:footnoteReference w:id="15"/>
      </w:r>
    </w:p>
    <w:p w14:paraId="47191DF0" w14:textId="77777777" w:rsidR="00C00E31" w:rsidRDefault="00F01A45">
      <w:pPr>
        <w:pStyle w:val="Heading2"/>
      </w:pPr>
      <w:r>
        <w:rPr>
          <w:rtl/>
        </w:rPr>
        <w:t>קושיית תוס’:</w:t>
      </w:r>
    </w:p>
    <w:p w14:paraId="299E6C3C" w14:textId="77777777" w:rsidR="00C00E31" w:rsidRDefault="00F01A45">
      <w:pPr>
        <w:rPr>
          <w:lang w:bidi="he-IL"/>
        </w:rPr>
      </w:pPr>
      <w:r>
        <w:rPr>
          <w:rtl/>
          <w:lang w:bidi="he-IL"/>
        </w:rPr>
        <w:t>גמ’ דייק ממה שאמר "זו דברי רבי מאיר" שרק רבי מאיר סובר כן, ולא שום תנא אחר. לכן, אי אפשר שרבי יהודה סובר כמותו. קשה, שיש תנא אחר (או תנאים אחרים) שסוב’ כרבי מאיר, כמו שבארנו לעיל בהקדמה. אז, מוכרח שלא לדרוש ככה.</w:t>
      </w:r>
    </w:p>
    <w:p w14:paraId="3DAB10CA" w14:textId="77777777" w:rsidR="00C00E31" w:rsidRDefault="00F01A45">
      <w:pPr>
        <w:pStyle w:val="Heading2"/>
      </w:pPr>
      <w:r>
        <w:rPr>
          <w:rtl/>
        </w:rPr>
        <w:t>תי’ תוס’:</w:t>
      </w:r>
    </w:p>
    <w:p w14:paraId="66AFEACD" w14:textId="77777777" w:rsidR="00C00E31" w:rsidRDefault="00F01A45">
      <w:pPr>
        <w:rPr>
          <w:lang w:bidi="he-IL"/>
        </w:rPr>
      </w:pPr>
      <w:r>
        <w:rPr>
          <w:rtl/>
          <w:lang w:bidi="he-IL"/>
        </w:rPr>
        <w:t>תוס’ תי’ שרק יש להוכיח מלשון "זה דברי רבי מאיר" שבר פלוגתא שלו לא מודה לו. רבי יהודה היה בא פלוגתא שלו, אבל רבי יאשיה ורבי יונתן לא היו ב"פ שלו. אז, יכול להיות שמודים לשיטת רבי מאיר.</w:t>
      </w:r>
      <w:r>
        <w:rPr>
          <w:rStyle w:val="FootnoteReference"/>
          <w:rtl/>
          <w:lang w:bidi="he-IL"/>
        </w:rPr>
        <w:footnoteReference w:id="16"/>
      </w:r>
    </w:p>
    <w:p w14:paraId="05CF9703" w14:textId="77777777" w:rsidR="00C00E31" w:rsidRDefault="00F01A45">
      <w:pPr>
        <w:pStyle w:val="Heading2"/>
      </w:pPr>
      <w:r>
        <w:rPr>
          <w:rtl/>
        </w:rPr>
        <w:lastRenderedPageBreak/>
        <w:t>קושיית תוס’:</w:t>
      </w:r>
    </w:p>
    <w:p w14:paraId="07E10E15" w14:textId="77777777" w:rsidR="00C00E31" w:rsidRDefault="00F01A45">
      <w:pPr>
        <w:rPr>
          <w:lang w:bidi="he-IL"/>
        </w:rPr>
      </w:pPr>
      <w:r>
        <w:rPr>
          <w:rtl/>
          <w:lang w:bidi="he-IL"/>
        </w:rPr>
        <w:t>מקשה תוס’ שכיון שמצאנו מי שסובר כרבי מאיר, נוכל לומר שהוא גם סובר כרבי יהודה. אז, נוכל לומר שמשנה שלנו כרבי יאשיה או כרבי יונתן.</w:t>
      </w:r>
    </w:p>
    <w:p w14:paraId="5FE5F3C0" w14:textId="77777777" w:rsidR="00C00E31" w:rsidRDefault="00F01A45">
      <w:pPr>
        <w:rPr>
          <w:lang w:bidi="he-IL"/>
        </w:rPr>
      </w:pPr>
      <w:r>
        <w:rPr>
          <w:rtl/>
          <w:lang w:bidi="he-IL"/>
        </w:rPr>
        <w:t>קצת יש לדון למה יותר טוב לומר שהוא כרבי יאשיה או רבי יונתן. כמו שאפשר לומר שהוא ר"י ור"י שסובר כאחד בזה וכאחד בזה, כך יש לומר שהוא סתם תנא שסובר כן. (רצה לומר, הם היו בדור שלאחריהם, כמו ר"י, ולכאו’ אין מעלה שלא לומר כתי’ אחרון של גמ’ אלא מה שמקדים אותו דור.) ויש לדון, שאולי יותר טוב אם יודעים שם של אותו תנא (צריך ביאור למה, אבל כן נראה מגמ’ אחרים שאומרים "אם כן, אמאן תרמייה").</w:t>
      </w:r>
    </w:p>
    <w:p w14:paraId="13C4E877" w14:textId="77777777" w:rsidR="00C00E31" w:rsidRDefault="00F01A45">
      <w:pPr>
        <w:pStyle w:val="Heading1"/>
      </w:pPr>
      <w:r>
        <w:rPr>
          <w:rtl/>
        </w:rPr>
        <w:lastRenderedPageBreak/>
        <w:t>ביאור תוס’ ד"ה וליתני:</w:t>
      </w:r>
    </w:p>
    <w:p w14:paraId="0416DD4C" w14:textId="77777777" w:rsidR="00C00E31" w:rsidRDefault="00F01A45">
      <w:pPr>
        <w:pStyle w:val="Heading2"/>
      </w:pPr>
      <w:r>
        <w:rPr>
          <w:rtl/>
        </w:rPr>
        <w:t>הקדמה:</w:t>
      </w:r>
    </w:p>
    <w:p w14:paraId="7C346BB2" w14:textId="77777777" w:rsidR="00C00E31" w:rsidRDefault="00F01A45">
      <w:pPr>
        <w:rPr>
          <w:lang w:bidi="he-IL"/>
        </w:rPr>
      </w:pPr>
      <w:r>
        <w:rPr>
          <w:rtl/>
          <w:lang w:bidi="he-IL"/>
        </w:rPr>
        <w:t>יש שני חלקים לתוס’ זה. חלק ראשון יקשה ויתרץ על ביאור שני של גמ’ ב"ממאנת.” חלק שני יקשה על קושית הגמ’ על אותו ציור (למה לא אמר תי’ אחר)</w:t>
      </w:r>
      <w:r>
        <w:rPr>
          <w:rStyle w:val="FootnoteReference"/>
          <w:rtl/>
          <w:lang w:bidi="he-IL"/>
        </w:rPr>
        <w:footnoteReference w:id="17"/>
      </w:r>
      <w:r>
        <w:rPr>
          <w:rtl/>
          <w:lang w:bidi="he-IL"/>
        </w:rPr>
        <w:t>.</w:t>
      </w:r>
    </w:p>
    <w:p w14:paraId="0214899F" w14:textId="77777777" w:rsidR="00C00E31" w:rsidRDefault="00F01A45">
      <w:pPr>
        <w:pStyle w:val="Heading2"/>
      </w:pPr>
      <w:r>
        <w:rPr>
          <w:rtl/>
        </w:rPr>
        <w:t>חלק ראשון:</w:t>
      </w:r>
    </w:p>
    <w:p w14:paraId="68F05946" w14:textId="77777777" w:rsidR="00C00E31" w:rsidRDefault="00F01A45">
      <w:pPr>
        <w:pStyle w:val="Heading3"/>
      </w:pPr>
      <w:r>
        <w:rPr>
          <w:rtl/>
        </w:rPr>
        <w:t>קושיית תוס’:</w:t>
      </w:r>
      <w:r>
        <w:rPr>
          <w:rStyle w:val="FootnoteReference"/>
          <w:rtl/>
        </w:rPr>
        <w:footnoteReference w:id="18"/>
      </w:r>
    </w:p>
    <w:p w14:paraId="679DBB54" w14:textId="77777777" w:rsidR="00C00E31" w:rsidRDefault="00F01A45">
      <w:pPr>
        <w:rPr>
          <w:lang w:bidi="he-IL"/>
        </w:rPr>
      </w:pPr>
      <w:r>
        <w:rPr>
          <w:rtl/>
          <w:lang w:bidi="he-IL"/>
        </w:rPr>
        <w:t>תוס’ מקשה שכיון ש(לצד אחד בגמ’) כל החידוש של "ממאנת" הוא שאין קנס לקטנה, אין עוד צורך לשנות דין איילונית במשנה. הרי, איילונית היא כקטנה- פשוט שאין לה קנס בבגרות שלה, ובא לחדש שאין קנס בקטנות שלה. כיון שכבר אמר קטנה, אז, לא צריך לומר איילונית.</w:t>
      </w:r>
    </w:p>
    <w:p w14:paraId="292881C0" w14:textId="77777777" w:rsidR="00C00E31" w:rsidRDefault="00F01A45">
      <w:pPr>
        <w:rPr>
          <w:lang w:bidi="he-IL"/>
        </w:rPr>
      </w:pPr>
      <w:r>
        <w:rPr>
          <w:rtl/>
          <w:lang w:bidi="he-IL"/>
        </w:rPr>
        <w:lastRenderedPageBreak/>
        <w:t>לכאו’, לולי תוס’, הייתי אומר שאיילונית היה בא לחדש שאין נערות לאיילונית, ומקטנותה יצתה לבגר.</w:t>
      </w:r>
    </w:p>
    <w:p w14:paraId="12065C5F" w14:textId="77777777" w:rsidR="00C00E31" w:rsidRDefault="00F01A45">
      <w:pPr>
        <w:rPr>
          <w:lang w:bidi="he-IL"/>
        </w:rPr>
      </w:pPr>
      <w:r>
        <w:rPr>
          <w:rtl/>
          <w:lang w:bidi="he-IL"/>
        </w:rPr>
        <w:t>יש להעיר שגם היה אפשר להקשות להיפך- למה אומר "קטנה" אחרי שאומר "איילונית.”</w:t>
      </w:r>
    </w:p>
    <w:p w14:paraId="19127624" w14:textId="77777777" w:rsidR="00C00E31" w:rsidRDefault="00F01A45">
      <w:pPr>
        <w:pStyle w:val="Heading3"/>
      </w:pPr>
      <w:r>
        <w:rPr>
          <w:rtl/>
        </w:rPr>
        <w:t>תי’ תוס’:</w:t>
      </w:r>
    </w:p>
    <w:p w14:paraId="744AFD72" w14:textId="77777777" w:rsidR="00C00E31" w:rsidRDefault="00F01A45">
      <w:pPr>
        <w:rPr>
          <w:lang w:bidi="he-IL"/>
        </w:rPr>
      </w:pPr>
      <w:r>
        <w:rPr>
          <w:rtl/>
          <w:lang w:bidi="he-IL"/>
        </w:rPr>
        <w:t>תוס’ תי’ שמה שאין קנס לאיילונית מוסיף חידוש. הו"א שרק לקטנה אין קנס, כיון שיהיה לה קנס כשתגדיל ותהיה נערה. אבל, אולי לאיילונית, שתמיד לא תהיה נערה, יהיה קנס אף בקטנות שלה.</w:t>
      </w:r>
    </w:p>
    <w:p w14:paraId="7BE9EB5B" w14:textId="77777777" w:rsidR="00C00E31" w:rsidRDefault="00F01A45">
      <w:pPr>
        <w:rPr>
          <w:lang w:bidi="he-IL"/>
        </w:rPr>
      </w:pPr>
      <w:r>
        <w:rPr>
          <w:rtl/>
          <w:lang w:bidi="he-IL"/>
        </w:rPr>
        <w:t>צריך ביאור למה זה יהיה. לכאו’, אין סיבה שלכל אשה תינתן קנס. אולי הביאור הוא שמסתבר שאדם שרוצה לבעול אשה יחכה עד זמן שהיא הכי טובה ויבעול אותה. זה זמן נערות, ולכן חייב קנס באותו זמן. אבל, איילונית אינה כן, וקטנות הוא אותו זמן, ולכן יבעול אותה אז. (מה שאין לה נערות לא עושה שירצה לבעול אשה אחרת, שלפעמים אדם רוצה אשה מיוחדת, ולא משנה את דעתו ממנה.) ותחשב.</w:t>
      </w:r>
      <w:r>
        <w:rPr>
          <w:rStyle w:val="FootnoteReference"/>
          <w:rtl/>
          <w:lang w:bidi="he-IL"/>
        </w:rPr>
        <w:footnoteReference w:id="19"/>
      </w:r>
    </w:p>
    <w:p w14:paraId="57F70675" w14:textId="77777777" w:rsidR="00C00E31" w:rsidRDefault="00F01A45">
      <w:pPr>
        <w:rPr>
          <w:lang w:bidi="he-IL"/>
        </w:rPr>
      </w:pPr>
      <w:r>
        <w:rPr>
          <w:rtl/>
          <w:lang w:bidi="he-IL"/>
        </w:rPr>
        <w:t>תוס’ לא מבאר למה לא רק אומרים איילונית, ונדע מזה קטנה.</w:t>
      </w:r>
    </w:p>
    <w:p w14:paraId="3ABF8ED8" w14:textId="77777777" w:rsidR="00C00E31" w:rsidRDefault="00F01A45">
      <w:pPr>
        <w:pStyle w:val="Heading2"/>
      </w:pPr>
      <w:r>
        <w:rPr>
          <w:rtl/>
        </w:rPr>
        <w:lastRenderedPageBreak/>
        <w:t>חלק שני:</w:t>
      </w:r>
    </w:p>
    <w:p w14:paraId="61D7D43A" w14:textId="77777777" w:rsidR="00C00E31" w:rsidRDefault="00F01A45">
      <w:pPr>
        <w:pStyle w:val="Heading3"/>
      </w:pPr>
      <w:r>
        <w:rPr>
          <w:rtl/>
        </w:rPr>
        <w:t>קושיית תוס’:</w:t>
      </w:r>
    </w:p>
    <w:p w14:paraId="2FF59428" w14:textId="77777777" w:rsidR="00C00E31" w:rsidRDefault="00F01A45">
      <w:pPr>
        <w:rPr>
          <w:lang w:bidi="he-IL"/>
        </w:rPr>
      </w:pPr>
      <w:r>
        <w:rPr>
          <w:rtl/>
          <w:lang w:bidi="he-IL"/>
        </w:rPr>
        <w:t>גמ’ מקשה שמה שמשנה אומר שאין קנס לממאנת משמע שיש קנס לקטנה. הרי, כל ממאנת קטנה היא, ואז לא צריכים מה שהיא גם ממאנת כדי לפטור אותה מן הקנס. גמ’ נותן שני תירוצים לזה.</w:t>
      </w:r>
    </w:p>
    <w:p w14:paraId="7B418943" w14:textId="77777777" w:rsidR="00C00E31" w:rsidRDefault="00F01A45">
      <w:pPr>
        <w:rPr>
          <w:lang w:bidi="he-IL"/>
        </w:rPr>
      </w:pPr>
      <w:r>
        <w:rPr>
          <w:rtl/>
          <w:lang w:bidi="he-IL"/>
        </w:rPr>
        <w:t>תוס’ מקשה למה לא תי’ ש"ממאנת" מכוון לומר קטנה, ומלמד לנו שרק קטנה ממאנת (נגד רבי יהודה). ההוכחה יהיה שמוכרח שאין קטנה ממאנת, כמו שלומדים מדין איילנית. אז, מוכרח ש"ממאנת" לא ממעט קטנה, אלא הסיבה שממאנת אין לה קנס הוא מפני שהיא קטנה.</w:t>
      </w:r>
      <w:r>
        <w:rPr>
          <w:rStyle w:val="FootnoteReference"/>
          <w:rtl/>
          <w:lang w:bidi="he-IL"/>
        </w:rPr>
        <w:footnoteReference w:id="20"/>
      </w:r>
      <w:r>
        <w:rPr>
          <w:rtl/>
          <w:lang w:bidi="he-IL"/>
        </w:rPr>
        <w:t xml:space="preserve"> עדיין, אומר כן על כל ממאנת. צריך לומר שכל ממאנת היא קטנה.</w:t>
      </w:r>
    </w:p>
    <w:p w14:paraId="1C3BBB2A" w14:textId="77777777" w:rsidR="00C00E31" w:rsidRDefault="00F01A45">
      <w:pPr>
        <w:pStyle w:val="Heading1"/>
      </w:pPr>
      <w:r>
        <w:rPr>
          <w:rtl/>
        </w:rPr>
        <w:t>ביאור תוס' ד"ה החרשת:</w:t>
      </w:r>
    </w:p>
    <w:p w14:paraId="3A87FC6C" w14:textId="77777777" w:rsidR="00C00E31" w:rsidRDefault="00F01A45">
      <w:pPr>
        <w:pStyle w:val="Heading2"/>
        <w:rPr>
          <w:lang w:bidi="he-IL"/>
        </w:rPr>
      </w:pPr>
      <w:r>
        <w:rPr>
          <w:rtl/>
          <w:lang w:bidi="he-IL"/>
        </w:rPr>
        <w:t>הקדמה:</w:t>
      </w:r>
    </w:p>
    <w:p w14:paraId="0DEB7DA0" w14:textId="77777777" w:rsidR="00C00E31" w:rsidRDefault="00F01A45">
      <w:pPr>
        <w:rPr>
          <w:lang w:bidi="he-IL"/>
        </w:rPr>
      </w:pPr>
      <w:r>
        <w:rPr>
          <w:rtl/>
          <w:lang w:bidi="he-IL"/>
        </w:rPr>
        <w:t xml:space="preserve">תוס' זה קצת מבלבל, ואז אנו נכתוב את התוס' בסדר קצת שונה. </w:t>
      </w:r>
    </w:p>
    <w:p w14:paraId="1E3F140E" w14:textId="77777777" w:rsidR="00C00E31" w:rsidRDefault="00F01A45">
      <w:pPr>
        <w:rPr>
          <w:lang w:bidi="he-IL"/>
        </w:rPr>
      </w:pPr>
      <w:r>
        <w:rPr>
          <w:rtl/>
          <w:lang w:bidi="he-IL"/>
        </w:rPr>
        <w:t xml:space="preserve">גמ' מקשה סתירה בין שני משניות. משנה אחד אומר שלחרשת ושוטה יש קנס ויש טענת בתולים ומשנה אחרת אומר שלחרת ושוטה אין טענת בתולים. (כמו שנראה לקמן, זה רק גי' שלנו. אבל, היה גי' אחרת.) מתרץ גמ' שמחלקת תנאים הוא. רבן גמליאל סובר שהאשה נאמנת, ואין טענת בתולים, ורבי יהושע אומר </w:t>
      </w:r>
      <w:r>
        <w:rPr>
          <w:rtl/>
          <w:lang w:bidi="he-IL"/>
        </w:rPr>
        <w:lastRenderedPageBreak/>
        <w:t>שהאיש נאמן, ויש טענת בתולים. מקשה גמ' שכאן שאין האשה טוענת (כיון שהיא שוטה), ואומר שטוענים לה, כמש"כ, "פתח פיך לאלם."</w:t>
      </w:r>
    </w:p>
    <w:p w14:paraId="74F12803" w14:textId="77777777" w:rsidR="00C00E31" w:rsidRDefault="00F01A45">
      <w:pPr>
        <w:rPr>
          <w:lang w:bidi="he-IL"/>
        </w:rPr>
      </w:pPr>
      <w:r>
        <w:rPr>
          <w:rtl/>
          <w:lang w:bidi="he-IL"/>
        </w:rPr>
        <w:t>תוס' מניח שלא נעשה את הטענה שלה לטענת ברי (או מפני שאין עושים אותו לטענת ברי או שלא נותנים לה מגו) מחמת "פתח פיך לאלם." אז, צריכים לבאר למה היא נוצחת. תוס' יביא שתי סיבות למה נוצחת.</w:t>
      </w:r>
    </w:p>
    <w:p w14:paraId="6298ED81" w14:textId="77777777" w:rsidR="00C00E31" w:rsidRDefault="00F01A45">
      <w:pPr>
        <w:rPr>
          <w:lang w:bidi="he-IL"/>
        </w:rPr>
      </w:pPr>
      <w:r>
        <w:rPr>
          <w:rtl/>
          <w:lang w:bidi="he-IL"/>
        </w:rPr>
        <w:t>ואם תאמר אם כן למה צריכים שטוענים לה. צריך לומר שאם אין לה אף טענת שמא, בוודאי לא תנצח. לכן, טוענים ןלה עד כדי שיהיה לה טענת שמא. לא קשה לבית דין לטעון טענת שמא- טענת שמא, לכאו', רק עושה שבית דין חושבים ודנים על אותו צד. (עיין בביאורים שלנו על גמ', שלא כל כך פשוט שטענת שמא עושה כלום, ושיש חילוק בין ציור שיש טענת שמא לציור שאין טענה.)</w:t>
      </w:r>
    </w:p>
    <w:p w14:paraId="1FDC55CB" w14:textId="77777777" w:rsidR="00C00E31" w:rsidRDefault="00F01A45">
      <w:pPr>
        <w:pStyle w:val="Heading2"/>
        <w:rPr>
          <w:lang w:bidi="he-IL"/>
        </w:rPr>
      </w:pPr>
      <w:r>
        <w:rPr>
          <w:rtl/>
          <w:lang w:bidi="he-IL"/>
        </w:rPr>
        <w:t>פי' ראשון:</w:t>
      </w:r>
    </w:p>
    <w:p w14:paraId="62D3FDBF" w14:textId="77777777" w:rsidR="00C00E31" w:rsidRDefault="00F01A45">
      <w:pPr>
        <w:rPr>
          <w:lang w:bidi="he-IL"/>
        </w:rPr>
      </w:pPr>
      <w:r>
        <w:rPr>
          <w:rtl/>
          <w:lang w:bidi="he-IL"/>
        </w:rPr>
        <w:t>פי' ראשון הוא שכיון שנולד הספק ברשות של האיש- שכבר נשא אותה- עליו להוכיח שהוא נכון. תוס' מביא גמ' לקמן להוכיח כן. לא כל כך פשוט למה זה יהיה נכון; לכאו', הענין הוא שכיון שהרואה יניח דין, שהרואה יניח חיוב כתובה, כיון שראה שבא לרשות שלו, ואין לו סיבה לחשוב שאינה בתולה, אז צריכים הוכחה נגד אותו הדין. ותחשב. (זה לא כל כך קשה אם נאמר שכל מושג של חזקה תלוי במה מדרהרים בני אדם.)</w:t>
      </w:r>
    </w:p>
    <w:p w14:paraId="79BA80A5" w14:textId="77777777" w:rsidR="00C00E31" w:rsidRDefault="00F01A45">
      <w:pPr>
        <w:rPr>
          <w:lang w:bidi="he-IL"/>
        </w:rPr>
      </w:pPr>
      <w:r>
        <w:rPr>
          <w:rtl/>
          <w:lang w:bidi="he-IL"/>
        </w:rPr>
        <w:t>איני מבין כל כך איך יאמר את זה, שגמ' לעיל (יב:) לא אמר זה, אלא אמר טעמים אחרים. אולי כמו שאומר תוס' טעם אחר לעיל (ט:), גם נחית לומר טעם חדש כאן. וצריך ביאור.</w:t>
      </w:r>
    </w:p>
    <w:p w14:paraId="02E6283D" w14:textId="77777777" w:rsidR="00C00E31" w:rsidRDefault="00F01A45">
      <w:pPr>
        <w:rPr>
          <w:lang w:bidi="he-IL"/>
        </w:rPr>
      </w:pPr>
      <w:r>
        <w:rPr>
          <w:rtl/>
          <w:lang w:bidi="he-IL"/>
        </w:rPr>
        <w:t xml:space="preserve">על פי זה תוס' מפרש גמ' לקמן. שם, משנה אומר שדין של מומי אשה- מי צריך להוכיח מתי באו- תלוי באיפה נמצאו. רב אשי מסביר שזה מפני שבאירוסין שלה, הכתובה הולך לאב. תוס' מבאר שזה לא מפני שאז אין טענת ברי (כיון שאז האב </w:t>
      </w:r>
      <w:r>
        <w:rPr>
          <w:rtl/>
          <w:lang w:bidi="he-IL"/>
        </w:rPr>
        <w:lastRenderedPageBreak/>
        <w:t>הוא הטוען), אלא מפני שאין חזקה שלה מועיל לגבי האב, אלא רק לה. איני מבין למה, אבל כן אומר. מוכיח כן ממה שלא מחלקים בין אם יש טענת ברי לאב לאם אין טענת ברי לאב.</w:t>
      </w:r>
    </w:p>
    <w:p w14:paraId="52A26E05" w14:textId="77777777" w:rsidR="00C00E31" w:rsidRDefault="00F01A45">
      <w:pPr>
        <w:rPr>
          <w:lang w:bidi="he-IL"/>
        </w:rPr>
      </w:pPr>
      <w:r>
        <w:rPr>
          <w:rtl/>
          <w:lang w:bidi="he-IL"/>
        </w:rPr>
        <w:t>איני יודע למה חושב תוס' שזה שייך לכאן. רק מוכיחים מכאן שיש סיבה לנצוח מחמת שהיא כבר ברשות בעל. באמת, זהו מה שאמר רבא שם. אז, אינו אומר שר"א גם כן אומר את זה. אלא, רק אומר שר"א לא סומך על ברי ושמא. איני רואה למה זה שייך לכאן. ותחשב.</w:t>
      </w:r>
    </w:p>
    <w:p w14:paraId="3C63A90F" w14:textId="77777777" w:rsidR="00C00E31" w:rsidRDefault="00F01A45">
      <w:pPr>
        <w:pStyle w:val="Heading2"/>
        <w:rPr>
          <w:lang w:bidi="he-IL"/>
        </w:rPr>
      </w:pPr>
      <w:r>
        <w:rPr>
          <w:rtl/>
          <w:lang w:bidi="he-IL"/>
        </w:rPr>
        <w:t>פי' שני:</w:t>
      </w:r>
    </w:p>
    <w:p w14:paraId="56597CDD" w14:textId="77777777" w:rsidR="00C00E31" w:rsidRDefault="00F01A45">
      <w:pPr>
        <w:rPr>
          <w:lang w:bidi="he-IL"/>
        </w:rPr>
      </w:pPr>
      <w:r>
        <w:rPr>
          <w:rtl/>
          <w:lang w:bidi="he-IL"/>
        </w:rPr>
        <w:t>פי' שני של תוס' הוא שהסיבה שהיא נוצחת הוא מפני שהיה לו להניח שמוכת עץ היא. לקמן, יבאר גמ' שמוכ"ע מצוי, ורק לא מצוי שיקרה אם לא מגדת לו. אבל, כיון שהיא שוטה, היא לא יודעת, ובני משפחתה לא יודעת, ולכן לא מגדת לו. אז, כיון שכנס אותה, ולא בדק, אין לו טענת כתובה.</w:t>
      </w:r>
    </w:p>
    <w:p w14:paraId="42181103" w14:textId="77777777" w:rsidR="00C00E31" w:rsidRDefault="00F01A45">
      <w:pPr>
        <w:rPr>
          <w:lang w:bidi="he-IL"/>
        </w:rPr>
      </w:pPr>
      <w:r>
        <w:rPr>
          <w:rtl/>
          <w:lang w:bidi="he-IL"/>
        </w:rPr>
        <w:t xml:space="preserve">כן מוכיח תוס' מגי' שמביא. יש שגורסים שמשנה ראשונה לא הזכיר טענת בתולין, אלא רק קנס. אז, הכוונה היתה שלא מניחים שמוכ"ע היא, שאז אין כתובה. זה רק מהני אם מבריי' שני יוצא שמניחים שמוכ"ע היא, ולא שהיא נוצחת לקבל את כתובתה כיון שהיא כבר נשואה. </w:t>
      </w:r>
    </w:p>
    <w:p w14:paraId="30517B0E" w14:textId="77777777" w:rsidR="00C00E31" w:rsidRDefault="00F01A45">
      <w:pPr>
        <w:rPr>
          <w:lang w:bidi="he-IL"/>
        </w:rPr>
      </w:pPr>
      <w:r>
        <w:rPr>
          <w:rtl/>
          <w:lang w:bidi="he-IL"/>
        </w:rPr>
        <w:t>לכאו', אז, כיון שסובר שציור של קנס הוא ראיה לציור זה, סובר שציור קנס הוא כשהוא טוען שאינה בתולה. אם לא, קל לחלק בין ציור שמצא לה בתולים לציור שלא מצא לה בתולים.</w:t>
      </w:r>
    </w:p>
    <w:p w14:paraId="40EA8F31" w14:textId="77777777" w:rsidR="00C00E31" w:rsidRDefault="00F01A45">
      <w:pPr>
        <w:pStyle w:val="Heading3"/>
        <w:rPr>
          <w:lang w:bidi="he-IL"/>
        </w:rPr>
      </w:pPr>
      <w:r>
        <w:rPr>
          <w:rtl/>
          <w:lang w:bidi="he-IL"/>
        </w:rPr>
        <w:t>קושיית תוס':</w:t>
      </w:r>
    </w:p>
    <w:p w14:paraId="0184331B" w14:textId="77777777" w:rsidR="00C00E31" w:rsidRDefault="00F01A45">
      <w:pPr>
        <w:rPr>
          <w:lang w:bidi="he-IL"/>
        </w:rPr>
      </w:pPr>
      <w:r>
        <w:rPr>
          <w:rtl/>
          <w:lang w:bidi="he-IL"/>
        </w:rPr>
        <w:t xml:space="preserve">מקשה תוס' למה לא אומרים, כיון שמניחים שהיא מוכ"ע, שהמחלקת הוא אם מקבלת כתובה כיון שהיא מוכת עץ. בריי' אחד סובר כרבי מאיר, שאומר </w:t>
      </w:r>
      <w:r>
        <w:rPr>
          <w:rtl/>
          <w:lang w:bidi="he-IL"/>
        </w:rPr>
        <w:lastRenderedPageBreak/>
        <w:t>שלמוכ"ע יש כתובת מאתים, ואחד אומר כרבנן, שאומרים שלמוכ"ע יש כתובת מנה. לכן, הנישואין הוא מקח טעות.</w:t>
      </w:r>
    </w:p>
    <w:p w14:paraId="47A9404A" w14:textId="77777777" w:rsidR="00C00E31" w:rsidRDefault="00F01A45">
      <w:pPr>
        <w:pStyle w:val="Heading3"/>
        <w:rPr>
          <w:lang w:bidi="he-IL"/>
        </w:rPr>
      </w:pPr>
      <w:r>
        <w:rPr>
          <w:rtl/>
          <w:lang w:bidi="he-IL"/>
        </w:rPr>
        <w:t>תי' תוס':</w:t>
      </w:r>
    </w:p>
    <w:p w14:paraId="43143A8A" w14:textId="77777777" w:rsidR="00C00E31" w:rsidRDefault="00F01A45">
      <w:pPr>
        <w:rPr>
          <w:lang w:bidi="he-IL"/>
        </w:rPr>
      </w:pPr>
      <w:r>
        <w:rPr>
          <w:rtl/>
          <w:lang w:bidi="he-IL"/>
        </w:rPr>
        <w:t>תוס' תי' שהיה אפשר לגמ' לת' כן, אבל רב ששת הוא התרצן, והוא לא יכול לומר כן. (יש לדון למה אין תרצן אחר שאומר כן.) ר"ש סובר שאם מצא אדם שאשתו בעולה, עדיין צריך לתת לו מנה. נמצא שאין שינוי כזה עושה שמק"ט הוא, ואז עדיין יחייב בכתובה.</w:t>
      </w:r>
    </w:p>
    <w:p w14:paraId="7A169566" w14:textId="77777777" w:rsidR="00C00E31" w:rsidRDefault="00F01A45">
      <w:pPr>
        <w:rPr>
          <w:lang w:bidi="he-IL"/>
        </w:rPr>
      </w:pPr>
      <w:r>
        <w:rPr>
          <w:rtl/>
          <w:lang w:bidi="he-IL"/>
        </w:rPr>
        <w:t>לא הבנתי למה לא אומר שחולקים אם מגיע לה מנה או מאתים, שכשאומרים שיש טענ"ב, לא רצה לומר שיש טענ"ב אף ממנה, אלא רק ממאתים, ותקבל מנה. אז, זה ייתלה במחלקת רבנן ורבי מאיר.</w:t>
      </w:r>
    </w:p>
    <w:p w14:paraId="4F6E5F04" w14:textId="77777777" w:rsidR="00C00E31" w:rsidRDefault="00F01A45">
      <w:pPr>
        <w:rPr>
          <w:sz w:val="44"/>
          <w:szCs w:val="44"/>
          <w:lang w:bidi="he-IL"/>
        </w:rPr>
      </w:pPr>
      <w:r>
        <w:rPr>
          <w:rtl/>
          <w:lang w:bidi="he-IL"/>
        </w:rPr>
        <w:t>ויש להעיר שלפי גי' שהביא תוס' לעיל, יש להוכיח ממה שיש קנס שהיא לא מוכת עץ, ואז צריך לומר שיש טענה. הרי, קושיה זו לא נוגעת, אם נאמר שהתי' הוא שרבי מאיר הוא. הבעיה הוא , לפי קושיה זו, שלא מניחים שהיא מוכ"ע., אלא שנבעלה. אז, אי אפשר לתרץ שרבי מאיר הוא, שעדיין קשה למה יש לה כתובה של מאתים. ותחשב.</w:t>
      </w:r>
    </w:p>
    <w:p w14:paraId="58400B1F" w14:textId="77777777" w:rsidR="00C00E31" w:rsidRDefault="00F01A45">
      <w:pPr>
        <w:pStyle w:val="Heading1"/>
      </w:pPr>
      <w:r>
        <w:rPr>
          <w:rtl/>
        </w:rPr>
        <w:lastRenderedPageBreak/>
        <w:t>ביאור תוס' ד"ה אי דקא טעין:</w:t>
      </w:r>
    </w:p>
    <w:p w14:paraId="2BF788F8" w14:textId="77777777" w:rsidR="00C00E31" w:rsidRDefault="00F01A45">
      <w:pPr>
        <w:pStyle w:val="Heading2"/>
        <w:rPr>
          <w:lang w:bidi="he-IL"/>
        </w:rPr>
      </w:pPr>
      <w:r>
        <w:rPr>
          <w:rtl/>
          <w:lang w:bidi="he-IL"/>
        </w:rPr>
        <w:t>שיטת רש"י:</w:t>
      </w:r>
    </w:p>
    <w:p w14:paraId="524E4A5D" w14:textId="77777777" w:rsidR="00C00E31" w:rsidRDefault="00F01A45">
      <w:pPr>
        <w:rPr>
          <w:lang w:bidi="he-IL"/>
        </w:rPr>
      </w:pPr>
      <w:r>
        <w:rPr>
          <w:rStyle w:val="FootnoteReference"/>
          <w:rtl/>
          <w:lang w:bidi="he-IL"/>
        </w:rPr>
        <w:footnoteReference w:id="21"/>
      </w:r>
      <w:r>
        <w:rPr>
          <w:rtl/>
          <w:lang w:bidi="he-IL"/>
        </w:rPr>
        <w:t>גמ' הביא בריי' שאמר שאין טענת בתולים למוכת עץ. אם אדם טוען שלא מצה לה בתולים, לא חוששים שנבעלה מקודם, שכבר לא יהיה לה סימני בתולה, אחרי שמוכת עץ היא. מקשה גמ' איך אפשר לומר כן, כיון שמצאנו שמותר לבעול אותה אם מצא דם, ולא חוששים שאותו דם הוא דם נדה. נמצא שיש לה סימן של בתולים. תי' גמ' שאם בטוען טענת דמים, כן הוא, אבל עכשיו מדברים בטוען טענת פתח פתוח. הלשון מורה שהמשנה השנית מדבר בטוען טענת דמים, והראשונה הוא בטוען טענת פתח פתוח. אז, נמצא שלמוכת עץ יש סימן של דמים, ואין סימן של פתח נעול.</w:t>
      </w:r>
    </w:p>
    <w:p w14:paraId="2087BB70" w14:textId="77777777" w:rsidR="00C00E31" w:rsidRDefault="00F01A45">
      <w:pPr>
        <w:pStyle w:val="Heading2"/>
        <w:rPr>
          <w:lang w:bidi="he-IL"/>
        </w:rPr>
      </w:pPr>
      <w:r>
        <w:rPr>
          <w:rtl/>
          <w:lang w:bidi="he-IL"/>
        </w:rPr>
        <w:t>שיטת ר"ח:</w:t>
      </w:r>
    </w:p>
    <w:p w14:paraId="122E6F83" w14:textId="77777777" w:rsidR="00C00E31" w:rsidRDefault="00F01A45">
      <w:pPr>
        <w:rPr>
          <w:lang w:bidi="he-IL"/>
        </w:rPr>
      </w:pPr>
      <w:r>
        <w:rPr>
          <w:rtl/>
          <w:lang w:bidi="he-IL"/>
        </w:rPr>
        <w:t xml:space="preserve">ר"ח לא גרס כן, אלא גרס שמשיב גמ' שאם בטוען טענת פתח פתוח כן הוא, אבל עכשיו מדברים בטוען טענת דמים. נמצא שלמוכת עץ יש סימן של פתח נעול, ואין סימן של דמים. ואם תאמר אם כן מהו תשובת הגמ'. תוס' מסביר (ט) שהתשובה האמיתית לקושיית הגמ' הוא שלפעמים יש לה סימן דמים ולפעמים אין לה סימן דמים. לכן, אין להוכיח שנבעלה, ואין לחוש שדם שלה דם נדה הוא. קושיית גמ' הוא שלא מסתבר שלפעמים יש לה דם, ועדיין אין טענת בתולים. אם לפעמים יש דם, צריך לומר שתמיד פתחה פתוח. (אפשר שהוא רק מפני שיודעים שיהיה פתח סתום יותר מצוי מדמים ככה, או אולי הוא מפני שאם לפעמים יש דם ולפעמים אין דם, זה מראה לנו איך יצא הדם, עד שמסתבר </w:t>
      </w:r>
      <w:r>
        <w:rPr>
          <w:rtl/>
          <w:lang w:bidi="he-IL"/>
        </w:rPr>
        <w:lastRenderedPageBreak/>
        <w:t>שפתחה סתום. זה מניח שדבר כמעט שווה קרה לכולם.) משיב גמ' שנכון הוא שתמיד פתחה סתום, אבל לא תמיד יש דם, אלא רק לפעמים. אז, נוקים את המשנה שאומר שאין טענת בתולים בזמן שלא מצא דם, אבל מצא את פתחה נעול. נמצא שלר"ח למוכ"ע יש סימן של פתח נעול, אבל לפעמים אין סימן (ואז אין לסמוך על סימן) של דמים.</w:t>
      </w:r>
    </w:p>
    <w:p w14:paraId="1A78B46E" w14:textId="77777777" w:rsidR="00C00E31" w:rsidRDefault="00F01A45">
      <w:pPr>
        <w:pStyle w:val="Heading2"/>
        <w:rPr>
          <w:lang w:bidi="he-IL"/>
        </w:rPr>
      </w:pPr>
      <w:r>
        <w:rPr>
          <w:rtl/>
          <w:lang w:bidi="he-IL"/>
        </w:rPr>
        <w:t>קושיה:</w:t>
      </w:r>
    </w:p>
    <w:p w14:paraId="23AEB083" w14:textId="77777777" w:rsidR="00C00E31" w:rsidRDefault="00F01A45">
      <w:pPr>
        <w:rPr>
          <w:lang w:bidi="he-IL"/>
        </w:rPr>
      </w:pPr>
      <w:r>
        <w:rPr>
          <w:rtl/>
          <w:lang w:bidi="he-IL"/>
        </w:rPr>
        <w:t xml:space="preserve">תוס' מקשה למה לא השיב גמ' כן לעיל. הרי, לעיל תלה מח' שני הבריי' במח' רבן גמליאל ורבי יהושע. לא היה צריך לומר שהם תנאים שונים, והיה אפשר לומר שאין מחלקת. כיון שאמר ר"י לעיל שהאשה נוצחת כיון שסומכים שמוכ"ע היא, יש להוקים אחד בשמצא פתחה פתוח ויש להוקים האחר כשלא מצא דמים. </w:t>
      </w:r>
    </w:p>
    <w:p w14:paraId="7FB64F2D" w14:textId="77777777" w:rsidR="00C00E31" w:rsidRDefault="00F01A45">
      <w:pPr>
        <w:rPr>
          <w:lang w:bidi="he-IL"/>
        </w:rPr>
      </w:pPr>
      <w:r>
        <w:rPr>
          <w:rtl/>
          <w:lang w:bidi="he-IL"/>
        </w:rPr>
        <w:t>עיין בלשון תוס', שמשמע שחושב שזה רק קשה לפי ר"ח. איני יודע למה זה יהיה, שלכולי עלמא נוכל להקשות כן, שרק צריכים מה שלפעמים בטל הוספת הספק של מוכת עץ.</w:t>
      </w:r>
      <w:r>
        <w:rPr>
          <w:rStyle w:val="FootnoteReference"/>
          <w:rtl/>
          <w:lang w:bidi="he-IL"/>
        </w:rPr>
        <w:footnoteReference w:id="22"/>
      </w:r>
    </w:p>
    <w:p w14:paraId="10087D64" w14:textId="77777777" w:rsidR="00C00E31" w:rsidRDefault="00F01A45">
      <w:pPr>
        <w:rPr>
          <w:lang w:bidi="he-IL"/>
        </w:rPr>
      </w:pPr>
      <w:r>
        <w:rPr>
          <w:rtl/>
          <w:lang w:bidi="he-IL"/>
        </w:rPr>
        <w:t>על כל פנים, מדברי תוס' ייצא שהיה אפשר לומר שמשנה הראשונה, שאומר שיש טענת בתולים, ולא מניחים שהיא מוכ"ע, הוא כשמצא בה פתח פתוח. אין פתח פתוח למוכת עץ. אבל, משנה שאומר שאין טענת בתולים, ומניחים שהיא מוכ"ע, הוא כשלא מצא דמים. עדיין יש לצדד שמוכת עץ היא.</w:t>
      </w:r>
    </w:p>
    <w:p w14:paraId="30BF2B8A" w14:textId="77777777" w:rsidR="00C00E31" w:rsidRDefault="00F01A45">
      <w:pPr>
        <w:pStyle w:val="Heading2"/>
        <w:rPr>
          <w:lang w:bidi="he-IL"/>
        </w:rPr>
      </w:pPr>
      <w:r>
        <w:rPr>
          <w:rtl/>
          <w:lang w:bidi="he-IL"/>
        </w:rPr>
        <w:lastRenderedPageBreak/>
        <w:t>תי' תוס':</w:t>
      </w:r>
    </w:p>
    <w:p w14:paraId="30F6082D" w14:textId="77777777" w:rsidR="00C00E31" w:rsidRDefault="00F01A45">
      <w:pPr>
        <w:rPr>
          <w:lang w:bidi="he-IL"/>
        </w:rPr>
      </w:pPr>
      <w:r>
        <w:rPr>
          <w:rtl/>
          <w:lang w:bidi="he-IL"/>
        </w:rPr>
        <w:t>תוס' תי' שלא יכולים להוקים את המשנה הראשונה בטוען טענת פתח פתוח כיון שסובר גמ' זה (עיין לעיל, שאולי מחלקת הוא) שאין אדם נאמן לטעון טענת פתח פתוח כדי להפסיד כתובה, שחוששים שלא מכיר מהו פתח פתוח. אז, בוודאי מדברים בטוען טענת דמים.</w:t>
      </w:r>
    </w:p>
    <w:p w14:paraId="69A48548" w14:textId="77777777" w:rsidR="00C00E31" w:rsidRDefault="00F01A45">
      <w:pPr>
        <w:rPr>
          <w:lang w:val="en-GB" w:bidi="he-IL"/>
        </w:rPr>
      </w:pPr>
      <w:r>
        <w:rPr>
          <w:rtl/>
          <w:lang w:bidi="he-IL"/>
        </w:rPr>
        <w:t>ואם תאמר אם כן איך מוקמים את המשנה השנית שאומרת שאין טענ"ב לבוגרת בטוען טענת פתח פתוח. ויש לומר שיכולים להוקים משנה זה לענין טענת בתולים כדי לאסור. בזה בוודאי נאמן הוא, כיון ששויי"א. הסיבה לחלק בין שני המשניות הוא שבמשנה הראשונה גם הזכיר קנס. כיון שדיון של קנס הוא דיון ממוני, משמע שגם דיון של "יש טענת בתולים" הוא דיון ממוני. אז, צריך לומר שדנים על הכתובה, ולא על איסור.</w:t>
      </w:r>
    </w:p>
    <w:p w14:paraId="6799FA50" w14:textId="77777777" w:rsidR="00C00E31" w:rsidRDefault="00F01A45">
      <w:pPr>
        <w:pStyle w:val="Heading1"/>
        <w:rPr>
          <w:lang w:val="en-GB"/>
        </w:rPr>
      </w:pPr>
      <w:r>
        <w:rPr>
          <w:rtl/>
        </w:rPr>
        <w:t>ביאור תוס’ ד"ה כולהו רואות ומראות:</w:t>
      </w:r>
    </w:p>
    <w:p w14:paraId="1924C321" w14:textId="77777777" w:rsidR="00C00E31" w:rsidRDefault="00F01A45">
      <w:pPr>
        <w:pStyle w:val="Heading2"/>
        <w:rPr>
          <w:lang w:val="en-GB" w:bidi="he-IL"/>
        </w:rPr>
      </w:pPr>
      <w:r>
        <w:rPr>
          <w:rtl/>
        </w:rPr>
        <w:t>הקדמה:</w:t>
      </w:r>
    </w:p>
    <w:p w14:paraId="325E8A54" w14:textId="77777777" w:rsidR="00C00E31" w:rsidRDefault="00F01A45">
      <w:pPr>
        <w:rPr>
          <w:lang w:val="en-GB" w:bidi="he-IL"/>
        </w:rPr>
      </w:pPr>
      <w:r>
        <w:rPr>
          <w:rtl/>
          <w:lang w:val="en-GB" w:bidi="he-IL"/>
        </w:rPr>
        <w:t>בריי’ מזכיר שיטת רבי מאיר. על פי הסבר גמ’, מה שאומר רבי מאיר הוא שכיון שמצוי שסומות יהיו מוכות עץ בלי ידיעתם, אין טענת בתולים עליהם.</w:t>
      </w:r>
    </w:p>
    <w:p w14:paraId="6FED7AF9" w14:textId="77777777" w:rsidR="00C00E31" w:rsidRDefault="00F01A45">
      <w:pPr>
        <w:pStyle w:val="Heading2"/>
        <w:rPr>
          <w:lang w:val="en-GB" w:bidi="he-IL"/>
        </w:rPr>
      </w:pPr>
      <w:r>
        <w:rPr>
          <w:rtl/>
        </w:rPr>
        <w:t>פירש"י:</w:t>
      </w:r>
    </w:p>
    <w:p w14:paraId="0493A716" w14:textId="77777777" w:rsidR="00C00E31" w:rsidRDefault="00F01A45">
      <w:pPr>
        <w:rPr>
          <w:lang w:val="en-GB" w:bidi="he-IL"/>
        </w:rPr>
      </w:pPr>
      <w:r>
        <w:rPr>
          <w:rtl/>
          <w:lang w:val="en-GB" w:bidi="he-IL"/>
        </w:rPr>
        <w:t>רש"י באר שהוא מפני שאדם שנושא אותה היה לו לדעת את זה. אילו לא היה לו לדעת, היה אפשר להיות טעות, ואז היה לו טענה. אבל, כיון שהיה לו לדעת, לא נחשב טעות, וחייב בכתובה.</w:t>
      </w:r>
    </w:p>
    <w:p w14:paraId="2F7D9796" w14:textId="77777777" w:rsidR="00C00E31" w:rsidRDefault="00F01A45">
      <w:pPr>
        <w:pStyle w:val="Heading3"/>
        <w:rPr>
          <w:lang w:val="en-GB" w:bidi="he-IL"/>
        </w:rPr>
      </w:pPr>
      <w:r>
        <w:rPr>
          <w:rtl/>
        </w:rPr>
        <w:lastRenderedPageBreak/>
        <w:t>קושיה:</w:t>
      </w:r>
    </w:p>
    <w:p w14:paraId="002D2FDC" w14:textId="77777777" w:rsidR="00C00E31" w:rsidRDefault="00F01A45">
      <w:pPr>
        <w:rPr>
          <w:lang w:val="en-GB" w:bidi="he-IL"/>
        </w:rPr>
      </w:pPr>
      <w:r>
        <w:rPr>
          <w:rtl/>
          <w:lang w:val="en-GB" w:bidi="he-IL"/>
        </w:rPr>
        <w:t>הקשה תוס’ שמשנה כאן הולך כשיטת רבי מאיר. (באמת, הוא שיטת סומכוס בשיטת רבי מאיר.) מצאנו שרבי מאיר סובר שמוכת עץ, בין אם הכיר בה בין אם לא הכיר בה, מקבלת כתובת מאתים. אז, אי אשפר לומר שהמחלקת כאן הוא אם נישואין שלו הוא טעות או לא; כיון שרבי מאיר הוא, ברור הוא שאינו טעות.</w:t>
      </w:r>
    </w:p>
    <w:p w14:paraId="6091C0A5" w14:textId="77777777" w:rsidR="00C00E31" w:rsidRDefault="00F01A45">
      <w:pPr>
        <w:rPr>
          <w:lang w:val="en-GB" w:bidi="he-IL"/>
        </w:rPr>
      </w:pPr>
      <w:r>
        <w:rPr>
          <w:rtl/>
          <w:lang w:val="en-GB" w:bidi="he-IL"/>
        </w:rPr>
        <w:t>איני יודע איך ישיב רש"י לזה. אולי ידחה שתנאי היא ואליבא דרבי מאיר (כיון שכבר מצאנו שרק סומכוס אומר כן בשם רבי מאיר). ותחשב. גם אולי אפשר לחלק בין הכאת עץ לחבטת סומא. יש לדון למה. (אולי הוא מפני שחיבוט קרה לה הרבה פעמים. דחוק.)</w:t>
      </w:r>
    </w:p>
    <w:p w14:paraId="52985CD9" w14:textId="77777777" w:rsidR="00C00E31" w:rsidRDefault="00F01A45">
      <w:pPr>
        <w:pStyle w:val="Heading2"/>
        <w:rPr>
          <w:lang w:val="en-GB" w:bidi="he-IL"/>
        </w:rPr>
      </w:pPr>
      <w:r>
        <w:rPr>
          <w:rtl/>
        </w:rPr>
        <w:t>פיר"י:</w:t>
      </w:r>
    </w:p>
    <w:p w14:paraId="3A2ED011" w14:textId="77777777" w:rsidR="00C00E31" w:rsidRDefault="00F01A45">
      <w:pPr>
        <w:rPr>
          <w:lang w:val="en-GB" w:bidi="he-IL"/>
        </w:rPr>
      </w:pPr>
      <w:r>
        <w:rPr>
          <w:rtl/>
          <w:lang w:val="en-GB" w:bidi="he-IL"/>
        </w:rPr>
        <w:t>ר"י באר שהוא מפני שבדרך כלל אשה תגיד לבעל שלה אם מוכ"ע היא. ממה שלא אמרה, יש הוכחה שאינה מוכת עץ. אבל, כאן, היא לא יודעת, ואז אין הוכחה שאינה מוכת עץ. חוזרים לומר שמוכ"ע היא, ואז חייב בכתובה, כיון שלא נבעלה, אלא רק הוכתה.</w:t>
      </w:r>
    </w:p>
    <w:p w14:paraId="30F0F0D9" w14:textId="77777777" w:rsidR="00C00E31" w:rsidRDefault="00F01A45">
      <w:pPr>
        <w:pStyle w:val="Heading1"/>
      </w:pPr>
      <w:r>
        <w:rPr>
          <w:rtl/>
        </w:rPr>
        <w:t>ביאור תוס’ ד"ה היוצאת משום שם רע בת סקילה היא:</w:t>
      </w:r>
    </w:p>
    <w:p w14:paraId="2654720D" w14:textId="77777777" w:rsidR="00C00E31" w:rsidRDefault="00F01A45">
      <w:pPr>
        <w:pStyle w:val="Heading2"/>
      </w:pPr>
      <w:r>
        <w:rPr>
          <w:rtl/>
        </w:rPr>
        <w:t>ביאור של תוס’:</w:t>
      </w:r>
    </w:p>
    <w:p w14:paraId="10A81F90" w14:textId="77777777" w:rsidR="00C00E31" w:rsidRDefault="00F01A45">
      <w:pPr>
        <w:rPr>
          <w:lang w:bidi="he-IL"/>
        </w:rPr>
      </w:pPr>
      <w:r>
        <w:rPr>
          <w:rtl/>
          <w:lang w:bidi="he-IL"/>
        </w:rPr>
        <w:t>גמ’ מצדד שבריי’ אומר שאין קנס לאשה שיצאה מבעלה מחמת שם רע. מקשה גמ’ שחייבת בסקילה. תוס’ מפרש שקושיית גמ’ הוא שכיון שיצאתה מבעלה מחמת שם רע, פשוט שנבעלה, שהרי אף מחייבים סקילה מחמת ביאה זו. אז, פשוט שאין חיוב קנס, שאינה בתולה.</w:t>
      </w:r>
    </w:p>
    <w:p w14:paraId="1CCF8BB1" w14:textId="77777777" w:rsidR="00C00E31" w:rsidRDefault="00F01A45">
      <w:pPr>
        <w:pStyle w:val="Heading2"/>
      </w:pPr>
      <w:r>
        <w:rPr>
          <w:rtl/>
        </w:rPr>
        <w:lastRenderedPageBreak/>
        <w:t>ביאור אחר:</w:t>
      </w:r>
    </w:p>
    <w:p w14:paraId="612EB780" w14:textId="77777777" w:rsidR="00C00E31" w:rsidRDefault="00F01A45">
      <w:pPr>
        <w:rPr>
          <w:lang w:bidi="he-IL"/>
        </w:rPr>
      </w:pPr>
      <w:r>
        <w:rPr>
          <w:rtl/>
          <w:lang w:bidi="he-IL"/>
        </w:rPr>
        <w:t>גמ’ מצדד שבריי’ אומר שאין קנס לאשה שיצאה מבעלה מחמת שם רע. מפרש שמדברים באותו ביאה שמחייב אותה סקילה, ומק’ שפשוט שלא מחייב קנס, כיון שהוא כבר חייב סקילה (ואין מקבלים חיוב ממון עם חיוב מיתה).</w:t>
      </w:r>
    </w:p>
    <w:p w14:paraId="58429E2A" w14:textId="77777777" w:rsidR="00C00E31" w:rsidRDefault="00F01A45">
      <w:pPr>
        <w:pStyle w:val="Heading2"/>
      </w:pPr>
      <w:r>
        <w:rPr>
          <w:rtl/>
        </w:rPr>
        <w:t>דיחוי:</w:t>
      </w:r>
    </w:p>
    <w:p w14:paraId="0EBA83FB" w14:textId="77777777" w:rsidR="00C00E31" w:rsidRDefault="00F01A45">
      <w:pPr>
        <w:rPr>
          <w:lang w:bidi="he-IL"/>
        </w:rPr>
      </w:pPr>
      <w:r>
        <w:rPr>
          <w:rtl/>
          <w:lang w:bidi="he-IL"/>
        </w:rPr>
        <w:t xml:space="preserve">תוס’ דוחה שלא היה קשה שיאמר כן, שהרי יש משניות שאומרים חידוש זה. הרי, משנה שלנו אומר כן, כיון שממעט את בתו. יותר מזה, אומר תוס’, משנה זה אומר כן, שממעט את העריות. (יש להעיר שיש אף תנא אחד, לפי אמורא אחד, שמחייב בציורים אלו, כיון שחיוב הממון קנס הוא.) </w:t>
      </w:r>
    </w:p>
    <w:p w14:paraId="2465FC0B" w14:textId="77777777" w:rsidR="00C00E31" w:rsidRDefault="00F01A45">
      <w:r>
        <w:rPr>
          <w:rtl/>
          <w:lang w:bidi="he-IL"/>
        </w:rPr>
        <w:t>נראה שפשט זה יפרש שמקשה שכיון שיש בו סקילה, אין בו חידוש אחרי שכבר יודעים שאין אדם חייב ממון ומלקות. יודעים כן כיון שכבר שנה דין של "עריות" לעיל במשנה. (באמת, נדע אותו בכל סיבה לאותו דין שלעיל, ואף אם נאמר שהוא מפני פסוקים מיותרים או כדומה.) קצת צריך ביאור למה לא רצה תוס’ לומר כן. אולי אילו היה אומר כן, היה לו לגמ’ להביא בתוך קושייתו את החלק הזה שכבר אמר (היה לו לומר, “… והרי כבר נשנה עריות….”). ותחשב.</w:t>
      </w:r>
    </w:p>
    <w:sectPr w:rsidR="00C00E31" w:rsidSect="00C102B6">
      <w:headerReference w:type="even" r:id="rId7"/>
      <w:headerReference w:type="default" r:id="rId8"/>
      <w:footerReference w:type="even" r:id="rId9"/>
      <w:footerReference w:type="default" r:id="rId10"/>
      <w:headerReference w:type="first" r:id="rId11"/>
      <w:footerReference w:type="first" r:id="rId12"/>
      <w:pgSz w:w="8391" w:h="11906" w:code="11"/>
      <w:pgMar w:top="1440" w:right="1080" w:bottom="1440" w:left="1080" w:header="0" w:footer="0" w:gutter="0"/>
      <w:cols w:space="720"/>
      <w:formProt w:val="0"/>
      <w:docGrid w:linePitch="360" w:charSpace="1638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A5FB15" w14:textId="77777777" w:rsidR="00842DDA" w:rsidRDefault="00842DDA">
      <w:pPr>
        <w:spacing w:before="0" w:after="0" w:line="240" w:lineRule="auto"/>
      </w:pPr>
      <w:r>
        <w:separator/>
      </w:r>
    </w:p>
  </w:endnote>
  <w:endnote w:type="continuationSeparator" w:id="0">
    <w:p w14:paraId="1BC29F42" w14:textId="77777777" w:rsidR="00842DDA" w:rsidRDefault="00842DD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uttman Rashi">
    <w:panose1 w:val="02010401010101010101"/>
    <w:charset w:val="B1"/>
    <w:family w:val="auto"/>
    <w:pitch w:val="variable"/>
    <w:sig w:usb0="00000801" w:usb1="40000000" w:usb2="00000000" w:usb3="00000000" w:csb0="0000002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Narkisim">
    <w:panose1 w:val="020E0502050101010101"/>
    <w:charset w:val="00"/>
    <w:family w:val="swiss"/>
    <w:pitch w:val="variable"/>
    <w:sig w:usb0="00000803" w:usb1="00000000" w:usb2="00000000" w:usb3="00000000" w:csb0="00000021" w:csb1="00000000"/>
  </w:font>
  <w:font w:name="Shofar">
    <w:panose1 w:val="02000000000000000000"/>
    <w:charset w:val="00"/>
    <w:family w:val="auto"/>
    <w:pitch w:val="variable"/>
    <w:sig w:usb0="8000086F" w:usb1="4000204A" w:usb2="00000000" w:usb3="00000000" w:csb0="00000021" w:csb1="00000000"/>
  </w:font>
  <w:font w:name="BenOr Rashi">
    <w:panose1 w:val="03020502040505020200"/>
    <w:charset w:val="00"/>
    <w:family w:val="script"/>
    <w:notTrueType/>
    <w:pitch w:val="variable"/>
    <w:sig w:usb0="80000803" w:usb1="50002000" w:usb2="04000000" w:usb3="00000000" w:csb0="00000021" w:csb1="00000000"/>
  </w:font>
  <w:font w:name="SBL Hebrew">
    <w:altName w:val="Arial"/>
    <w:charset w:val="00"/>
    <w:family w:val="auto"/>
    <w:pitch w:val="variable"/>
    <w:sig w:usb0="8000086F" w:usb1="4000204A"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AF694" w14:textId="77777777" w:rsidR="00C00E31" w:rsidRDefault="00C00E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DCC8F" w14:textId="77777777" w:rsidR="00C00E31" w:rsidRDefault="00F01A45">
    <w:pPr>
      <w:pStyle w:val="Footer"/>
      <w:spacing w:after="567"/>
      <w:jc w:val="center"/>
      <w:rPr>
        <w:rFonts w:cs="SBL Hebrew"/>
        <w:color w:val="auto"/>
        <w:lang w:bidi="he-IL"/>
      </w:rPr>
    </w:pPr>
    <w:r>
      <w:rPr>
        <w:rtl/>
        <w:lang w:bidi="he-IL"/>
      </w:rPr>
      <w:t xml:space="preserve">חרב </w:t>
    </w:r>
    <w:r>
      <w:rPr>
        <w:rtl/>
        <w:lang w:bidi="he-IL"/>
      </w:rPr>
      <w:t>אל הבדים- אלו נערות</w:t>
    </w:r>
  </w:p>
  <w:p w14:paraId="4E9D4AB0" w14:textId="77777777" w:rsidR="00C00E31" w:rsidRDefault="00C00E31">
    <w:pPr>
      <w:pStyle w:val="Footer"/>
      <w:rPr>
        <w:lang w:bidi="he-I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F4F00" w14:textId="77777777" w:rsidR="00C00E31" w:rsidRDefault="00F01A45">
    <w:pPr>
      <w:pStyle w:val="Footer"/>
      <w:spacing w:after="567"/>
      <w:jc w:val="center"/>
      <w:rPr>
        <w:rFonts w:cs="SBL Hebrew"/>
        <w:color w:val="auto"/>
        <w:lang w:bidi="he-IL"/>
      </w:rPr>
    </w:pPr>
    <w:r>
      <w:rPr>
        <w:rtl/>
        <w:lang w:bidi="he-IL"/>
      </w:rPr>
      <w:t xml:space="preserve">חרב </w:t>
    </w:r>
    <w:r>
      <w:rPr>
        <w:rtl/>
        <w:lang w:bidi="he-IL"/>
      </w:rPr>
      <w:t>אל הבדים- אלו נערות</w:t>
    </w:r>
  </w:p>
  <w:p w14:paraId="1D4699A7" w14:textId="77777777" w:rsidR="00C00E31" w:rsidRDefault="00C00E31">
    <w:pPr>
      <w:pStyle w:val="Footer"/>
      <w:rPr>
        <w:lang w:bidi="he-I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C06702" w14:textId="77777777" w:rsidR="00842DDA" w:rsidRDefault="00842DDA">
      <w:pPr>
        <w:rPr>
          <w:sz w:val="12"/>
        </w:rPr>
      </w:pPr>
      <w:r>
        <w:separator/>
      </w:r>
    </w:p>
  </w:footnote>
  <w:footnote w:type="continuationSeparator" w:id="0">
    <w:p w14:paraId="454CBAF5" w14:textId="77777777" w:rsidR="00842DDA" w:rsidRDefault="00842DDA">
      <w:pPr>
        <w:rPr>
          <w:sz w:val="12"/>
        </w:rPr>
      </w:pPr>
      <w:r>
        <w:continuationSeparator/>
      </w:r>
    </w:p>
  </w:footnote>
  <w:footnote w:id="1">
    <w:p w14:paraId="63C48678" w14:textId="77777777" w:rsidR="00C00E31" w:rsidRDefault="00F01A45">
      <w:pPr>
        <w:pStyle w:val="FootnoteText"/>
        <w:rPr>
          <w:rFonts w:ascii="BenOr Rashi" w:hAnsi="BenOr Rashi"/>
          <w:lang w:val="en-GB" w:bidi="he-IL"/>
        </w:rPr>
      </w:pPr>
      <w:r>
        <w:rPr>
          <w:rStyle w:val="FootnoteCharacters"/>
        </w:rPr>
        <w:footnoteRef/>
      </w:r>
      <w:r>
        <w:rPr>
          <w:rFonts w:ascii="BenOr Rashi" w:hAnsi="BenOr Rashi"/>
          <w:rtl/>
          <w:lang w:val="en-GB" w:bidi="he-IL"/>
        </w:rPr>
        <w:tab/>
        <w:t>עדיין יש לומר שאם יש אפשרות לו לישא אותה, ולא נושא אותה, לא תאהב אותו, ולא תרצה להיבעל לו. אז, לא קל למצוא אותו ציור של פיתוי שלא נשא אותה. ותחשב.</w:t>
      </w:r>
    </w:p>
  </w:footnote>
  <w:footnote w:id="2">
    <w:p w14:paraId="0567A754" w14:textId="77777777" w:rsidR="00C00E31" w:rsidRDefault="00F01A45">
      <w:pPr>
        <w:pStyle w:val="FootnoteText"/>
        <w:rPr>
          <w:rFonts w:ascii="BenOr Rashi" w:hAnsi="BenOr Rashi"/>
          <w:lang w:bidi="he-IL"/>
        </w:rPr>
      </w:pPr>
      <w:r>
        <w:rPr>
          <w:rStyle w:val="FootnoteCharacters"/>
        </w:rPr>
        <w:footnoteRef/>
      </w:r>
      <w:r>
        <w:rPr>
          <w:rFonts w:ascii="BenOr Rashi" w:hAnsi="BenOr Rashi"/>
          <w:rtl/>
          <w:lang w:bidi="he-IL"/>
        </w:rPr>
        <w:tab/>
      </w:r>
      <w:r>
        <w:rPr>
          <w:rFonts w:ascii="BenOr Rashi" w:hAnsi="BenOr Rashi"/>
          <w:rtl/>
          <w:lang w:bidi="he-IL"/>
        </w:rPr>
        <w:t xml:space="preserve">עיין </w:t>
      </w:r>
      <w:r>
        <w:rPr>
          <w:rFonts w:ascii="BenOr Rashi" w:hAnsi="BenOr Rashi"/>
          <w:rtl/>
          <w:lang w:bidi="he-IL"/>
        </w:rPr>
        <w:t>בביאורים שלנו על הגמ’; לכאו’, פשוט שכל הדיון שבתוס’ זה רק מתקיים בהו"א (בהנחה ראשונה, שאולי מתקיים במסקנא) של הגמ’ (הוא הביאור שכתבנו כאן) במה הוא ממאנת. ותחשב.</w:t>
      </w:r>
    </w:p>
  </w:footnote>
  <w:footnote w:id="3">
    <w:p w14:paraId="748AED0C" w14:textId="77777777" w:rsidR="00C00E31" w:rsidRDefault="00F01A45">
      <w:pPr>
        <w:pStyle w:val="FootnoteText"/>
        <w:rPr>
          <w:rFonts w:ascii="BenOr Rashi" w:hAnsi="BenOr Rashi"/>
          <w:lang w:bidi="he-IL"/>
        </w:rPr>
      </w:pPr>
      <w:r>
        <w:rPr>
          <w:rStyle w:val="FootnoteCharacters"/>
        </w:rPr>
        <w:footnoteRef/>
      </w:r>
      <w:r>
        <w:rPr>
          <w:rFonts w:ascii="BenOr Rashi" w:hAnsi="BenOr Rashi"/>
          <w:rtl/>
          <w:lang w:bidi="he-IL"/>
        </w:rPr>
        <w:tab/>
      </w:r>
      <w:r>
        <w:rPr>
          <w:rFonts w:ascii="BenOr Rashi" w:hAnsi="BenOr Rashi"/>
          <w:rtl/>
          <w:lang w:bidi="he-IL"/>
        </w:rPr>
        <w:t xml:space="preserve">כמו </w:t>
      </w:r>
      <w:r>
        <w:rPr>
          <w:rFonts w:ascii="BenOr Rashi" w:hAnsi="BenOr Rashi"/>
          <w:rtl/>
          <w:lang w:bidi="he-IL"/>
        </w:rPr>
        <w:t>שכתבנו לעיל, יש לדון אם הסיבה שאין קנס הוא שהיתה בתולה או שמניחים שהיתה בתולה. לפי צד ראשון, צריך להיות שהיא, באמת, בתולה. אז, אם נמצא שאינה בתולה, צריך לשלם הקנס (אלא שאולי אי אפשר שיימצא כן אם לא על ידי הודאתו).</w:t>
      </w:r>
    </w:p>
  </w:footnote>
  <w:footnote w:id="4">
    <w:p w14:paraId="10B4D3A8" w14:textId="77777777" w:rsidR="00C00E31" w:rsidRDefault="00F01A45">
      <w:pPr>
        <w:pStyle w:val="FootnoteText"/>
        <w:rPr>
          <w:rFonts w:ascii="BenOr Rashi" w:hAnsi="BenOr Rashi"/>
          <w:lang w:bidi="he-IL"/>
        </w:rPr>
      </w:pPr>
      <w:r>
        <w:rPr>
          <w:rStyle w:val="FootnoteCharacters"/>
        </w:rPr>
        <w:footnoteRef/>
      </w:r>
      <w:r>
        <w:rPr>
          <w:rFonts w:ascii="BenOr Rashi" w:hAnsi="BenOr Rashi"/>
          <w:rtl/>
          <w:lang w:bidi="he-IL"/>
        </w:rPr>
        <w:tab/>
      </w:r>
      <w:r>
        <w:rPr>
          <w:rFonts w:ascii="BenOr Rashi" w:hAnsi="BenOr Rashi"/>
          <w:rtl/>
          <w:lang w:bidi="he-IL"/>
        </w:rPr>
        <w:t xml:space="preserve">גדר </w:t>
      </w:r>
      <w:r>
        <w:rPr>
          <w:rFonts w:ascii="BenOr Rashi" w:hAnsi="BenOr Rashi"/>
          <w:rtl/>
          <w:lang w:bidi="he-IL"/>
        </w:rPr>
        <w:t>פיתוי כאן לא כל כך פשוט. לכאו’, יהיה פיתוי כל זמן שבא עליה. אז, לכאו’ קצת פשוט הוא שלא חייב דמי פיתוי לה. ותחשב. ואלי הוא כן רק אם היא בתחילה לא רוצה, והוא גורם שרוצה. ויש לדון אם הוא כן גם בפיתה אשה שאינה נשואה לו, שנאמר שאם היא רוצה מתחילה לא חייב קנס. ותחשב.</w:t>
      </w:r>
    </w:p>
  </w:footnote>
  <w:footnote w:id="5">
    <w:p w14:paraId="042895E6" w14:textId="77777777" w:rsidR="00C00E31" w:rsidRDefault="00F01A45">
      <w:pPr>
        <w:pStyle w:val="FootnoteText"/>
        <w:rPr>
          <w:rFonts w:ascii="BenOr Rashi" w:hAnsi="BenOr Rashi"/>
          <w:lang w:bidi="he-IL"/>
        </w:rPr>
      </w:pPr>
      <w:r>
        <w:rPr>
          <w:rStyle w:val="FootnoteCharacters"/>
        </w:rPr>
        <w:footnoteRef/>
      </w:r>
      <w:r>
        <w:rPr>
          <w:rFonts w:ascii="BenOr Rashi" w:hAnsi="BenOr Rashi"/>
          <w:rtl/>
          <w:lang w:bidi="he-IL"/>
        </w:rPr>
        <w:tab/>
      </w:r>
      <w:r>
        <w:rPr>
          <w:rFonts w:ascii="BenOr Rashi" w:hAnsi="BenOr Rashi"/>
          <w:rtl/>
          <w:lang w:bidi="he-IL"/>
        </w:rPr>
        <w:t xml:space="preserve">צריך </w:t>
      </w:r>
      <w:r>
        <w:rPr>
          <w:rFonts w:ascii="BenOr Rashi" w:hAnsi="BenOr Rashi"/>
          <w:rtl/>
          <w:lang w:bidi="he-IL"/>
        </w:rPr>
        <w:t xml:space="preserve">לע’ בזה, שלא מחייב את עצמו, אלא רק בצירוף עדים מחייב את עצמו. אז, אולי לא ייפטר. אבל, אני חושב שהדין הוא שפטור. </w:t>
      </w:r>
    </w:p>
  </w:footnote>
  <w:footnote w:id="6">
    <w:p w14:paraId="240B3F12" w14:textId="77777777" w:rsidR="00C00E31" w:rsidRDefault="00F01A45">
      <w:pPr>
        <w:pStyle w:val="FootnoteText"/>
        <w:rPr>
          <w:rFonts w:ascii="BenOr Rashi" w:hAnsi="BenOr Rashi"/>
          <w:lang w:bidi="he-IL"/>
        </w:rPr>
      </w:pPr>
      <w:r>
        <w:rPr>
          <w:rStyle w:val="FootnoteCharacters"/>
        </w:rPr>
        <w:footnoteRef/>
      </w:r>
      <w:r>
        <w:rPr>
          <w:rFonts w:ascii="BenOr Rashi" w:hAnsi="BenOr Rashi"/>
          <w:rtl/>
          <w:lang w:bidi="he-IL"/>
        </w:rPr>
        <w:tab/>
      </w:r>
      <w:r>
        <w:rPr>
          <w:rFonts w:ascii="BenOr Rashi" w:hAnsi="BenOr Rashi"/>
          <w:rtl/>
          <w:lang w:bidi="he-IL"/>
        </w:rPr>
        <w:t xml:space="preserve">כנראה </w:t>
      </w:r>
      <w:r>
        <w:rPr>
          <w:rFonts w:ascii="BenOr Rashi" w:hAnsi="BenOr Rashi"/>
          <w:rtl/>
          <w:lang w:bidi="he-IL"/>
        </w:rPr>
        <w:t>תוס’ מניח שמה שלא יכולה למאן אחרי קידושין הוא מפני שכבר יש סיבה אחרת לקידושין. לא מוכרח כן; היה אפשר לומר שהוא מפני שמה שקבלה קידושין ממנו מוכיח שרוצה בהשארת הקידושין. אז, אולי לא צריך להיות ביאה לשם קידושין.</w:t>
      </w:r>
    </w:p>
    <w:p w14:paraId="5E7F56F3" w14:textId="77777777" w:rsidR="00C00E31" w:rsidRDefault="00F01A45">
      <w:pPr>
        <w:pStyle w:val="FootnoteText"/>
        <w:rPr>
          <w:rFonts w:ascii="BenOr Rashi" w:hAnsi="BenOr Rashi"/>
          <w:lang w:bidi="he-IL"/>
        </w:rPr>
      </w:pPr>
      <w:r>
        <w:rPr>
          <w:rFonts w:ascii="BenOr Rashi" w:hAnsi="BenOr Rashi"/>
          <w:rtl/>
        </w:rPr>
        <w:tab/>
      </w:r>
      <w:r>
        <w:rPr>
          <w:rFonts w:ascii="BenOr Rashi" w:hAnsi="BenOr Rashi"/>
          <w:rtl/>
          <w:lang w:bidi="he-IL"/>
        </w:rPr>
        <w:t>באמת, אף לתוס’ יש לדון אם הענין הוא שעושה קידושין מחדש או שזה מראה רצון שלהם בקידושין שכבר יש להם. (וא"ת אין להם קי’ מדאו’. יש לומר שיש להם יחס מדאו’, שזה מציאות, והוא דומה ליחס קידושין. דחוק. יותר נראה לומר שאין הכי נמי, אין קי’ נעשים על ידי זה, אבל נישואין דרבנן נתחזקו עד שלא יכול למאן.) יהיה נפקא מינא פשוט- אם צריך עדים או לא צריך עדים. יש לדון, שאולי כיון שהם נשואים, ונמשכים בנישואים שלהם, כאילו יש עדי ביאה (כמו עדי ייחוד). ותחשב.</w:t>
      </w:r>
    </w:p>
    <w:p w14:paraId="56379812" w14:textId="77777777" w:rsidR="00C00E31" w:rsidRDefault="00F01A45">
      <w:pPr>
        <w:pStyle w:val="FootnoteText"/>
        <w:rPr>
          <w:rFonts w:ascii="BenOr Rashi" w:hAnsi="BenOr Rashi"/>
          <w:lang w:bidi="he-IL"/>
        </w:rPr>
      </w:pPr>
      <w:r>
        <w:rPr>
          <w:rFonts w:ascii="BenOr Rashi" w:hAnsi="BenOr Rashi"/>
          <w:rtl/>
          <w:lang w:bidi="he-IL"/>
        </w:rPr>
        <w:tab/>
        <w:t>באמת, יש לדון מה סובר רבי מאיר, אם סורב שחל קידושין מיד או שחל החיזוק מיד. גם אפשר לומר שסובר שאין צורך לרבנן לעשות דין מיאון, שכיון שהיא גדולה, יש לה דעת, אם הוא רע, לצאת ממנו. אז, נותנים לה רגע אחד אז לצאת. כיון שהגענו לזה, אולי אף רבי יהודה אומר כן, אלא שנותן לה קצת יותר זמן לחשוב. אם נבעלה, צריך לומר שלא חושבת עוד, אלא כבר קבעה בדעתה להישאר אצלו. ותחשב.ס</w:t>
      </w:r>
    </w:p>
  </w:footnote>
  <w:footnote w:id="7">
    <w:p w14:paraId="2DD1C4AE" w14:textId="77777777" w:rsidR="00C00E31" w:rsidRDefault="00F01A45">
      <w:pPr>
        <w:pStyle w:val="FootnoteText"/>
        <w:rPr>
          <w:rFonts w:ascii="BenOr Rashi" w:hAnsi="BenOr Rashi"/>
          <w:lang w:bidi="he-IL"/>
        </w:rPr>
      </w:pPr>
      <w:r>
        <w:rPr>
          <w:rStyle w:val="FootnoteCharacters"/>
        </w:rPr>
        <w:footnoteRef/>
      </w:r>
      <w:r>
        <w:rPr>
          <w:rFonts w:ascii="BenOr Rashi" w:hAnsi="BenOr Rashi"/>
          <w:rtl/>
          <w:lang w:bidi="he-IL"/>
        </w:rPr>
        <w:tab/>
      </w:r>
      <w:r>
        <w:rPr>
          <w:rFonts w:ascii="BenOr Rashi" w:hAnsi="BenOr Rashi"/>
          <w:rtl/>
          <w:lang w:bidi="he-IL"/>
        </w:rPr>
        <w:t xml:space="preserve">עיין </w:t>
      </w:r>
      <w:r>
        <w:rPr>
          <w:rFonts w:ascii="BenOr Rashi" w:hAnsi="BenOr Rashi"/>
          <w:rtl/>
          <w:lang w:bidi="he-IL"/>
        </w:rPr>
        <w:t>בלשון שלו בסוף התי’, “דבההיא…..” איני מבין הדל"ת בזה כל כך, שהייתי אומר "ובההיא.” וצריך לעיין.</w:t>
      </w:r>
    </w:p>
  </w:footnote>
  <w:footnote w:id="8">
    <w:p w14:paraId="63730E64" w14:textId="77777777" w:rsidR="00C00E31" w:rsidRDefault="00F01A45">
      <w:pPr>
        <w:pStyle w:val="FootnoteText"/>
        <w:rPr>
          <w:rFonts w:ascii="BenOr Rashi" w:hAnsi="BenOr Rashi"/>
          <w:lang w:bidi="he-IL"/>
        </w:rPr>
      </w:pPr>
      <w:r>
        <w:rPr>
          <w:rStyle w:val="FootnoteCharacters"/>
        </w:rPr>
        <w:footnoteRef/>
      </w:r>
      <w:r>
        <w:rPr>
          <w:rFonts w:ascii="BenOr Rashi" w:hAnsi="BenOr Rashi"/>
          <w:rtl/>
          <w:lang w:bidi="he-IL"/>
        </w:rPr>
        <w:tab/>
      </w:r>
      <w:r>
        <w:rPr>
          <w:rFonts w:ascii="BenOr Rashi" w:hAnsi="BenOr Rashi"/>
          <w:rtl/>
          <w:lang w:bidi="he-IL"/>
        </w:rPr>
        <w:t xml:space="preserve">נראה </w:t>
      </w:r>
      <w:r>
        <w:rPr>
          <w:rFonts w:ascii="BenOr Rashi" w:hAnsi="BenOr Rashi"/>
          <w:rtl/>
          <w:lang w:bidi="he-IL"/>
        </w:rPr>
        <w:t>שנוכל לומר עוד פירוש, והוא שאולי מדבר במי שבא על אשה המקודשת מדרבנן (קורא לה ממאנת כיון שממש יכולה למאן, ואינה רק ראויה, כקטנה (שאינה אף נשואה מדרבנן). הסיבה לפטור אותה הוא שמדרבנן היא כאשת איש, ואין קנס על אשת איש (כיון שיש חיוב מיתה).</w:t>
      </w:r>
    </w:p>
  </w:footnote>
  <w:footnote w:id="9">
    <w:p w14:paraId="4FFC0199" w14:textId="77777777" w:rsidR="00C00E31" w:rsidRDefault="00F01A45">
      <w:pPr>
        <w:pStyle w:val="FootnoteText"/>
        <w:rPr>
          <w:rFonts w:ascii="BenOr Rashi" w:hAnsi="BenOr Rashi"/>
          <w:lang w:bidi="he-IL"/>
        </w:rPr>
      </w:pPr>
      <w:r>
        <w:rPr>
          <w:rStyle w:val="FootnoteCharacters"/>
        </w:rPr>
        <w:footnoteRef/>
      </w:r>
      <w:r>
        <w:rPr>
          <w:rFonts w:ascii="BenOr Rashi" w:hAnsi="BenOr Rashi"/>
          <w:rtl/>
          <w:lang w:bidi="he-IL"/>
        </w:rPr>
        <w:tab/>
      </w:r>
      <w:r>
        <w:rPr>
          <w:rFonts w:ascii="BenOr Rashi" w:hAnsi="BenOr Rashi"/>
          <w:rtl/>
          <w:lang w:bidi="he-IL"/>
        </w:rPr>
        <w:t xml:space="preserve">יש </w:t>
      </w:r>
      <w:r>
        <w:rPr>
          <w:rFonts w:ascii="BenOr Rashi" w:hAnsi="BenOr Rashi"/>
          <w:rtl/>
          <w:lang w:bidi="he-IL"/>
        </w:rPr>
        <w:t>להעיר שאף בשאר הציורים אין בו חידוש כל כך, שלכאו’ פשוט שדין שלו הוא שווה לדין אונס, אבל עדיין יש בו חידוש השווה לדין אונס. במילים אחרים, שני דברים נמנים במשנה, וכל אחד מהם מראה אותו חידוש. מצאנו כ"פ במשניות שיזכיר דברים כזה. (אבל, גם מצאנו כ"פ שישאל גמ’ למה מזכיר; אז, איני יודע כל כך מה ראוי לגמ’ לעשות.)</w:t>
      </w:r>
    </w:p>
  </w:footnote>
  <w:footnote w:id="10">
    <w:p w14:paraId="11D61A4F" w14:textId="77777777" w:rsidR="00C00E31" w:rsidRDefault="00F01A45">
      <w:pPr>
        <w:pStyle w:val="FootnoteText"/>
        <w:rPr>
          <w:rFonts w:ascii="BenOr Rashi" w:hAnsi="BenOr Rashi"/>
          <w:lang w:bidi="he-IL"/>
        </w:rPr>
      </w:pPr>
      <w:r>
        <w:rPr>
          <w:rStyle w:val="FootnoteCharacters"/>
        </w:rPr>
        <w:footnoteRef/>
      </w:r>
      <w:r>
        <w:rPr>
          <w:rFonts w:ascii="BenOr Rashi" w:hAnsi="BenOr Rashi"/>
          <w:rtl/>
          <w:lang w:bidi="he-IL"/>
        </w:rPr>
        <w:tab/>
      </w:r>
      <w:r>
        <w:rPr>
          <w:rFonts w:ascii="BenOr Rashi" w:hAnsi="BenOr Rashi"/>
          <w:rtl/>
          <w:lang w:bidi="he-IL"/>
        </w:rPr>
        <w:t xml:space="preserve">עיין </w:t>
      </w:r>
      <w:r>
        <w:rPr>
          <w:rFonts w:ascii="BenOr Rashi" w:hAnsi="BenOr Rashi"/>
          <w:rtl/>
          <w:lang w:bidi="he-IL"/>
        </w:rPr>
        <w:t>בביאורים שלנו על הגמ’, שבארנו את זה למטה.</w:t>
      </w:r>
    </w:p>
  </w:footnote>
  <w:footnote w:id="11">
    <w:p w14:paraId="5DBC065D" w14:textId="77777777" w:rsidR="00C00E31" w:rsidRDefault="00F01A45">
      <w:pPr>
        <w:pStyle w:val="FootnoteText"/>
        <w:rPr>
          <w:rFonts w:ascii="BenOr Rashi" w:hAnsi="BenOr Rashi"/>
          <w:lang w:bidi="he-IL"/>
        </w:rPr>
      </w:pPr>
      <w:r>
        <w:rPr>
          <w:rStyle w:val="FootnoteCharacters"/>
        </w:rPr>
        <w:footnoteRef/>
      </w:r>
      <w:r>
        <w:rPr>
          <w:rFonts w:ascii="BenOr Rashi" w:hAnsi="BenOr Rashi"/>
          <w:rtl/>
          <w:lang w:bidi="he-IL"/>
        </w:rPr>
        <w:tab/>
      </w:r>
      <w:r>
        <w:rPr>
          <w:rFonts w:ascii="BenOr Rashi" w:hAnsi="BenOr Rashi"/>
          <w:rtl/>
          <w:lang w:bidi="he-IL"/>
        </w:rPr>
        <w:t xml:space="preserve">לכאו’, </w:t>
      </w:r>
      <w:r>
        <w:rPr>
          <w:rFonts w:ascii="BenOr Rashi" w:hAnsi="BenOr Rashi"/>
          <w:rtl/>
          <w:lang w:bidi="he-IL"/>
        </w:rPr>
        <w:t>זה גם הולך לשיטת תוס’ ששניות רצה לומר בפטור, ואז יכולים לומר שהם שניות לענין המקור וכדו’. אבל, אם שניות רצה לומר בענין החומר, יהיה פשוט שלא נוכל לומר כן, שרק כרת הוא נחשב שנית למיתה. ויש לדון, שאולי שניהם נחשבים שניות, אף שאחד הוא גם שני לחברו. ותחשב.</w:t>
      </w:r>
    </w:p>
  </w:footnote>
  <w:footnote w:id="12">
    <w:p w14:paraId="114D0A6F" w14:textId="77777777" w:rsidR="00C00E31" w:rsidRDefault="00F01A45">
      <w:pPr>
        <w:pStyle w:val="FootnoteText"/>
        <w:rPr>
          <w:rFonts w:ascii="BenOr Rashi" w:hAnsi="BenOr Rashi"/>
          <w:lang w:bidi="he-IL"/>
        </w:rPr>
      </w:pPr>
      <w:r>
        <w:rPr>
          <w:rStyle w:val="FootnoteCharacters"/>
        </w:rPr>
        <w:footnoteRef/>
      </w:r>
      <w:r>
        <w:rPr>
          <w:rFonts w:ascii="BenOr Rashi" w:hAnsi="BenOr Rashi"/>
          <w:rtl/>
          <w:lang w:bidi="he-IL"/>
        </w:rPr>
        <w:tab/>
      </w:r>
      <w:r>
        <w:rPr>
          <w:rFonts w:ascii="BenOr Rashi" w:hAnsi="BenOr Rashi"/>
          <w:rtl/>
          <w:lang w:bidi="he-IL"/>
        </w:rPr>
        <w:t xml:space="preserve">על </w:t>
      </w:r>
      <w:r>
        <w:rPr>
          <w:rFonts w:ascii="BenOr Rashi" w:hAnsi="BenOr Rashi"/>
          <w:rtl/>
          <w:lang w:bidi="he-IL"/>
        </w:rPr>
        <w:t>פי זה, נראה לבאר איך יכול להיות נראה שרבה ולא באמת ריבה. נראה שלא צריך לומר שנראה שיש רוב, אבל לא באמת יש רוב, אלא יכולים לומר שיש רוב ברוחב ולא באורך. אז, הנראה יאמר שיש יותר שחור, אבל אם תמדוד, תמצא שאין רוב אלא ברוחב, אבל באורך אין רוב. יש לדון, שהיה לו לומר, אז, שהשיעור הוא מתי שיש רוב ברוחב.</w:t>
      </w:r>
    </w:p>
  </w:footnote>
  <w:footnote w:id="13">
    <w:p w14:paraId="53960656" w14:textId="77777777" w:rsidR="00C00E31" w:rsidRDefault="00F01A45">
      <w:pPr>
        <w:pStyle w:val="FootnoteText"/>
        <w:rPr>
          <w:rFonts w:ascii="BenOr Rashi" w:hAnsi="BenOr Rashi"/>
          <w:lang w:bidi="he-IL"/>
        </w:rPr>
      </w:pPr>
      <w:r>
        <w:rPr>
          <w:rStyle w:val="FootnoteCharacters"/>
        </w:rPr>
        <w:footnoteRef/>
      </w:r>
      <w:r>
        <w:rPr>
          <w:rFonts w:ascii="BenOr Rashi" w:hAnsi="BenOr Rashi"/>
          <w:rtl/>
          <w:lang w:bidi="he-IL"/>
        </w:rPr>
        <w:tab/>
      </w:r>
      <w:r>
        <w:rPr>
          <w:rFonts w:ascii="BenOr Rashi" w:hAnsi="BenOr Rashi"/>
          <w:rtl/>
          <w:lang w:bidi="he-IL"/>
        </w:rPr>
        <w:t xml:space="preserve">אגב, </w:t>
      </w:r>
      <w:r>
        <w:rPr>
          <w:rFonts w:ascii="BenOr Rashi" w:hAnsi="BenOr Rashi"/>
          <w:rtl/>
          <w:lang w:bidi="he-IL"/>
        </w:rPr>
        <w:t>לפי ר"ח, יש לדון בביאור מה שאומר רבא (באותו גמ’ בנדה). לכאו’, מה שאומר הוא שכיון שהקיפו שני השערות, בוודאי יש יותר שחור מלבן. נמצא שמניח שהליבון של כל שערות נשים שוות (על כל פנים במה שאינו יותר מזה). גם אפשר לומר שאז תמיד נראה כמו שיש יותר שחור מן לבן. יש לדון אם זה נכון במציאות, אבל נראה שכיון שאינם כל כך במקום אחד, לא רואה אותו ל"רובו לבן,” אף שהוא כן, אלא שיש חלק שחור ויש חלק לבן. כיון שחלק השחור הוא שחור, רואה אותו עכשיו לרוב. ותחשב.</w:t>
      </w:r>
    </w:p>
    <w:p w14:paraId="3D7DEC0E" w14:textId="77777777" w:rsidR="00C00E31" w:rsidRDefault="00F01A45">
      <w:pPr>
        <w:pStyle w:val="FootnoteText"/>
        <w:rPr>
          <w:rFonts w:ascii="BenOr Rashi" w:hAnsi="BenOr Rashi"/>
          <w:lang w:bidi="he-IL"/>
        </w:rPr>
      </w:pPr>
      <w:r>
        <w:rPr>
          <w:rFonts w:ascii="BenOr Rashi" w:hAnsi="BenOr Rashi"/>
          <w:rtl/>
          <w:lang w:bidi="he-IL"/>
        </w:rPr>
        <w:tab/>
        <w:t>גם אגב, יש לדון אם מה שנראה השחוט כרוב הוא מעכב או לא (והוא רק סימן לזמן מיוחד). יש לדון באשה כושית. (באמת, יש לדון שם אם צריכה מה שנ’ שריבה שחור על לבן בשאר נשים או שצריכה שממש ירבה או שצ’ שיראה שירבה, ואף אם כבר ריבה, אם לא נראה כן לא מהני. ותחשב.)</w:t>
      </w:r>
    </w:p>
  </w:footnote>
  <w:footnote w:id="14">
    <w:p w14:paraId="22D5B49F" w14:textId="77777777" w:rsidR="00C00E31" w:rsidRDefault="00F01A45">
      <w:pPr>
        <w:pStyle w:val="FootnoteText"/>
        <w:rPr>
          <w:rFonts w:ascii="BenOr Rashi" w:hAnsi="BenOr Rashi"/>
          <w:lang w:bidi="he-IL"/>
        </w:rPr>
      </w:pPr>
      <w:r>
        <w:rPr>
          <w:rStyle w:val="FootnoteCharacters"/>
        </w:rPr>
        <w:footnoteRef/>
      </w:r>
      <w:r>
        <w:rPr>
          <w:rFonts w:ascii="BenOr Rashi" w:hAnsi="BenOr Rashi"/>
          <w:rtl/>
          <w:lang w:bidi="he-IL"/>
        </w:rPr>
        <w:tab/>
      </w:r>
      <w:r>
        <w:rPr>
          <w:rFonts w:ascii="BenOr Rashi" w:hAnsi="BenOr Rashi"/>
          <w:rtl/>
          <w:lang w:bidi="he-IL"/>
        </w:rPr>
        <w:t xml:space="preserve">איני </w:t>
      </w:r>
      <w:r>
        <w:rPr>
          <w:rFonts w:ascii="BenOr Rashi" w:hAnsi="BenOr Rashi"/>
          <w:rtl/>
          <w:lang w:bidi="he-IL"/>
        </w:rPr>
        <w:t>יודע למה מניחים שהיתה חייבת סקילה, ולא שהיתה חייבת חנק. הרי, פסוק ממעט שניהם ממיתת סקילה אם היא קטנה. פשוט שאין לה אותו מיתה, כיון שהיא קטנה, אבל איני יודע למה נחשוב שאותו הלימוד מלמד דבר על האיש שלא שייך לאשה, ושם נ חלק בין דינים שלהם.</w:t>
      </w:r>
    </w:p>
  </w:footnote>
  <w:footnote w:id="15">
    <w:p w14:paraId="7B7F01F0" w14:textId="77777777" w:rsidR="00C00E31" w:rsidRDefault="00F01A45">
      <w:pPr>
        <w:pStyle w:val="FootnoteText"/>
        <w:rPr>
          <w:rFonts w:ascii="BenOr Rashi" w:hAnsi="BenOr Rashi"/>
          <w:lang w:bidi="he-IL"/>
        </w:rPr>
      </w:pPr>
      <w:r>
        <w:rPr>
          <w:rStyle w:val="FootnoteCharacters"/>
        </w:rPr>
        <w:footnoteRef/>
      </w:r>
      <w:r>
        <w:rPr>
          <w:rFonts w:ascii="BenOr Rashi" w:hAnsi="BenOr Rashi"/>
          <w:rtl/>
          <w:lang w:bidi="he-IL"/>
        </w:rPr>
        <w:tab/>
      </w:r>
      <w:r>
        <w:rPr>
          <w:rFonts w:ascii="BenOr Rashi" w:hAnsi="BenOr Rashi"/>
          <w:rtl/>
          <w:lang w:bidi="he-IL"/>
        </w:rPr>
        <w:t xml:space="preserve">זה </w:t>
      </w:r>
      <w:r>
        <w:rPr>
          <w:rFonts w:ascii="BenOr Rashi" w:hAnsi="BenOr Rashi"/>
          <w:rtl/>
          <w:lang w:bidi="he-IL"/>
        </w:rPr>
        <w:t>לא כל כך פשוט. נראה שתוס’ מניח כן כיון שמקור של רבנן הוא פסוק שמלמד לנו שכשכ’ "נערה" בלי ה"ה, כמו כאן, כולל גם קטנה. אז, אם חולקים על רבנן שם, גם יחלקו על רבנן כאן. צריך לע’, שאז צריכים לומר שרבי מארי חוק על רבנן. אבל, מביא מקור אחר כאן. צריך לומר שאותו מקור מוכיח לו שלא לומר ככלל של רבנן. אבל, כיון שלא אומר ככלל של רבנן, חולק עליו בכל מקום. וצל"ע.</w:t>
      </w:r>
    </w:p>
  </w:footnote>
  <w:footnote w:id="16">
    <w:p w14:paraId="527A4DA5" w14:textId="77777777" w:rsidR="00C00E31" w:rsidRDefault="00F01A45">
      <w:pPr>
        <w:pStyle w:val="FootnoteText"/>
        <w:rPr>
          <w:rFonts w:ascii="BenOr Rashi" w:hAnsi="BenOr Rashi"/>
          <w:lang w:bidi="he-IL"/>
        </w:rPr>
      </w:pPr>
      <w:r>
        <w:rPr>
          <w:rStyle w:val="FootnoteCharacters"/>
        </w:rPr>
        <w:footnoteRef/>
      </w:r>
      <w:r>
        <w:rPr>
          <w:rFonts w:ascii="BenOr Rashi" w:hAnsi="BenOr Rashi"/>
          <w:rtl/>
          <w:lang w:bidi="he-IL"/>
        </w:rPr>
        <w:tab/>
      </w:r>
      <w:r>
        <w:rPr>
          <w:rFonts w:ascii="BenOr Rashi" w:hAnsi="BenOr Rashi"/>
          <w:rtl/>
          <w:lang w:bidi="he-IL"/>
        </w:rPr>
        <w:t xml:space="preserve">עיין </w:t>
      </w:r>
      <w:r>
        <w:rPr>
          <w:rFonts w:ascii="BenOr Rashi" w:hAnsi="BenOr Rashi"/>
          <w:rtl/>
          <w:lang w:bidi="he-IL"/>
        </w:rPr>
        <w:t>במה שהערנו על הגמ’ למה לא אומרים שרבי ישמעאל הוא. צריך לומר שגם רבי ישמעאל נחשב ב"פ של רבי מאיר. ויש להעיר שיש שני דרגות של בעלי פלוגתא. יכול להיות תנא שרגיל ומצוי שחולק עליו, ויכול להיות תנא שסתבם חולק עליו (למשל, אם רבי אליעזר חולק על תנא, ולא אומרים שמו, מניחים שרבי יהושע הוא). מגמ’ בתחילת פסחים (וכן מכמה גמ’ במק"א) משמע שרבי יהודה ורבי מאיר היו אף במין שני. אם צריך מין זה, אז לא נראה שנוהג ברבי ישמעאל.</w:t>
      </w:r>
    </w:p>
    <w:p w14:paraId="39019DB7" w14:textId="77777777" w:rsidR="00C00E31" w:rsidRDefault="00F01A45">
      <w:pPr>
        <w:pStyle w:val="FootnoteText"/>
        <w:rPr>
          <w:rFonts w:ascii="BenOr Rashi" w:hAnsi="BenOr Rashi"/>
          <w:lang w:bidi="he-IL"/>
        </w:rPr>
      </w:pPr>
      <w:r>
        <w:rPr>
          <w:rFonts w:ascii="BenOr Rashi" w:hAnsi="BenOr Rashi"/>
          <w:rtl/>
          <w:lang w:bidi="he-IL"/>
        </w:rPr>
        <w:tab/>
        <w:t>נראה שקצת תלוי למה צריך להיות בא פלוגתיה. אולי הענין הוא שהיה לו למנות שאף הוא אומר כרבי מאיר, כיון ששיטתו נאמר עם שיטת רבי מאיר. כן נראה מדברי תוס’. אז, נראה שלא צריך להיות בר פלוגתא במין השני. גם אפשר שהדיוק מ"זו דברי רבי מאיר" הוא שזה לא שיטה של אחר. כמו שחכמים סתם הוא בר פלוגתיה, כך חולק סתם זה הוא בר פלוגתיה. כאן, זה רבי יהודה. אז, נראה שזה רק יכול להוכיח שרבי יהודה חולק, אבל לא שרבי ישמעאל חולק. ותחשב.</w:t>
      </w:r>
    </w:p>
  </w:footnote>
  <w:footnote w:id="17">
    <w:p w14:paraId="0E0C491B" w14:textId="77777777" w:rsidR="00C00E31" w:rsidRDefault="00F01A45">
      <w:pPr>
        <w:pStyle w:val="FootnoteText"/>
        <w:rPr>
          <w:rFonts w:ascii="BenOr Rashi" w:hAnsi="BenOr Rashi"/>
          <w:lang w:bidi="he-IL"/>
        </w:rPr>
      </w:pPr>
      <w:r>
        <w:rPr>
          <w:rStyle w:val="FootnoteCharacters"/>
        </w:rPr>
        <w:footnoteRef/>
      </w:r>
      <w:r>
        <w:rPr>
          <w:rFonts w:ascii="BenOr Rashi" w:hAnsi="BenOr Rashi"/>
          <w:rtl/>
          <w:lang w:bidi="he-IL"/>
        </w:rPr>
        <w:tab/>
      </w:r>
      <w:r>
        <w:rPr>
          <w:rFonts w:ascii="BenOr Rashi" w:hAnsi="BenOr Rashi"/>
          <w:rtl/>
          <w:lang w:bidi="he-IL"/>
        </w:rPr>
        <w:t xml:space="preserve">כן </w:t>
      </w:r>
      <w:r>
        <w:rPr>
          <w:rFonts w:ascii="BenOr Rashi" w:hAnsi="BenOr Rashi"/>
          <w:rtl/>
          <w:lang w:bidi="he-IL"/>
        </w:rPr>
        <w:t>הנחתי, אבל זה לא פשוט. אולי יהיה יותר קל בקושייתו וכן בד"ה שלו (וכן במה שנותן שני חלקים אלו ביחד) שסובר שגם זה יכנס לכלל של תי’ הגמ’ כשאומר שממאנת רצה לומר הראוייה למאן. אז, מקשה למה לא מתרצים לק’ גמ’ ל"ל אומרים קטנה. לא נראה כן, שגמ’ אמר שממאנת היא אשה הראוייה למאן. לא אמר שממאנת רצה לומר ממאנת ממש. לפי זה, לא צריכים לומר שממאנת רצה לומר אשה הראויה למאן, אלא תהיה אשה שמיאנה. יהיה נכון גם בשאר נשים, כיון שלא יהיה הפטור מחמת זה, כמו שיבאר תוס’, אבל יהיה כן גם להם. ותחשב.</w:t>
      </w:r>
    </w:p>
  </w:footnote>
  <w:footnote w:id="18">
    <w:p w14:paraId="085D3933" w14:textId="77777777" w:rsidR="00C00E31" w:rsidRDefault="00F01A45">
      <w:pPr>
        <w:pStyle w:val="FootnoteText"/>
        <w:rPr>
          <w:rFonts w:ascii="BenOr Rashi" w:hAnsi="BenOr Rashi"/>
          <w:lang w:bidi="he-IL"/>
        </w:rPr>
      </w:pPr>
      <w:r>
        <w:rPr>
          <w:rStyle w:val="FootnoteCharacters"/>
        </w:rPr>
        <w:footnoteRef/>
      </w:r>
      <w:r>
        <w:rPr>
          <w:rFonts w:ascii="BenOr Rashi" w:hAnsi="BenOr Rashi"/>
          <w:rtl/>
          <w:lang w:bidi="he-IL"/>
        </w:rPr>
        <w:tab/>
      </w:r>
      <w:r>
        <w:rPr>
          <w:rFonts w:ascii="BenOr Rashi" w:hAnsi="BenOr Rashi"/>
          <w:rtl/>
          <w:lang w:bidi="he-IL"/>
        </w:rPr>
        <w:t xml:space="preserve">כן </w:t>
      </w:r>
      <w:r>
        <w:rPr>
          <w:rFonts w:ascii="BenOr Rashi" w:hAnsi="BenOr Rashi"/>
          <w:rtl/>
          <w:lang w:bidi="he-IL"/>
        </w:rPr>
        <w:t>הוא פשטות הביאור של תוס’. אבל, גם אפשר לפרש שתוס’ בא לפרש את קושיית הגמ’. היה אשפר לומר שגמ’ מקשה למה לא כוללים את שניהם ואומרים "קטנה.” לזה, תוס’ אומר שלא יכולים להקשות כן, שיש חידוש.. אלא, רק מקשה למה לא מקצרים את הבבא, ולמה לא קוראים אותה על פי קרק’ החשוב, ולא קרק’ הצדדי.</w:t>
      </w:r>
    </w:p>
  </w:footnote>
  <w:footnote w:id="19">
    <w:p w14:paraId="7B680954" w14:textId="77777777" w:rsidR="00C00E31" w:rsidRDefault="00F01A45">
      <w:pPr>
        <w:pStyle w:val="FootnoteText"/>
        <w:rPr>
          <w:rFonts w:ascii="BenOr Rashi" w:hAnsi="BenOr Rashi"/>
          <w:lang w:bidi="he-IL"/>
        </w:rPr>
      </w:pPr>
      <w:r>
        <w:rPr>
          <w:rStyle w:val="FootnoteCharacters"/>
        </w:rPr>
        <w:footnoteRef/>
      </w:r>
      <w:r>
        <w:rPr>
          <w:rFonts w:ascii="BenOr Rashi" w:hAnsi="BenOr Rashi"/>
          <w:rtl/>
          <w:lang w:bidi="he-IL"/>
        </w:rPr>
        <w:tab/>
      </w:r>
      <w:r>
        <w:rPr>
          <w:rFonts w:ascii="BenOr Rashi" w:hAnsi="BenOr Rashi"/>
          <w:rtl/>
          <w:lang w:bidi="he-IL"/>
        </w:rPr>
        <w:t xml:space="preserve">ק"ק, </w:t>
      </w:r>
      <w:r>
        <w:rPr>
          <w:rFonts w:ascii="BenOr Rashi" w:hAnsi="BenOr Rashi"/>
          <w:rtl/>
          <w:lang w:bidi="he-IL"/>
        </w:rPr>
        <w:t>אז, למה לא אומרים שאם רק ידע אותה אחרי שנתבגרה יחיייב קנס, שלו זהו הזמן הכי טוב שלה. ויש לדון.</w:t>
      </w:r>
    </w:p>
  </w:footnote>
  <w:footnote w:id="20">
    <w:p w14:paraId="613AD75F" w14:textId="77777777" w:rsidR="00C00E31" w:rsidRDefault="00F01A45">
      <w:pPr>
        <w:pStyle w:val="FootnoteText"/>
        <w:rPr>
          <w:rFonts w:ascii="BenOr Rashi" w:hAnsi="BenOr Rashi"/>
          <w:lang w:bidi="he-IL"/>
        </w:rPr>
      </w:pPr>
      <w:r>
        <w:rPr>
          <w:rStyle w:val="FootnoteCharacters"/>
        </w:rPr>
        <w:footnoteRef/>
      </w:r>
      <w:r>
        <w:rPr>
          <w:rFonts w:ascii="BenOr Rashi" w:hAnsi="BenOr Rashi"/>
          <w:rtl/>
          <w:lang w:bidi="he-IL"/>
        </w:rPr>
        <w:tab/>
      </w:r>
      <w:r>
        <w:rPr>
          <w:rFonts w:ascii="BenOr Rashi" w:hAnsi="BenOr Rashi"/>
          <w:rtl/>
          <w:lang w:bidi="he-IL"/>
        </w:rPr>
        <w:t xml:space="preserve">כך </w:t>
      </w:r>
      <w:r>
        <w:rPr>
          <w:rFonts w:ascii="BenOr Rashi" w:hAnsi="BenOr Rashi"/>
          <w:rtl/>
          <w:lang w:bidi="he-IL"/>
        </w:rPr>
        <w:t>נצטרך לומר, לכאו’. יש לומר שגמ’ לא סבר שזה נכון, שמה שהיא ממאנת יהיה לה סיבה. עדין, יש לומר שנלמד כן מן ייתור של הלשון. דחוק.</w:t>
      </w:r>
    </w:p>
  </w:footnote>
  <w:footnote w:id="21">
    <w:p w14:paraId="29653B18" w14:textId="77777777" w:rsidR="00C00E31" w:rsidRDefault="00F01A45">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 xml:space="preserve">קודם </w:t>
      </w:r>
      <w:r>
        <w:rPr>
          <w:rFonts w:ascii="BenOr Rashi" w:hAnsi="BenOr Rashi"/>
          <w:rtl/>
          <w:lang w:bidi="he-IL"/>
        </w:rPr>
        <w:t>שנתחיל תוס' זה, ראוי להעיר שלאיזה סיבה, תוס' משווה דין של בוגרת ודין של מוכ"ע. איני יודע למה תלויים זה בזה. ותחשב.</w:t>
      </w:r>
    </w:p>
  </w:footnote>
  <w:footnote w:id="22">
    <w:p w14:paraId="2B98CA8E" w14:textId="77777777" w:rsidR="00C00E31" w:rsidRDefault="00F01A45">
      <w:pPr>
        <w:pStyle w:val="FootnoteText"/>
        <w:rPr>
          <w:rFonts w:ascii="BenOr Rashi" w:hAnsi="BenOr Rashi"/>
          <w:lang w:bidi="he-IL"/>
        </w:rPr>
      </w:pPr>
      <w:r>
        <w:rPr>
          <w:rStyle w:val="FootnoteCharacters"/>
        </w:rPr>
        <w:footnoteRef/>
      </w:r>
      <w:r>
        <w:rPr>
          <w:rFonts w:ascii="BenOr Rashi" w:hAnsi="BenOr Rashi"/>
          <w:rtl/>
        </w:rPr>
        <w:tab/>
        <w:t xml:space="preserve"> </w:t>
      </w:r>
      <w:r>
        <w:rPr>
          <w:rFonts w:ascii="BenOr Rashi" w:hAnsi="BenOr Rashi"/>
          <w:rtl/>
          <w:lang w:bidi="he-IL"/>
        </w:rPr>
        <w:t xml:space="preserve">שוב </w:t>
      </w:r>
      <w:r>
        <w:rPr>
          <w:rFonts w:ascii="BenOr Rashi" w:hAnsi="BenOr Rashi"/>
          <w:rtl/>
          <w:lang w:bidi="he-IL"/>
        </w:rPr>
        <w:t>ראיתי שקושיה שלי מובא במהר"ם שי"ף. שם, תי' שלפי רש"י, נוכל לומר שתמיד יש לה טענה, שמוכת עץ פתחה פתוח ואין לה דמים. מבין אני איך זה יכול להיות בשקלא וטריא של הגמ', שאז יקשה גמ' וית' כמו שפי' תוס' (ולא יניח רש"י כתליה מחודשת של תוס'), אבל איני רואה איך נאמר כן בלשון של תי' הגמ'. אז, איני מבין מה מכוון לומר. גם ראיתי שחזון איש דן בזה (פב, כז).</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40EA5" w14:textId="77777777" w:rsidR="00C00E31" w:rsidRDefault="00C00E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BBA52" w14:textId="77777777" w:rsidR="00C00E31" w:rsidRDefault="00F01A45">
    <w:pPr>
      <w:pStyle w:val="Header"/>
      <w:spacing w:before="567"/>
      <w:jc w:val="center"/>
      <w:rPr>
        <w:lang w:bidi="he-IL"/>
      </w:rPr>
    </w:pPr>
    <w:r>
      <w:rPr>
        <w:rtl/>
        <w:lang w:bidi="he-IL"/>
      </w:rPr>
      <w:t>ביאורים- תוספות</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5771A" w14:textId="77777777" w:rsidR="00C00E31" w:rsidRDefault="00F01A45">
    <w:pPr>
      <w:pStyle w:val="Header"/>
      <w:spacing w:before="567"/>
      <w:jc w:val="center"/>
      <w:rPr>
        <w:lang w:bidi="he-IL"/>
      </w:rPr>
    </w:pPr>
    <w:r>
      <w:rPr>
        <w:rtl/>
        <w:lang w:bidi="he-IL"/>
      </w:rPr>
      <w:t xml:space="preserve">ביאורים- </w:t>
    </w:r>
    <w:r>
      <w:rPr>
        <w:rtl/>
        <w:lang w:bidi="he-IL"/>
      </w:rPr>
      <w:t>תוספות</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67C03"/>
    <w:multiLevelType w:val="multilevel"/>
    <w:tmpl w:val="BD8E692C"/>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pStyle w:val="Heading4"/>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 w15:restartNumberingAfterBreak="0">
    <w:nsid w:val="2E0A01D0"/>
    <w:multiLevelType w:val="multilevel"/>
    <w:tmpl w:val="7748701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E31"/>
    <w:rsid w:val="00842DDA"/>
    <w:rsid w:val="00C00E31"/>
    <w:rsid w:val="00C102B6"/>
    <w:rsid w:val="00C77634"/>
    <w:rsid w:val="00F01A4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A2D25"/>
  <w15:docId w15:val="{5A984096-046C-4E47-B15B-85B966B3E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ahoma"/>
        <w:sz w:val="22"/>
        <w:szCs w:val="22"/>
        <w:lang w:val="en-US" w:eastAsia="en-US"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before="283" w:after="283" w:line="259" w:lineRule="auto"/>
    </w:pPr>
    <w:rPr>
      <w:rFonts w:cs="Guttman Rashi"/>
      <w:color w:val="000000"/>
      <w:lang w:bidi="ar-SA"/>
    </w:rPr>
  </w:style>
  <w:style w:type="paragraph" w:styleId="Heading1">
    <w:name w:val="heading 1"/>
    <w:basedOn w:val="Normal"/>
    <w:next w:val="Normal"/>
    <w:link w:val="Heading1Char"/>
    <w:uiPriority w:val="9"/>
    <w:qFormat/>
    <w:pPr>
      <w:keepNext/>
      <w:keepLines/>
      <w:ind w:left="283"/>
      <w:outlineLvl w:val="0"/>
    </w:pPr>
    <w:rPr>
      <w:rFonts w:ascii="Calibri Light" w:hAnsi="Calibri Light"/>
      <w:bCs/>
      <w:sz w:val="32"/>
      <w:lang w:bidi="he-IL"/>
    </w:rPr>
  </w:style>
  <w:style w:type="paragraph" w:styleId="Heading2">
    <w:name w:val="heading 2"/>
    <w:basedOn w:val="Normal"/>
    <w:next w:val="Normal"/>
    <w:link w:val="Heading2Char"/>
    <w:uiPriority w:val="9"/>
    <w:unhideWhenUsed/>
    <w:qFormat/>
    <w:pPr>
      <w:keepNext/>
      <w:keepLines/>
      <w:ind w:left="567"/>
      <w:outlineLvl w:val="1"/>
    </w:pPr>
    <w:rPr>
      <w:rFonts w:ascii="Calibri Light" w:hAnsi="Calibri Light"/>
      <w:bCs/>
      <w:sz w:val="26"/>
    </w:rPr>
  </w:style>
  <w:style w:type="paragraph" w:styleId="Heading3">
    <w:name w:val="heading 3"/>
    <w:basedOn w:val="Normal"/>
    <w:next w:val="Normal"/>
    <w:link w:val="Heading3Char"/>
    <w:uiPriority w:val="9"/>
    <w:unhideWhenUsed/>
    <w:qFormat/>
    <w:pPr>
      <w:keepNext/>
      <w:keepLines/>
      <w:ind w:left="850"/>
      <w:outlineLvl w:val="2"/>
    </w:pPr>
    <w:rPr>
      <w:rFonts w:ascii="Calibri Light" w:hAnsi="Calibri Light"/>
      <w:bCs/>
      <w:sz w:val="24"/>
    </w:rPr>
  </w:style>
  <w:style w:type="paragraph" w:styleId="Heading4">
    <w:name w:val="heading 4"/>
    <w:basedOn w:val="Heading"/>
    <w:next w:val="BodyText"/>
    <w:uiPriority w:val="9"/>
    <w:unhideWhenUsed/>
    <w:qFormat/>
    <w:pPr>
      <w:numPr>
        <w:ilvl w:val="3"/>
        <w:numId w:val="1"/>
      </w:numPr>
      <w:spacing w:before="283" w:after="283"/>
      <w:ind w:left="1134"/>
      <w:outlineLvl w:val="3"/>
    </w:pPr>
    <w:rPr>
      <w:rFonts w:cs="Guttman Rashi"/>
      <w:b/>
      <w:bCs/>
      <w:i/>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Pr>
      <w:rFonts w:ascii="Calibri Light" w:eastAsia="Calibri" w:hAnsi="Calibri Light"/>
      <w:color w:val="2F5496"/>
      <w:sz w:val="32"/>
      <w:szCs w:val="32"/>
    </w:rPr>
  </w:style>
  <w:style w:type="character" w:customStyle="1" w:styleId="Heading2Char">
    <w:name w:val="Heading 2 Char"/>
    <w:basedOn w:val="DefaultParagraphFont"/>
    <w:link w:val="Heading2"/>
    <w:qFormat/>
    <w:rPr>
      <w:rFonts w:ascii="Calibri Light" w:eastAsia="Calibri" w:hAnsi="Calibri Light"/>
      <w:color w:val="2F5496"/>
      <w:sz w:val="26"/>
      <w:szCs w:val="26"/>
    </w:rPr>
  </w:style>
  <w:style w:type="character" w:customStyle="1" w:styleId="FootnoteTextChar">
    <w:name w:val="Footnote Text Char"/>
    <w:basedOn w:val="DefaultParagraphFont"/>
    <w:link w:val="FootnoteText"/>
    <w:qFormat/>
    <w:rPr>
      <w:sz w:val="20"/>
      <w:szCs w:val="20"/>
    </w:rPr>
  </w:style>
  <w:style w:type="character" w:customStyle="1" w:styleId="FootnoteCharacters">
    <w:name w:val="Footnote Characters"/>
    <w:qFormat/>
    <w:rPr>
      <w:vertAlign w:val="superscript"/>
    </w:rPr>
  </w:style>
  <w:style w:type="character" w:customStyle="1" w:styleId="a">
    <w:name w:val="תווי הערת שוליים"/>
    <w:qFormat/>
    <w:rPr>
      <w:vertAlign w:val="superscript"/>
    </w:rPr>
  </w:style>
  <w:style w:type="character" w:styleId="FootnoteReference">
    <w:name w:val="footnote reference"/>
    <w:rPr>
      <w:vertAlign w:val="superscript"/>
    </w:rPr>
  </w:style>
  <w:style w:type="character" w:customStyle="1" w:styleId="Heading3Char">
    <w:name w:val="Heading 3 Char"/>
    <w:basedOn w:val="DefaultParagraphFont"/>
    <w:link w:val="Heading3"/>
    <w:qFormat/>
    <w:rPr>
      <w:rFonts w:ascii="Calibri Light" w:eastAsia="Calibri" w:hAnsi="Calibri Light"/>
      <w:color w:val="1F3763"/>
      <w:sz w:val="24"/>
      <w:szCs w:val="24"/>
    </w:rPr>
  </w:style>
  <w:style w:type="character" w:customStyle="1" w:styleId="EndnoteCharacters">
    <w:name w:val="Endnote Characters"/>
    <w:qFormat/>
    <w:rPr>
      <w:vertAlign w:val="superscript"/>
    </w:rPr>
  </w:style>
  <w:style w:type="character" w:customStyle="1" w:styleId="a0">
    <w:name w:val="תווי הערת סיום"/>
    <w:qFormat/>
    <w:rPr>
      <w:vertAlign w:val="superscript"/>
    </w:rPr>
  </w:style>
  <w:style w:type="character" w:styleId="EndnoteReference">
    <w:name w:val="endnote reference"/>
    <w:rPr>
      <w:vertAlign w:val="superscript"/>
    </w:rPr>
  </w:style>
  <w:style w:type="character" w:customStyle="1" w:styleId="a1">
    <w:name w:val="סמלי מספור"/>
    <w:qFormat/>
  </w:style>
  <w:style w:type="character" w:customStyle="1" w:styleId="Bullets">
    <w:name w:val="Bullets"/>
    <w:qFormat/>
    <w:rPr>
      <w:rFonts w:ascii="OpenSymbol" w:eastAsia="OpenSymbol" w:hAnsi="OpenSymbol" w:cs="OpenSymbol"/>
    </w:rPr>
  </w:style>
  <w:style w:type="character" w:styleId="LineNumber">
    <w:name w:val="line number"/>
  </w:style>
  <w:style w:type="character" w:customStyle="1" w:styleId="HeaderChar">
    <w:name w:val="Header Char"/>
    <w:basedOn w:val="DefaultParagraphFont"/>
    <w:link w:val="Header"/>
    <w:uiPriority w:val="99"/>
    <w:qFormat/>
    <w:rsid w:val="00B41863"/>
    <w:rPr>
      <w:rFonts w:cs="Guttman Rashi"/>
      <w:color w:val="000000"/>
      <w:lang w:bidi="ar-SA"/>
    </w:rPr>
  </w:style>
  <w:style w:type="character" w:customStyle="1" w:styleId="FooterChar">
    <w:name w:val="Footer Char"/>
    <w:basedOn w:val="DefaultParagraphFont"/>
    <w:link w:val="Footer"/>
    <w:qFormat/>
    <w:rsid w:val="00B41863"/>
    <w:rPr>
      <w:rFonts w:cs="Guttman Rashi"/>
      <w:color w:val="000000"/>
      <w:lang w:bidi="ar-SA"/>
    </w:rPr>
  </w:style>
  <w:style w:type="paragraph" w:customStyle="1" w:styleId="Heading">
    <w:name w:val="Heading"/>
    <w:basedOn w:val="Normal"/>
    <w:next w:val="BodyText"/>
    <w:qFormat/>
    <w:pPr>
      <w:keepNext/>
      <w:spacing w:before="240" w:after="120"/>
    </w:pPr>
    <w:rPr>
      <w:rFonts w:ascii="Arial" w:eastAsia="Microsoft YaHei" w:hAnsi="Arial" w:cs="Narkisim"/>
      <w:sz w:val="28"/>
      <w:szCs w:val="28"/>
    </w:rPr>
  </w:style>
  <w:style w:type="paragraph" w:styleId="BodyText">
    <w:name w:val="Body Text"/>
    <w:basedOn w:val="Normal"/>
    <w:pPr>
      <w:spacing w:before="0" w:after="140" w:line="276" w:lineRule="auto"/>
    </w:pPr>
  </w:style>
  <w:style w:type="paragraph" w:styleId="List">
    <w:name w:val="List"/>
    <w:basedOn w:val="BodyText"/>
    <w:rPr>
      <w:rFonts w:cs="Narkisim"/>
    </w:rPr>
  </w:style>
  <w:style w:type="paragraph" w:styleId="Caption">
    <w:name w:val="caption"/>
    <w:basedOn w:val="Normal"/>
    <w:qFormat/>
    <w:pPr>
      <w:suppressLineNumbers/>
      <w:spacing w:before="120" w:after="120"/>
    </w:pPr>
    <w:rPr>
      <w:rFonts w:cs="Narkisim"/>
      <w:i/>
      <w:iCs/>
      <w:sz w:val="24"/>
    </w:rPr>
  </w:style>
  <w:style w:type="paragraph" w:customStyle="1" w:styleId="Index">
    <w:name w:val="Index"/>
    <w:basedOn w:val="Normal"/>
    <w:qFormat/>
    <w:pPr>
      <w:suppressLineNumbers/>
    </w:pPr>
    <w:rPr>
      <w:rFonts w:cs="Narkisim"/>
    </w:rPr>
  </w:style>
  <w:style w:type="paragraph" w:customStyle="1" w:styleId="a2">
    <w:name w:val="שורת כותרת"/>
    <w:basedOn w:val="Normal"/>
    <w:next w:val="BodyText"/>
    <w:qFormat/>
    <w:pPr>
      <w:keepNext/>
      <w:spacing w:before="240" w:after="120"/>
    </w:pPr>
    <w:rPr>
      <w:rFonts w:ascii="Arial" w:eastAsia="Microsoft YaHei" w:hAnsi="Arial" w:cs="Narkisim"/>
      <w:sz w:val="28"/>
      <w:szCs w:val="28"/>
    </w:rPr>
  </w:style>
  <w:style w:type="paragraph" w:customStyle="1" w:styleId="a3">
    <w:name w:val="מפתחות"/>
    <w:basedOn w:val="Normal"/>
    <w:qFormat/>
    <w:pPr>
      <w:suppressLineNumbers/>
    </w:pPr>
    <w:rPr>
      <w:rFonts w:cs="Narkisim"/>
    </w:rPr>
  </w:style>
  <w:style w:type="paragraph" w:customStyle="1" w:styleId="Style1">
    <w:name w:val="Style1"/>
    <w:basedOn w:val="Normal"/>
    <w:qFormat/>
    <w:pPr>
      <w:spacing w:before="0" w:after="0" w:line="240" w:lineRule="auto"/>
      <w:contextualSpacing/>
    </w:pPr>
    <w:rPr>
      <w:rFonts w:cs="Shofar"/>
    </w:rPr>
  </w:style>
  <w:style w:type="paragraph" w:customStyle="1" w:styleId="Style2">
    <w:name w:val="Style2"/>
    <w:basedOn w:val="Style1"/>
    <w:qFormat/>
    <w:rPr>
      <w:rFonts w:cs="BenOr Rashi"/>
    </w:rPr>
  </w:style>
  <w:style w:type="paragraph" w:styleId="ListParagraph">
    <w:name w:val="List Paragraph"/>
    <w:basedOn w:val="Normal"/>
    <w:qFormat/>
    <w:pPr>
      <w:spacing w:before="0" w:after="160"/>
      <w:ind w:left="720"/>
      <w:contextualSpacing/>
    </w:pPr>
  </w:style>
  <w:style w:type="paragraph" w:styleId="FootnoteText">
    <w:name w:val="footnote text"/>
    <w:basedOn w:val="Normal"/>
    <w:link w:val="FootnoteTextChar"/>
    <w:pPr>
      <w:spacing w:line="240" w:lineRule="auto"/>
      <w:ind w:left="340" w:hanging="340"/>
    </w:pPr>
    <w:rPr>
      <w:rFonts w:cs="BenOr Rashi"/>
      <w:sz w:val="20"/>
      <w:szCs w:val="20"/>
    </w:rPr>
  </w:style>
  <w:style w:type="paragraph" w:customStyle="1" w:styleId="TableNormal1">
    <w:name w:val="Table Normal1"/>
    <w:qFormat/>
    <w:pPr>
      <w:spacing w:after="160" w:line="252" w:lineRule="auto"/>
    </w:pPr>
    <w:rPr>
      <w:lang w:bidi="ar-SA"/>
    </w:rPr>
  </w:style>
  <w:style w:type="paragraph" w:customStyle="1" w:styleId="HeaderandFooter">
    <w:name w:val="Header and Footer"/>
    <w:basedOn w:val="Normal"/>
    <w:qFormat/>
  </w:style>
  <w:style w:type="paragraph" w:styleId="Header">
    <w:name w:val="header"/>
    <w:basedOn w:val="Normal"/>
    <w:link w:val="HeaderChar"/>
    <w:uiPriority w:val="99"/>
    <w:unhideWhenUsed/>
    <w:rsid w:val="00B41863"/>
    <w:pPr>
      <w:tabs>
        <w:tab w:val="center" w:pos="4680"/>
        <w:tab w:val="right" w:pos="9360"/>
      </w:tabs>
      <w:spacing w:before="0" w:after="0" w:line="240" w:lineRule="auto"/>
    </w:pPr>
  </w:style>
  <w:style w:type="paragraph" w:styleId="Footer">
    <w:name w:val="footer"/>
    <w:basedOn w:val="Normal"/>
    <w:link w:val="FooterChar"/>
    <w:unhideWhenUsed/>
    <w:rsid w:val="00B41863"/>
    <w:pPr>
      <w:tabs>
        <w:tab w:val="center" w:pos="4680"/>
        <w:tab w:val="right" w:pos="9360"/>
      </w:tabs>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3394</TotalTime>
  <Pages>28</Pages>
  <Words>3613</Words>
  <Characters>20600</Characters>
  <Application>Microsoft Office Word</Application>
  <DocSecurity>0</DocSecurity>
  <Lines>171</Lines>
  <Paragraphs>48</Paragraphs>
  <ScaleCrop>false</ScaleCrop>
  <Company/>
  <LinksUpToDate>false</LinksUpToDate>
  <CharactersWithSpaces>24165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ביאורים תוס</dc:title>
  <dc:subject/>
  <dc:creator/>
  <dc:description/>
  <cp:lastModifiedBy>Admin</cp:lastModifiedBy>
  <cp:revision>173</cp:revision>
  <dcterms:created xsi:type="dcterms:W3CDTF">2024-07-07T12:48:00Z</dcterms:created>
  <dcterms:modified xsi:type="dcterms:W3CDTF">2024-08-01T19:30:00Z</dcterms:modified>
  <dc:language>en-GB</dc:language>
</cp:coreProperties>
</file>