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3F567" w14:textId="77777777" w:rsidR="003C40B9" w:rsidRDefault="00AA545E">
      <w:pPr>
        <w:bidi/>
      </w:pPr>
      <w:r>
        <w:rPr>
          <w:rtl/>
        </w:rPr>
        <w:t>יש לדון למה אדם לא חייב ממון אם עושה, באותו שעה, דבר שמחייב לו מיתה. נראה שיכול להיות ארבע צדדים:</w:t>
      </w:r>
    </w:p>
    <w:p w14:paraId="3BBA67A1" w14:textId="77777777" w:rsidR="003C40B9" w:rsidRDefault="00AA545E">
      <w:pPr>
        <w:numPr>
          <w:ilvl w:val="0"/>
          <w:numId w:val="2"/>
        </w:numPr>
        <w:bidi/>
      </w:pPr>
      <w:r>
        <w:rPr>
          <w:rtl/>
        </w:rPr>
        <w:t>מפני שעבר על ציווי ה’. צריך לומר שעבירה על ציווי ה’ שנתן מחמתו מיתה חלוק מעבירה על ציווי אחר של ה’.</w:t>
      </w:r>
    </w:p>
    <w:p w14:paraId="79266506" w14:textId="77777777" w:rsidR="003C40B9" w:rsidRDefault="00AA545E">
      <w:pPr>
        <w:numPr>
          <w:ilvl w:val="0"/>
          <w:numId w:val="2"/>
        </w:numPr>
        <w:bidi/>
      </w:pPr>
      <w:r>
        <w:rPr>
          <w:rtl/>
        </w:rPr>
        <w:t>מפני שעשה ס“ר.</w:t>
      </w:r>
    </w:p>
    <w:p w14:paraId="50FE99B4" w14:textId="77777777" w:rsidR="003C40B9" w:rsidRDefault="00AA545E">
      <w:pPr>
        <w:numPr>
          <w:ilvl w:val="0"/>
          <w:numId w:val="2"/>
        </w:numPr>
        <w:bidi/>
      </w:pPr>
      <w:r>
        <w:rPr>
          <w:rtl/>
        </w:rPr>
        <w:t>מפני שעשה סיבת חיוב מיתה.</w:t>
      </w:r>
    </w:p>
    <w:p w14:paraId="525B786A" w14:textId="77777777" w:rsidR="003C40B9" w:rsidRDefault="00AA545E">
      <w:pPr>
        <w:numPr>
          <w:ilvl w:val="0"/>
          <w:numId w:val="2"/>
        </w:numPr>
        <w:bidi/>
      </w:pPr>
      <w:r>
        <w:rPr>
          <w:rtl/>
        </w:rPr>
        <w:t xml:space="preserve">מפני שיש </w:t>
      </w:r>
      <w:r>
        <w:rPr>
          <w:rtl/>
        </w:rPr>
        <w:t>עליו חיוב מיתה.</w:t>
      </w:r>
    </w:p>
    <w:p w14:paraId="1A27552C" w14:textId="77777777" w:rsidR="003C40B9" w:rsidRDefault="003C40B9">
      <w:pPr>
        <w:bidi/>
      </w:pPr>
    </w:p>
    <w:p w14:paraId="71FB4A94" w14:textId="77777777" w:rsidR="003C40B9" w:rsidRDefault="00AA545E">
      <w:pPr>
        <w:bidi/>
      </w:pPr>
      <w:r>
        <w:rPr>
          <w:rtl/>
        </w:rPr>
        <w:t>יש להביא כמה ראיות:</w:t>
      </w:r>
    </w:p>
    <w:p w14:paraId="5069088D" w14:textId="77777777" w:rsidR="003C40B9" w:rsidRDefault="00AA545E">
      <w:pPr>
        <w:numPr>
          <w:ilvl w:val="0"/>
          <w:numId w:val="3"/>
        </w:numPr>
        <w:bidi/>
      </w:pPr>
      <w:r>
        <w:rPr>
          <w:rtl/>
        </w:rPr>
        <w:t xml:space="preserve">מה שהוא פטור ממיתה גם בשוגג משמע כצד </w:t>
      </w:r>
      <w:r>
        <w:t>2</w:t>
      </w:r>
      <w:r>
        <w:rPr>
          <w:rtl/>
        </w:rPr>
        <w:t xml:space="preserve">. גם יש לומר כצד </w:t>
      </w:r>
      <w:r>
        <w:t>1</w:t>
      </w:r>
      <w:r>
        <w:rPr>
          <w:rtl/>
        </w:rPr>
        <w:t xml:space="preserve"> (אלא שלא עבר כל כך), וכצד </w:t>
      </w:r>
      <w:r>
        <w:t>3</w:t>
      </w:r>
      <w:r>
        <w:rPr>
          <w:rtl/>
        </w:rPr>
        <w:t xml:space="preserve"> (ולומר שעשה קצת סיבות חיוב או לומר שעשה כולם, אלא שיש מניעה, במה שהוא לא קבל על עצמו מיתה).</w:t>
      </w:r>
    </w:p>
    <w:p w14:paraId="6879DB91" w14:textId="77777777" w:rsidR="003C40B9" w:rsidRDefault="00AA545E">
      <w:pPr>
        <w:numPr>
          <w:ilvl w:val="0"/>
          <w:numId w:val="3"/>
        </w:numPr>
        <w:bidi/>
      </w:pPr>
      <w:r>
        <w:rPr>
          <w:rtl/>
        </w:rPr>
        <w:t>בארנו שאפשר שלומדים מבנימין, אף שהיה בנימי</w:t>
      </w:r>
      <w:r>
        <w:rPr>
          <w:rtl/>
        </w:rPr>
        <w:t xml:space="preserve">ן מת בזמן יותר מוקדם. לכאו’, אז, אי אפשר לומר כצד </w:t>
      </w:r>
      <w:r>
        <w:t>4</w:t>
      </w:r>
      <w:r>
        <w:rPr>
          <w:rtl/>
        </w:rPr>
        <w:t xml:space="preserve">. ויש לדון, שאולי עדיין חיוב שלו היה שימות קודם חמישים, אלא שהוא מת מאד קודם. וע“ש למטה, שמה שכתבנו שם קצת שייך לזה. ותחשב. (באמת, לא כל כך פשוט לשאר, שאף בהם, יש לומר שצריך לעשות דבר רע מאד, שהרי מה שעשה </w:t>
      </w:r>
      <w:r>
        <w:rPr>
          <w:rtl/>
        </w:rPr>
        <w:t>בנימין (מה שחוש’ לו) היה יותר רע, שימות יותר מוקדם (וזה לא לכל הצדדים שק’ ראשונה הוא להם). ותחשב.</w:t>
      </w:r>
    </w:p>
    <w:p w14:paraId="25E93B6B" w14:textId="77777777" w:rsidR="003C40B9" w:rsidRDefault="00AA545E">
      <w:pPr>
        <w:numPr>
          <w:ilvl w:val="0"/>
          <w:numId w:val="3"/>
        </w:numPr>
        <w:bidi/>
      </w:pPr>
      <w:r>
        <w:rPr>
          <w:rtl/>
        </w:rPr>
        <w:t>לשון גמ’, ”… פטור,“ ולא ”… פוטר,“ משמע שאין המיתה פוטרת.</w:t>
      </w:r>
    </w:p>
    <w:p w14:paraId="7F99475E" w14:textId="77777777" w:rsidR="003C40B9" w:rsidRDefault="00AA545E">
      <w:pPr>
        <w:numPr>
          <w:ilvl w:val="0"/>
          <w:numId w:val="3"/>
        </w:numPr>
        <w:bidi/>
      </w:pPr>
      <w:r>
        <w:rPr>
          <w:rtl/>
        </w:rPr>
        <w:t>לשון גמ’, ”נתחיי’ בגני’… איסור חלב,“ משמע שתלוי באיסור.</w:t>
      </w:r>
    </w:p>
    <w:p w14:paraId="3653D6A3" w14:textId="77777777" w:rsidR="003C40B9" w:rsidRDefault="00AA545E">
      <w:pPr>
        <w:numPr>
          <w:ilvl w:val="0"/>
          <w:numId w:val="3"/>
        </w:numPr>
        <w:bidi/>
      </w:pPr>
      <w:r>
        <w:rPr>
          <w:rtl/>
        </w:rPr>
        <w:t xml:space="preserve">לקמן, תולה גמרא דין הוצאה בזמן הנחה. אולי זה </w:t>
      </w:r>
      <w:r>
        <w:rPr>
          <w:rtl/>
        </w:rPr>
        <w:t xml:space="preserve">מפני שמה ששייך הוא זמן חיוב. </w:t>
      </w:r>
    </w:p>
    <w:p w14:paraId="495DFDDC" w14:textId="77777777" w:rsidR="003C40B9" w:rsidRDefault="00AA545E">
      <w:pPr>
        <w:numPr>
          <w:ilvl w:val="0"/>
          <w:numId w:val="3"/>
        </w:numPr>
        <w:bidi/>
      </w:pPr>
      <w:r>
        <w:rPr>
          <w:rtl/>
        </w:rPr>
        <w:t>לשון גמ’, ”מתחייב…,“ ולא ”מחייב“ משמע שהוא חיוב מיתה שפוטר אותו. ותחשב.</w:t>
      </w:r>
    </w:p>
    <w:sectPr w:rsidR="003C40B9" w:rsidSect="00C27637">
      <w:headerReference w:type="default" r:id="rId7"/>
      <w:footerReference w:type="default" r:id="rId8"/>
      <w:pgSz w:w="8391" w:h="11906" w:code="11"/>
      <w:pgMar w:top="720" w:right="720" w:bottom="720" w:left="720" w:header="1134" w:footer="1134"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E6094" w14:textId="77777777" w:rsidR="00AA545E" w:rsidRDefault="00AA545E">
      <w:r>
        <w:separator/>
      </w:r>
    </w:p>
  </w:endnote>
  <w:endnote w:type="continuationSeparator" w:id="0">
    <w:p w14:paraId="31BAEC86" w14:textId="77777777" w:rsidR="00AA545E" w:rsidRDefault="00AA5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auto"/>
    <w:pitch w:val="default"/>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Rashi Hebrew Light">
    <w:panose1 w:val="00000000000000000000"/>
    <w:charset w:val="B1"/>
    <w:family w:val="auto"/>
    <w:pitch w:val="variable"/>
    <w:sig w:usb0="00000803" w:usb1="0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Liberation Sans">
    <w:altName w:val="Arial"/>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SBL Hebrew">
    <w:charset w:val="00"/>
    <w:family w:val="auto"/>
    <w:pitch w:val="variable"/>
    <w:sig w:usb0="8000086F" w:usb1="4000204A" w:usb2="00000000" w:usb3="00000000" w:csb0="00000021" w:csb1="00000000"/>
  </w:font>
  <w:font w:name="0">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E0621" w14:textId="77777777" w:rsidR="003C40B9" w:rsidRDefault="00AA545E">
    <w:pPr>
      <w:jc w:val="center"/>
    </w:pPr>
    <w:r>
      <w:rPr>
        <w:rFonts w:ascii="SBL Hebrew" w:hAnsi="SBL Hebrew"/>
        <w:rt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113CA" w14:textId="77777777" w:rsidR="00AA545E" w:rsidRDefault="00AA545E">
      <w:r>
        <w:separator/>
      </w:r>
    </w:p>
  </w:footnote>
  <w:footnote w:type="continuationSeparator" w:id="0">
    <w:p w14:paraId="675EE174" w14:textId="77777777" w:rsidR="00AA545E" w:rsidRDefault="00AA5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46EE1" w14:textId="77777777" w:rsidR="003C40B9" w:rsidRDefault="00AA545E">
    <w:pPr>
      <w:pStyle w:val="Header"/>
      <w:bidi/>
      <w:jc w:val="center"/>
    </w:pPr>
    <w:r>
      <w:rPr>
        <w:rtl/>
      </w:rPr>
      <w:t>מיתה פוטר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760FE"/>
    <w:multiLevelType w:val="multilevel"/>
    <w:tmpl w:val="74A44C7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56A248EC"/>
    <w:multiLevelType w:val="multilevel"/>
    <w:tmpl w:val="73F8519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7C0B08D7"/>
    <w:multiLevelType w:val="multilevel"/>
    <w:tmpl w:val="837EEF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C40B9"/>
    <w:rsid w:val="003C40B9"/>
    <w:rsid w:val="00AA545E"/>
    <w:rsid w:val="00C2763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7BA1"/>
  <w15:docId w15:val="{3B08FB1E-C7A9-4EFA-B564-9E79A013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qFormat/>
  </w:style>
  <w:style w:type="character" w:customStyle="1" w:styleId="NumberingSymbols">
    <w:name w:val="Numbering Symbols"/>
    <w:qFormat/>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
    <w:name w:val="סמלי מספור"/>
    <w:qFormat/>
  </w:style>
  <w:style w:type="character" w:styleId="Strong">
    <w:name w:val="Strong"/>
    <w:qFormat/>
    <w:rPr>
      <w:b/>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Heading9Char">
    <w:name w:val="Heading 9 Char"/>
    <w:qFormat/>
    <w:rPr>
      <w:rFonts w:ascii="Calibri Light" w:eastAsia="DengXian Light" w:hAnsi="Calibri Light" w:cs="Noto Rashi Hebrew Light"/>
      <w:bCs/>
      <w:i/>
      <w:color w:val="000000"/>
      <w:sz w:val="21"/>
      <w:szCs w:val="20"/>
    </w:rPr>
  </w:style>
  <w:style w:type="character" w:customStyle="1" w:styleId="Heading5Char">
    <w:name w:val="Heading 5 Char"/>
    <w:qFormat/>
    <w:rPr>
      <w:rFonts w:ascii="Calibri Light" w:eastAsia="SimSun" w:hAnsi="Calibri Light" w:cs="DengXian Light"/>
      <w:color w:val="2F5496"/>
      <w:sz w:val="24"/>
      <w:szCs w:val="24"/>
    </w:rPr>
  </w:style>
  <w:style w:type="character" w:customStyle="1" w:styleId="Heading4Char">
    <w:name w:val="Heading 4 Char"/>
    <w:qFormat/>
    <w:rPr>
      <w:rFonts w:ascii="Calibri Light" w:eastAsia="SimSun" w:hAnsi="Calibri Light" w:cs="DengXian Light"/>
      <w:i/>
      <w:iCs/>
      <w:color w:val="2F5496"/>
      <w:sz w:val="24"/>
      <w:szCs w:val="24"/>
    </w:rPr>
  </w:style>
  <w:style w:type="character" w:customStyle="1" w:styleId="Heading3Char">
    <w:name w:val="Heading 3 Char"/>
    <w:qFormat/>
    <w:rPr>
      <w:rFonts w:ascii="Calibri Light" w:eastAsia="SimSun" w:hAnsi="Calibri Light" w:cs="DengXian Light"/>
      <w:color w:val="1F3864"/>
      <w:szCs w:val="24"/>
    </w:rPr>
  </w:style>
  <w:style w:type="character" w:customStyle="1" w:styleId="Heading2Char">
    <w:name w:val="Heading 2 Char"/>
    <w:qFormat/>
    <w:rPr>
      <w:rFonts w:ascii="Calibri Light" w:eastAsia="SimSun" w:hAnsi="Calibri Light" w:cs="DengXian Light"/>
      <w:color w:val="2F5496"/>
      <w:sz w:val="26"/>
      <w:szCs w:val="26"/>
    </w:rPr>
  </w:style>
  <w:style w:type="character" w:customStyle="1" w:styleId="Heading1Char">
    <w:name w:val="Heading 1 Char"/>
    <w:qFormat/>
    <w:rPr>
      <w:rFonts w:ascii="Calibri Light" w:eastAsia="SimSun" w:hAnsi="Calibri Light" w:cs="DengXian Light"/>
      <w:color w:val="2F5496"/>
      <w:sz w:val="32"/>
      <w:szCs w:val="32"/>
    </w:rPr>
  </w:style>
  <w:style w:type="character" w:customStyle="1" w:styleId="Char">
    <w:name w:val="אגב Char"/>
    <w:qFormat/>
    <w:rPr>
      <w:rFonts w:ascii="Arial" w:eastAsia="Times New Roman" w:hAnsi="Arial" w:cs="Noto Rashi Hebrew Light"/>
      <w:color w:val="000000"/>
      <w:sz w:val="24"/>
      <w:szCs w:val="20"/>
    </w:rPr>
  </w:style>
  <w:style w:type="character" w:customStyle="1" w:styleId="FootnoteTextChar">
    <w:name w:val="Footnote Text Char"/>
    <w:qFormat/>
    <w:rPr>
      <w:rFonts w:eastAsia="Calibri" w:cs="Guttman Rashi"/>
      <w:color w:val="000000"/>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pacing w:before="120" w:after="120"/>
    </w:pPr>
    <w:rPr>
      <w:rFonts w:cs="Narkisim"/>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ascii="Times New Roman" w:eastAsia="SimSun" w:hAnsi="Times New Roman" w:cs="Times New Roman"/>
      <w:sz w:val="20"/>
      <w:szCs w:val="20"/>
      <w:lang w:val="en-GB"/>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lang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lang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line="240" w:lineRule="exact"/>
      <w:contextualSpacing/>
    </w:pPr>
  </w:style>
  <w:style w:type="paragraph" w:customStyle="1" w:styleId="a2">
    <w:name w:val="מפתחות"/>
    <w:basedOn w:val="Normal"/>
    <w:qFormat/>
    <w:rPr>
      <w:rFonts w:cs="Narkisim"/>
    </w:rPr>
  </w:style>
  <w:style w:type="paragraph" w:customStyle="1" w:styleId="a3">
    <w:name w:val="שורת כותרת"/>
    <w:basedOn w:val="Normal"/>
    <w:qFormat/>
    <w:pPr>
      <w:keepNext/>
      <w:spacing w:before="240" w:after="120"/>
    </w:pPr>
    <w:rPr>
      <w:rFonts w:ascii="Arial" w:eastAsia="Microsoft YaHei" w:hAnsi="Arial" w:cs="Narkisim"/>
      <w:sz w:val="28"/>
      <w:szCs w:val="28"/>
    </w:rPr>
  </w:style>
  <w:style w:type="paragraph" w:customStyle="1" w:styleId="a4">
    <w:name w:val="אגב"/>
    <w:basedOn w:val="Normal"/>
    <w:qFormat/>
    <w:rPr>
      <w:rFonts w:ascii="Arial" w:hAnsi="Arial" w:cs="Noto Rashi Hebrew Light"/>
      <w:szCs w:val="20"/>
    </w:rPr>
  </w:style>
  <w:style w:type="paragraph" w:styleId="NormalWeb">
    <w:name w:val="Normal (Web)"/>
    <w:qFormat/>
    <w:pPr>
      <w:widowControl w:val="0"/>
      <w:bidi/>
      <w:spacing w:before="280" w:after="280"/>
      <w:jc w:val="right"/>
    </w:pPr>
    <w:rPr>
      <w:rFonts w:ascii="SBL Hebrew" w:eastAsia="0" w:hAnsi="SBL Hebrew" w:cs="SBL Hebrew"/>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12</cp:revision>
  <dcterms:created xsi:type="dcterms:W3CDTF">2024-07-23T01:19:00Z</dcterms:created>
  <dcterms:modified xsi:type="dcterms:W3CDTF">2024-07-23T01:19:00Z</dcterms:modified>
  <dc:language>en-US</dc:language>
</cp:coreProperties>
</file>