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יש לדון למה אדם לא חייב ממון אם עושה</w:t>
      </w:r>
      <w:r>
        <w:rPr>
          <w:rtl w:val="true"/>
        </w:rPr>
        <w:t xml:space="preserve">, </w:t>
      </w:r>
      <w:r>
        <w:rPr>
          <w:rtl w:val="true"/>
        </w:rPr>
        <w:t>באותו שעה</w:t>
      </w:r>
      <w:r>
        <w:rPr>
          <w:rtl w:val="true"/>
        </w:rPr>
        <w:t xml:space="preserve">, </w:t>
      </w:r>
      <w:r>
        <w:rPr>
          <w:rtl w:val="true"/>
        </w:rPr>
        <w:t>דבר שמחייב לו מיתה</w:t>
      </w:r>
      <w:r>
        <w:rPr>
          <w:rtl w:val="true"/>
        </w:rPr>
        <w:t xml:space="preserve">. </w:t>
      </w:r>
      <w:r>
        <w:rPr>
          <w:rtl w:val="true"/>
        </w:rPr>
        <w:t>נראה שיכול להיות ארבע צדדים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מפני שעבר על ציווי ה’</w:t>
      </w:r>
      <w:r>
        <w:rPr>
          <w:rtl w:val="true"/>
        </w:rPr>
        <w:t xml:space="preserve">. </w:t>
      </w:r>
      <w:r>
        <w:rPr>
          <w:rtl w:val="true"/>
        </w:rPr>
        <w:t>צריך לומר שעבירה על ציווי ה’ שנתן מחמתו מיתה חלוק מעבירה על ציווי אחר של ה’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מפני שעשה ס“ר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מפני שעשה סיבת חיוב מיתה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מפני שיש עליו חיוב מיתה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יש להביא כמה ראיות</w:t>
      </w:r>
      <w:r>
        <w:rPr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 xml:space="preserve">מה שהוא פטור ממיתה גם בשוגג משמע כצד 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כצד </w:t>
      </w:r>
      <w:r>
        <w:rPr/>
        <w:t>1</w:t>
      </w:r>
      <w:r>
        <w:rPr>
          <w:rtl w:val="true"/>
        </w:rPr>
        <w:t xml:space="preserve"> (</w:t>
      </w:r>
      <w:r>
        <w:rPr>
          <w:rtl w:val="true"/>
        </w:rPr>
        <w:t>אלא שלא עבר כל כך</w:t>
      </w:r>
      <w:r>
        <w:rPr>
          <w:rtl w:val="true"/>
        </w:rPr>
        <w:t xml:space="preserve">), </w:t>
      </w:r>
      <w:r>
        <w:rPr>
          <w:rtl w:val="true"/>
        </w:rPr>
        <w:t xml:space="preserve">וכצד </w:t>
      </w:r>
      <w:r>
        <w:rPr/>
        <w:t>3</w:t>
      </w:r>
      <w:r>
        <w:rPr>
          <w:rtl w:val="true"/>
        </w:rPr>
        <w:t xml:space="preserve"> (</w:t>
      </w:r>
      <w:r>
        <w:rPr>
          <w:rtl w:val="true"/>
        </w:rPr>
        <w:t>ולומר שעשה קצת סיבות חיוב או לומר שעשה כולם</w:t>
      </w:r>
      <w:r>
        <w:rPr>
          <w:rtl w:val="true"/>
        </w:rPr>
        <w:t xml:space="preserve">, </w:t>
      </w:r>
      <w:r>
        <w:rPr>
          <w:rtl w:val="true"/>
        </w:rPr>
        <w:t>אלא שיש מניעה</w:t>
      </w:r>
      <w:r>
        <w:rPr>
          <w:rtl w:val="true"/>
        </w:rPr>
        <w:t xml:space="preserve">, </w:t>
      </w:r>
      <w:r>
        <w:rPr>
          <w:rtl w:val="true"/>
        </w:rPr>
        <w:t>במה שהוא לא קבל על עצמו מיתה</w:t>
      </w:r>
      <w:r>
        <w:rPr>
          <w:rtl w:val="true"/>
        </w:rPr>
        <w:t>).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בארנו שאפשר שלומדים מבנימין</w:t>
      </w:r>
      <w:r>
        <w:rPr>
          <w:rtl w:val="true"/>
        </w:rPr>
        <w:t xml:space="preserve">, </w:t>
      </w:r>
      <w:r>
        <w:rPr>
          <w:rtl w:val="true"/>
        </w:rPr>
        <w:t>אף שהיה בנימין מת בזמן יותר מוקדם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אי אפשר לומר כצד </w:t>
      </w:r>
      <w:r>
        <w:rPr/>
        <w:t>4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עדיין חיוב שלו היה שימות קודם חמישים</w:t>
      </w:r>
      <w:r>
        <w:rPr>
          <w:rtl w:val="true"/>
        </w:rPr>
        <w:t xml:space="preserve">, </w:t>
      </w:r>
      <w:r>
        <w:rPr>
          <w:rtl w:val="true"/>
        </w:rPr>
        <w:t>אלא שהוא מת מאד קודם</w:t>
      </w:r>
      <w:r>
        <w:rPr>
          <w:rtl w:val="true"/>
        </w:rPr>
        <w:t xml:space="preserve">. </w:t>
      </w:r>
      <w:r>
        <w:rPr>
          <w:rtl w:val="true"/>
        </w:rPr>
        <w:t>וע“ש למטה</w:t>
      </w:r>
      <w:r>
        <w:rPr>
          <w:rtl w:val="true"/>
        </w:rPr>
        <w:t xml:space="preserve">, </w:t>
      </w:r>
      <w:r>
        <w:rPr>
          <w:rtl w:val="true"/>
        </w:rPr>
        <w:t>שמה שכתבנו שם קצת שייך לזה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לא כל כך פשוט לשאר</w:t>
      </w:r>
      <w:r>
        <w:rPr>
          <w:rtl w:val="true"/>
        </w:rPr>
        <w:t xml:space="preserve">, </w:t>
      </w:r>
      <w:r>
        <w:rPr>
          <w:rtl w:val="true"/>
        </w:rPr>
        <w:t>שאף בהם</w:t>
      </w:r>
      <w:r>
        <w:rPr>
          <w:rtl w:val="true"/>
        </w:rPr>
        <w:t xml:space="preserve">, </w:t>
      </w:r>
      <w:r>
        <w:rPr>
          <w:rtl w:val="true"/>
        </w:rPr>
        <w:t>יש לומר שצריך לעשות דבר רע מאד</w:t>
      </w:r>
      <w:r>
        <w:rPr>
          <w:rtl w:val="true"/>
        </w:rPr>
        <w:t xml:space="preserve">, </w:t>
      </w:r>
      <w:r>
        <w:rPr>
          <w:rtl w:val="true"/>
        </w:rPr>
        <w:t xml:space="preserve">שהרי מה שעשה בנימין </w:t>
      </w:r>
      <w:r>
        <w:rPr>
          <w:rtl w:val="true"/>
        </w:rPr>
        <w:t>(</w:t>
      </w:r>
      <w:r>
        <w:rPr>
          <w:rtl w:val="true"/>
        </w:rPr>
        <w:t>מה שחוש’ לו</w:t>
      </w:r>
      <w:r>
        <w:rPr>
          <w:rtl w:val="true"/>
        </w:rPr>
        <w:t xml:space="preserve">) </w:t>
      </w:r>
      <w:r>
        <w:rPr>
          <w:rtl w:val="true"/>
        </w:rPr>
        <w:t>היה יותר רע</w:t>
      </w:r>
      <w:r>
        <w:rPr>
          <w:rtl w:val="true"/>
        </w:rPr>
        <w:t xml:space="preserve">, </w:t>
      </w:r>
      <w:r>
        <w:rPr>
          <w:rtl w:val="true"/>
        </w:rPr>
        <w:t xml:space="preserve">שימות יותר מוקדם </w:t>
      </w:r>
      <w:r>
        <w:rPr>
          <w:rtl w:val="true"/>
        </w:rPr>
        <w:t>(</w:t>
      </w:r>
      <w:r>
        <w:rPr>
          <w:rtl w:val="true"/>
        </w:rPr>
        <w:t>וזה לא לכל הצדדים שק’ ראשונה הוא להם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לשון גמ’</w:t>
      </w:r>
      <w:r>
        <w:rPr>
          <w:rtl w:val="true"/>
        </w:rPr>
        <w:t xml:space="preserve">, ”… </w:t>
      </w:r>
      <w:r>
        <w:rPr>
          <w:rtl w:val="true"/>
        </w:rPr>
        <w:t>פטור</w:t>
      </w:r>
      <w:r>
        <w:rPr>
          <w:rtl w:val="true"/>
        </w:rPr>
        <w:t xml:space="preserve">,“ </w:t>
      </w:r>
      <w:r>
        <w:rPr>
          <w:rtl w:val="true"/>
        </w:rPr>
        <w:t>ולא ”… פוטר</w:t>
      </w:r>
      <w:r>
        <w:rPr>
          <w:rtl w:val="true"/>
        </w:rPr>
        <w:t xml:space="preserve">,“ </w:t>
      </w:r>
      <w:r>
        <w:rPr>
          <w:rtl w:val="true"/>
        </w:rPr>
        <w:t>משמע שאין המיתה פוטרת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לשון גמ’</w:t>
      </w:r>
      <w:r>
        <w:rPr>
          <w:rtl w:val="true"/>
        </w:rPr>
        <w:t>, ”</w:t>
      </w:r>
      <w:r>
        <w:rPr>
          <w:rtl w:val="true"/>
        </w:rPr>
        <w:t>נתחיי’ בגני’… איסור חלב</w:t>
      </w:r>
      <w:r>
        <w:rPr>
          <w:rtl w:val="true"/>
        </w:rPr>
        <w:t xml:space="preserve">,“ </w:t>
      </w:r>
      <w:r>
        <w:rPr>
          <w:rtl w:val="true"/>
        </w:rPr>
        <w:t>משמע שתלוי באיסור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תולה גמרא דין הוצאה בזמן הנחה</w:t>
      </w:r>
      <w:r>
        <w:rPr>
          <w:rtl w:val="true"/>
        </w:rPr>
        <w:t xml:space="preserve">. </w:t>
      </w:r>
      <w:r>
        <w:rPr>
          <w:rtl w:val="true"/>
        </w:rPr>
        <w:t>אולי זה מפני שמה ששייך הוא זמן חיוב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לשון גמ’</w:t>
      </w:r>
      <w:r>
        <w:rPr>
          <w:rtl w:val="true"/>
        </w:rPr>
        <w:t>, ”</w:t>
      </w:r>
      <w:r>
        <w:rPr>
          <w:rtl w:val="true"/>
        </w:rPr>
        <w:t>מתחייב…</w:t>
      </w:r>
      <w:r>
        <w:rPr>
          <w:rtl w:val="true"/>
        </w:rPr>
        <w:t xml:space="preserve">,“ </w:t>
      </w:r>
      <w:r>
        <w:rPr>
          <w:rtl w:val="true"/>
        </w:rPr>
        <w:t>ולא ”מחייב“ משמע שהוא חיוב מיתה שפוטר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sectPr>
      <w:headerReference w:type="default" r:id="rId2"/>
      <w:footerReference w:type="default" r:id="rId3"/>
      <w:type w:val="nextPage"/>
      <w:pgSz w:w="12240" w:h="15840"/>
      <w:pgMar w:left="1134" w:right="1134" w:gutter="0" w:header="1134" w:top="1679" w:footer="1134" w:bottom="167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auto"/>
    <w:pitch w:val="default"/>
  </w:font>
  <w:font w:name="Times New Roman">
    <w:charset w:val="01"/>
    <w:family w:val="auto"/>
    <w:pitch w:val="default"/>
  </w:font>
  <w:font w:name="Calibri">
    <w:charset w:val="01"/>
    <w:family w:val="auto"/>
    <w:pitch w:val="default"/>
  </w:font>
  <w:font w:name="Courier New">
    <w:charset w:val="01"/>
    <w:family w:val="auto"/>
    <w:pitch w:val="default"/>
  </w:font>
  <w:font w:name="Calibri Light">
    <w:charset w:val="01"/>
    <w:family w:val="auto"/>
    <w:pitch w:val="default"/>
  </w:font>
  <w:font w:name="Arial"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SBL Hebrew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ascii="SBL Hebrew" w:hAnsi="SBL Hebrew"/>
        <w:rtl w:val="true"/>
        <w:lang w:bidi="he-IL"/>
      </w:rPr>
      <w:t>חרב אל הבדים</w:t>
    </w:r>
    <w:r>
      <w:rPr>
        <w:rFonts w:ascii="SBL Hebrew" w:hAnsi="SBL Hebrew"/>
        <w:rtl w:val="true"/>
        <w:lang w:bidi="he-IL"/>
      </w:rPr>
      <w:t xml:space="preserve">- </w:t>
    </w:r>
    <w:r>
      <w:rPr>
        <w:rFonts w:ascii="SBL Hebrew" w:hAnsi="SBL Hebrew"/>
        <w:rtl w:val="true"/>
        <w:lang w:bidi="he-IL"/>
      </w:rPr>
      <w:t>אלו נערות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/>
    </w:pPr>
    <w:r>
      <w:rPr>
        <w:rtl w:val="true"/>
      </w:rPr>
      <w:t>מיתה פוטר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character" w:styleId="FooterChar">
    <w:name w:val="Footer Char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BodyTextChar">
    <w:name w:val="Body Text Char"/>
    <w:qFormat/>
    <w:rPr>
      <w:rFonts w:ascii="Calibri" w:hAnsi="Calibri" w:eastAsia="Calibri" w:cs="Times New Roman"/>
      <w:color w:val="000000"/>
      <w:sz w:val="22"/>
    </w:rPr>
  </w:style>
  <w:style w:type="character" w:styleId="Comment">
    <w:name w:val="Comment"/>
    <w:qFormat/>
    <w:rPr>
      <w:vanish/>
    </w:rPr>
  </w:style>
  <w:style w:type="character" w:styleId="HTMLMarkup">
    <w:name w:val="HTML Markup"/>
    <w:qFormat/>
    <w:rPr>
      <w:vanish/>
      <w:color w:val="FF0000"/>
    </w:rPr>
  </w:style>
  <w:style w:type="character" w:styleId="Typewriter">
    <w:name w:val="Typewriter"/>
    <w:qFormat/>
    <w:rPr>
      <w:rFonts w:ascii="Courier New" w:hAnsi="Courier New"/>
      <w:sz w:val="20"/>
    </w:rPr>
  </w:style>
  <w:style w:type="character" w:styleId="Sample">
    <w:name w:val="Sample"/>
    <w:qFormat/>
    <w:rPr>
      <w:rFonts w:ascii="Courier New" w:hAnsi="Courier New"/>
    </w:rPr>
  </w:style>
  <w:style w:type="character" w:styleId="Keyboard">
    <w:name w:val="Keyboard"/>
    <w:qFormat/>
    <w:rPr>
      <w:rFonts w:ascii="Courier New" w:hAnsi="Courier New"/>
      <w:b/>
      <w:sz w:val="20"/>
    </w:rPr>
  </w:style>
  <w:style w:type="character" w:styleId="CODE">
    <w:name w:val="CODE"/>
    <w:qFormat/>
    <w:rPr>
      <w:rFonts w:ascii="Courier New" w:hAnsi="Courier New"/>
      <w:sz w:val="20"/>
    </w:rPr>
  </w:style>
  <w:style w:type="character" w:styleId="CITE">
    <w:name w:val="CITE"/>
    <w:qFormat/>
    <w:rPr>
      <w:i/>
    </w:rPr>
  </w:style>
  <w:style w:type="character" w:styleId="Style14">
    <w:name w:val="סמלי מספור"/>
    <w:qFormat/>
    <w:rPr/>
  </w:style>
  <w:style w:type="character" w:styleId="Strong">
    <w:name w:val="Strong"/>
    <w:qFormat/>
    <w:rPr>
      <w:b/>
    </w:rPr>
  </w:style>
  <w:style w:type="character" w:styleId="Style15">
    <w:name w:val="תווי הערת שוליים"/>
    <w:qFormat/>
    <w:rPr>
      <w:vertAlign w:val="superscript"/>
    </w:rPr>
  </w:style>
  <w:style w:type="character" w:styleId="Style16">
    <w:name w:val="תווי הערת סיום"/>
    <w:qFormat/>
    <w:rPr>
      <w:vertAlign w:val="superscript"/>
    </w:rPr>
  </w:style>
  <w:style w:type="character" w:styleId="Heading9Char">
    <w:name w:val="Heading 9 Char"/>
    <w:qFormat/>
    <w:rPr>
      <w:rFonts w:ascii="Calibri Light" w:hAnsi="Calibri Light" w:eastAsia="等线 Light" w:cs="Noto Rashi Hebrew Light"/>
      <w:bCs/>
      <w:i/>
      <w:color w:val="000000"/>
      <w:sz w:val="21"/>
      <w:szCs w:val="20"/>
    </w:rPr>
  </w:style>
  <w:style w:type="character" w:styleId="Heading5Char">
    <w:name w:val="Heading 5 Char"/>
    <w:qFormat/>
    <w:rPr>
      <w:rFonts w:ascii="Calibri Light" w:hAnsi="Calibri Light" w:eastAsia="SimSun" w:cs="DengXian Light"/>
      <w:color w:val="2F5496"/>
      <w:sz w:val="24"/>
      <w:szCs w:val="24"/>
    </w:rPr>
  </w:style>
  <w:style w:type="character" w:styleId="Heading4Char">
    <w:name w:val="Heading 4 Char"/>
    <w:qFormat/>
    <w:rPr>
      <w:rFonts w:ascii="Calibri Light" w:hAnsi="Calibri Light" w:eastAsia="SimSun" w:cs="DengXian Light"/>
      <w:i/>
      <w:iCs/>
      <w:color w:val="2F5496"/>
      <w:sz w:val="24"/>
      <w:szCs w:val="24"/>
    </w:rPr>
  </w:style>
  <w:style w:type="character" w:styleId="Heading3Char">
    <w:name w:val="Heading 3 Char"/>
    <w:qFormat/>
    <w:rPr>
      <w:rFonts w:ascii="Calibri Light" w:hAnsi="Calibri Light" w:eastAsia="SimSun" w:cs="DengXian Light"/>
      <w:color w:val="1F3864"/>
      <w:szCs w:val="24"/>
    </w:rPr>
  </w:style>
  <w:style w:type="character" w:styleId="Heading2Char">
    <w:name w:val="Heading 2 Char"/>
    <w:qFormat/>
    <w:rPr>
      <w:rFonts w:ascii="Calibri Light" w:hAnsi="Calibri Light" w:eastAsia="SimSun" w:cs="DengXian Light"/>
      <w:color w:val="2F5496"/>
      <w:sz w:val="26"/>
      <w:szCs w:val="26"/>
    </w:rPr>
  </w:style>
  <w:style w:type="character" w:styleId="Heading1Char">
    <w:name w:val="Heading 1 Char"/>
    <w:qFormat/>
    <w:rPr>
      <w:rFonts w:ascii="Calibri Light" w:hAnsi="Calibri Light" w:eastAsia="SimSun" w:cs="DengXian Light"/>
      <w:color w:val="2F5496"/>
      <w:sz w:val="32"/>
      <w:szCs w:val="32"/>
    </w:rPr>
  </w:style>
  <w:style w:type="character" w:styleId="Char">
    <w:name w:val="אגב Char"/>
    <w:qFormat/>
    <w:rPr>
      <w:rFonts w:ascii="Arial" w:hAnsi="Arial" w:eastAsia="Times New Roman" w:cs="Noto Rashi Hebrew Light"/>
      <w:color w:val="000000"/>
      <w:sz w:val="24"/>
      <w:szCs w:val="20"/>
    </w:rPr>
  </w:style>
  <w:style w:type="character" w:styleId="FootnoteTextChar">
    <w:name w:val="Footnote Text Char"/>
    <w:qFormat/>
    <w:rPr>
      <w:rFonts w:eastAsia="Calibri" w:cs="Guttman Rashi"/>
      <w:color w:val="000000"/>
      <w:sz w:val="24"/>
      <w:szCs w:val="24"/>
    </w:rPr>
  </w:style>
  <w:style w:type="character" w:styleId="Linenumber">
    <w:name w:val="line number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NormalTable">
    <w:name w:val="Normal Table"/>
    <w:qFormat/>
    <w:pPr>
      <w:widowControl/>
      <w:suppressAutoHyphens w:val="true"/>
      <w:bidi w:val="0"/>
      <w:spacing w:before="0" w:after="0"/>
      <w:jc w:val="left"/>
      <w:textAlignment w:val="auto"/>
    </w:pPr>
    <w:rPr>
      <w:rFonts w:ascii="Times New Roman" w:hAnsi="Times New Roman" w:eastAsia="SimSun" w:cs="Times New Roman"/>
      <w:color w:val="auto"/>
      <w:kern w:val="2"/>
      <w:sz w:val="20"/>
      <w:szCs w:val="20"/>
      <w:lang w:val="en-GB" w:eastAsia="zh-CN" w:bidi="he-IL"/>
    </w:rPr>
  </w:style>
  <w:style w:type="paragraph" w:styleId="Z-TopofForm1">
    <w:name w:val="z-Top of Form1"/>
    <w:next w:val="Normal"/>
    <w:qFormat/>
    <w:pPr>
      <w:widowControl/>
      <w:pBdr>
        <w:bottom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  <w:style w:type="paragraph" w:styleId="Z-BottomofForm1">
    <w:name w:val="z-Bottom of Form1"/>
    <w:next w:val="Normal"/>
    <w:qFormat/>
    <w:pPr>
      <w:widowControl/>
      <w:pBdr>
        <w:top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  <w:style w:type="paragraph" w:styleId="Preformatted">
    <w:name w:val="Preformatted"/>
    <w:basedOn w:val="Normal"/>
    <w:qFormat/>
    <w:pPr>
      <w:tabs>
        <w:tab w:val="clear" w:pos="709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Blockquote">
    <w:name w:val="Blockquote"/>
    <w:basedOn w:val="Normal"/>
    <w:qFormat/>
    <w:pPr>
      <w:spacing w:before="100" w:after="100"/>
      <w:ind w:left="360" w:right="360" w:hanging="0"/>
    </w:pPr>
    <w:rPr/>
  </w:style>
  <w:style w:type="paragraph" w:styleId="Address">
    <w:name w:val="Address"/>
    <w:basedOn w:val="Normal"/>
    <w:next w:val="Normal"/>
    <w:qFormat/>
    <w:pPr/>
    <w:rPr>
      <w:i/>
    </w:rPr>
  </w:style>
  <w:style w:type="paragraph" w:styleId="H6">
    <w:name w:val="H6"/>
    <w:basedOn w:val="Normal"/>
    <w:next w:val="Normal"/>
    <w:qFormat/>
    <w:pPr>
      <w:keepNext w:val="true"/>
      <w:spacing w:before="100" w:after="100"/>
    </w:pPr>
    <w:rPr>
      <w:b/>
      <w:sz w:val="16"/>
    </w:rPr>
  </w:style>
  <w:style w:type="paragraph" w:styleId="H5">
    <w:name w:val="H5"/>
    <w:basedOn w:val="Normal"/>
    <w:next w:val="Normal"/>
    <w:qFormat/>
    <w:pPr>
      <w:keepNext w:val="true"/>
      <w:spacing w:before="100" w:after="100"/>
    </w:pPr>
    <w:rPr>
      <w:b/>
      <w:sz w:val="20"/>
    </w:rPr>
  </w:style>
  <w:style w:type="paragraph" w:styleId="H4">
    <w:name w:val="H4"/>
    <w:basedOn w:val="Normal"/>
    <w:next w:val="Normal"/>
    <w:qFormat/>
    <w:pPr>
      <w:keepNext w:val="true"/>
      <w:spacing w:before="100" w:after="100"/>
    </w:pPr>
    <w:rPr>
      <w:b/>
    </w:rPr>
  </w:style>
  <w:style w:type="paragraph" w:styleId="H3">
    <w:name w:val="H3"/>
    <w:basedOn w:val="Normal"/>
    <w:next w:val="Normal"/>
    <w:qFormat/>
    <w:pPr>
      <w:keepNext w:val="true"/>
      <w:spacing w:before="100" w:after="100"/>
    </w:pPr>
    <w:rPr>
      <w:b/>
      <w:sz w:val="28"/>
    </w:rPr>
  </w:style>
  <w:style w:type="paragraph" w:styleId="H2">
    <w:name w:val="H2"/>
    <w:basedOn w:val="Normal"/>
    <w:next w:val="Normal"/>
    <w:qFormat/>
    <w:pPr>
      <w:keepNext w:val="true"/>
      <w:spacing w:before="100" w:after="100"/>
    </w:pPr>
    <w:rPr>
      <w:b/>
      <w:sz w:val="36"/>
    </w:rPr>
  </w:style>
  <w:style w:type="paragraph" w:styleId="H1">
    <w:name w:val="H1"/>
    <w:basedOn w:val="Normal"/>
    <w:next w:val="Normal"/>
    <w:qFormat/>
    <w:pPr>
      <w:keepNext w:val="true"/>
      <w:spacing w:before="100" w:after="100"/>
    </w:pPr>
    <w:rPr>
      <w:b/>
      <w:sz w:val="48"/>
    </w:rPr>
  </w:style>
  <w:style w:type="paragraph" w:styleId="DefinitionList">
    <w:name w:val="Definition List"/>
    <w:basedOn w:val="Normal"/>
    <w:qFormat/>
    <w:pPr>
      <w:ind w:left="360" w:hanging="0"/>
    </w:pPr>
    <w:rPr/>
  </w:style>
  <w:style w:type="paragraph" w:styleId="DefinitionTerm">
    <w:name w:val="Definition Term"/>
    <w:basedOn w:val="Normal"/>
    <w:qFormat/>
    <w:pPr/>
    <w:rPr/>
  </w:style>
  <w:style w:type="paragraph" w:styleId="Style21">
    <w:name w:val="Style2"/>
    <w:qFormat/>
    <w:pPr>
      <w:widowControl/>
      <w:bidi w:val="0"/>
      <w:spacing w:lineRule="exact" w:line="240" w:before="0" w:after="0"/>
      <w:contextualSpacing/>
      <w:jc w:val="left"/>
    </w:pPr>
    <w:rPr>
      <w:rFonts w:cs="BenOr Rashi" w:ascii="Liberation Serif" w:hAnsi="Liberation Serif" w:eastAsia="NSimSun"/>
      <w:color w:val="auto"/>
      <w:kern w:val="2"/>
      <w:sz w:val="24"/>
      <w:szCs w:val="24"/>
      <w:lang w:val="en-US" w:eastAsia="zh-CN" w:bidi="he-IL"/>
    </w:rPr>
  </w:style>
  <w:style w:type="paragraph" w:styleId="Style17">
    <w:name w:val="Style1"/>
    <w:basedOn w:val="Normal"/>
    <w:qFormat/>
    <w:pPr>
      <w:spacing w:lineRule="exact" w:line="240" w:before="0" w:after="0"/>
      <w:contextualSpacing/>
    </w:pPr>
    <w:rPr>
      <w:rFonts w:cs="Shofar"/>
    </w:rPr>
  </w:style>
  <w:style w:type="paragraph" w:styleId="Style18">
    <w:name w:val="מפתחות"/>
    <w:basedOn w:val="Normal"/>
    <w:qFormat/>
    <w:pPr/>
    <w:rPr>
      <w:rFonts w:cs="Narkisim"/>
    </w:rPr>
  </w:style>
  <w:style w:type="paragraph" w:styleId="Style19">
    <w:name w:val="שורת כותרת"/>
    <w:basedOn w:val="Normal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Style20">
    <w:name w:val="אגב"/>
    <w:basedOn w:val="Normal"/>
    <w:qFormat/>
    <w:pPr/>
    <w:rPr>
      <w:rFonts w:ascii="Arial" w:hAnsi="Arial" w:cs="Noto Rashi Hebrew Light"/>
      <w:szCs w:val="20"/>
    </w:rPr>
  </w:style>
  <w:style w:type="paragraph" w:styleId="NormalWeb">
    <w:name w:val="Normal (Web)"/>
    <w:qFormat/>
    <w:pPr>
      <w:widowControl w:val="false"/>
      <w:suppressAutoHyphens w:val="true"/>
      <w:bidi w:val="1"/>
      <w:spacing w:before="280" w:after="280"/>
      <w:jc w:val="right"/>
    </w:pPr>
    <w:rPr>
      <w:rFonts w:ascii="SBL Hebrew" w:hAnsi="SBL Hebrew" w:eastAsia="0" w:cs="SBL Hebrew"/>
      <w:color w:val="auto"/>
      <w:kern w:val="2"/>
      <w:sz w:val="24"/>
      <w:szCs w:val="24"/>
      <w:lang w:val="en-US" w:eastAsia="zh-CN" w:bidi="ar-SA"/>
    </w:rPr>
  </w:style>
  <w:style w:type="paragraph" w:styleId="Caption1">
    <w:name w:val="caption"/>
    <w:basedOn w:val="Normal"/>
    <w:next w:val="Normal"/>
    <w:qFormat/>
    <w:pPr>
      <w:spacing w:before="120" w:after="120"/>
    </w:pPr>
    <w:rPr>
      <w:rFonts w:cs="Narkisim"/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LibreOffice/7.5.3.2$Windows_X86_64 LibreOffice_project/9f56dff12ba03b9acd7730a5a481eea045e468f3</Application>
  <AppVersion>15.0000</AppVersion>
  <Pages>1</Pages>
  <Words>243</Words>
  <Characters>947</Characters>
  <CharactersWithSpaces>1166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שאול יואל הכהן חייט</dc:creator>
  <dc:description/>
  <dc:language>en-US</dc:language>
  <cp:lastModifiedBy/>
  <dcterms:modified xsi:type="dcterms:W3CDTF">2024-07-22T20:46:42Z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