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שלש מיני מיתה</w:t>
      </w:r>
      <w:r>
        <w:rPr>
          <w:sz w:val="22"/>
          <w:szCs w:val="22"/>
          <w:rtl w:val="true"/>
        </w:rPr>
        <w:t>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</w:r>
      <w:r>
        <w:rPr>
          <w:sz w:val="22"/>
          <w:sz w:val="22"/>
          <w:szCs w:val="22"/>
          <w:rtl w:val="true"/>
        </w:rPr>
        <w:t>מיתה בידי אדם</w:t>
      </w:r>
      <w:r>
        <w:rPr>
          <w:sz w:val="22"/>
          <w:szCs w:val="22"/>
          <w:rtl w:val="true"/>
        </w:rPr>
        <w:t>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  <w:tab/>
      </w:r>
      <w:r>
        <w:rPr>
          <w:sz w:val="22"/>
          <w:sz w:val="22"/>
          <w:szCs w:val="22"/>
          <w:rtl w:val="true"/>
        </w:rPr>
        <w:t>מהו</w:t>
      </w:r>
      <w:r>
        <w:rPr>
          <w:sz w:val="22"/>
          <w:szCs w:val="22"/>
          <w:rtl w:val="true"/>
        </w:rPr>
        <w:t>:</w:t>
      </w:r>
    </w:p>
    <w:p>
      <w:pPr>
        <w:pStyle w:val="Normal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יש ארבע מינים</w:t>
      </w:r>
      <w:r>
        <w:rPr>
          <w:sz w:val="22"/>
          <w:szCs w:val="22"/>
          <w:rtl w:val="true"/>
        </w:rPr>
        <w:t xml:space="preserve">- </w:t>
      </w:r>
      <w:r>
        <w:rPr>
          <w:sz w:val="22"/>
          <w:sz w:val="22"/>
          <w:szCs w:val="22"/>
          <w:rtl w:val="true"/>
        </w:rPr>
        <w:t>סקילה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שריפה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הרג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וחנק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בכולם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 xml:space="preserve">שלוחי בית דין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 xml:space="preserve">גואל הדם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>אם יש</w:t>
      </w:r>
      <w:r>
        <w:rPr>
          <w:sz w:val="22"/>
          <w:szCs w:val="22"/>
          <w:rtl w:val="true"/>
        </w:rPr>
        <w:t xml:space="preserve">), </w:t>
      </w:r>
      <w:r>
        <w:rPr>
          <w:sz w:val="22"/>
          <w:sz w:val="22"/>
          <w:szCs w:val="22"/>
          <w:rtl w:val="true"/>
        </w:rPr>
        <w:t>או עדים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או שליח אחר</w:t>
      </w:r>
      <w:r>
        <w:rPr>
          <w:sz w:val="22"/>
          <w:szCs w:val="22"/>
          <w:rtl w:val="true"/>
        </w:rPr>
        <w:t xml:space="preserve">) </w:t>
      </w:r>
      <w:r>
        <w:rPr>
          <w:sz w:val="22"/>
          <w:sz w:val="22"/>
          <w:szCs w:val="22"/>
          <w:rtl w:val="true"/>
        </w:rPr>
        <w:t>הורגים מיד אחר גמר הדין את מי שחייב מיתה</w:t>
      </w:r>
      <w:r>
        <w:rPr>
          <w:sz w:val="22"/>
          <w:szCs w:val="22"/>
          <w:rtl w:val="true"/>
        </w:rPr>
        <w:t>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  <w:tab/>
      </w:r>
      <w:r>
        <w:rPr>
          <w:sz w:val="22"/>
          <w:sz w:val="22"/>
          <w:szCs w:val="22"/>
          <w:rtl w:val="true"/>
        </w:rPr>
        <w:t>מה צריך כדי לחייב</w:t>
      </w:r>
      <w:r>
        <w:rPr>
          <w:sz w:val="22"/>
          <w:szCs w:val="22"/>
          <w:rtl w:val="true"/>
        </w:rPr>
        <w:t>:</w:t>
      </w:r>
    </w:p>
    <w:p>
      <w:pPr>
        <w:pStyle w:val="Normal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צריך שבית דין יפסקו שהוא חייב מיתה</w:t>
      </w:r>
      <w:r>
        <w:rPr>
          <w:sz w:val="22"/>
          <w:szCs w:val="22"/>
          <w:rtl w:val="true"/>
        </w:rPr>
        <w:t>. (</w:t>
      </w:r>
      <w:r>
        <w:rPr>
          <w:sz w:val="22"/>
          <w:sz w:val="22"/>
          <w:szCs w:val="22"/>
          <w:rtl w:val="true"/>
        </w:rPr>
        <w:t>פסק בית דין הולך אחר הרב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עם שני יוצאים מן הכלל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היוצא הראשון הוא כשכל הבית דין מחייבים אותו מאותו טעם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שאז הוא פטור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היוצא השני הוא אם המחייבים הם מרובים על הפוטרים רק באחד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שאז הוא פטור</w:t>
      </w:r>
      <w:r>
        <w:rPr>
          <w:sz w:val="22"/>
          <w:szCs w:val="22"/>
          <w:rtl w:val="true"/>
        </w:rPr>
        <w:t xml:space="preserve">.) </w:t>
      </w:r>
      <w:r>
        <w:rPr>
          <w:sz w:val="22"/>
          <w:sz w:val="22"/>
          <w:szCs w:val="22"/>
          <w:rtl w:val="true"/>
        </w:rPr>
        <w:t>כדי שבית דין יפסקו שהוא חייב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צריך להיות שני עדים כשרים שעבר עבירה שמחייב כן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 xml:space="preserve">ושהתרו לו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>באופן שזכר בשעת עבירה</w:t>
      </w:r>
      <w:r>
        <w:rPr>
          <w:rStyle w:val="FootnoteAnchor"/>
          <w:sz w:val="22"/>
          <w:sz w:val="22"/>
          <w:szCs w:val="22"/>
          <w:rtl w:val="true"/>
        </w:rPr>
        <w:footnoteReference w:id="2"/>
      </w:r>
      <w:r>
        <w:rPr>
          <w:sz w:val="22"/>
          <w:szCs w:val="22"/>
          <w:rtl w:val="true"/>
        </w:rPr>
        <w:t xml:space="preserve">) </w:t>
      </w:r>
      <w:r>
        <w:rPr>
          <w:sz w:val="22"/>
          <w:sz w:val="22"/>
          <w:szCs w:val="22"/>
          <w:rtl w:val="true"/>
        </w:rPr>
        <w:t>וקבל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 xml:space="preserve">ושהודיעו לו העונש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>מסתמא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אף זה צריך להיות באופן שזכר בשעת עבירה</w:t>
      </w:r>
      <w:r>
        <w:rPr>
          <w:rStyle w:val="FootnoteAnchor"/>
          <w:sz w:val="22"/>
          <w:sz w:val="22"/>
          <w:szCs w:val="22"/>
          <w:rtl w:val="true"/>
        </w:rPr>
        <w:footnoteReference w:id="3"/>
      </w:r>
      <w:r>
        <w:rPr>
          <w:sz w:val="22"/>
          <w:szCs w:val="22"/>
          <w:rtl w:val="true"/>
        </w:rPr>
        <w:t xml:space="preserve">) </w:t>
      </w:r>
      <w:r>
        <w:rPr>
          <w:sz w:val="22"/>
          <w:sz w:val="22"/>
          <w:szCs w:val="22"/>
          <w:rtl w:val="true"/>
        </w:rPr>
        <w:t>וקבל</w:t>
      </w:r>
      <w:r>
        <w:rPr>
          <w:sz w:val="22"/>
          <w:szCs w:val="22"/>
          <w:rtl w:val="true"/>
        </w:rPr>
        <w:t>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  <w:tab/>
      </w:r>
      <w:r>
        <w:rPr>
          <w:sz w:val="22"/>
          <w:sz w:val="22"/>
          <w:szCs w:val="22"/>
          <w:rtl w:val="true"/>
        </w:rPr>
        <w:t>מה פוטר אותו</w:t>
      </w:r>
      <w:r>
        <w:rPr>
          <w:sz w:val="22"/>
          <w:szCs w:val="22"/>
          <w:rtl w:val="true"/>
        </w:rPr>
        <w:t>:</w:t>
      </w:r>
    </w:p>
    <w:p>
      <w:pPr>
        <w:pStyle w:val="Normal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חזרת בית דין פוטר אותו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אין ד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א פוטר אותו</w:t>
      </w:r>
      <w:r>
        <w:rPr>
          <w:sz w:val="22"/>
          <w:szCs w:val="22"/>
          <w:rtl w:val="true"/>
        </w:rPr>
        <w:t>.</w:t>
      </w:r>
    </w:p>
    <w:p>
      <w:pPr>
        <w:pStyle w:val="Normal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יש מין אחר של זה שנקרא מיתה בידי שמים של מיתה בידי אדם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הוא במקום שהיה ראוי לו לבית דין לחייב אותו מיתה בידי אדם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אלא שלא יכולים</w:t>
      </w:r>
      <w:r>
        <w:rPr>
          <w:sz w:val="22"/>
          <w:szCs w:val="22"/>
          <w:rtl w:val="true"/>
        </w:rPr>
        <w:t>.</w:t>
      </w:r>
      <w:r>
        <w:rPr>
          <w:rStyle w:val="FootnoteAnchor"/>
          <w:sz w:val="22"/>
          <w:szCs w:val="22"/>
          <w:rtl w:val="true"/>
        </w:rPr>
        <w:footnoteReference w:id="4"/>
      </w:r>
      <w:r>
        <w:rPr>
          <w:sz w:val="22"/>
          <w:szCs w:val="22"/>
          <w:rtl w:val="true"/>
        </w:rPr>
        <w:t xml:space="preserve"> </w:t>
      </w:r>
      <w:r>
        <w:rPr>
          <w:sz w:val="22"/>
          <w:sz w:val="22"/>
          <w:szCs w:val="22"/>
          <w:rtl w:val="true"/>
        </w:rPr>
        <w:t>דין מיתה זה הוא שה’ ממית אותו באופן הדומה למיתת בית דין</w:t>
      </w:r>
      <w:r>
        <w:rPr>
          <w:sz w:val="22"/>
          <w:szCs w:val="22"/>
          <w:rtl w:val="true"/>
        </w:rPr>
        <w:t>. (</w:t>
      </w:r>
      <w:r>
        <w:rPr>
          <w:sz w:val="22"/>
          <w:sz w:val="22"/>
          <w:szCs w:val="22"/>
          <w:rtl w:val="true"/>
        </w:rPr>
        <w:t>לא מבאר בן כמה הוא מת</w:t>
      </w:r>
      <w:r>
        <w:rPr>
          <w:rStyle w:val="FootnoteAnchor"/>
          <w:sz w:val="22"/>
          <w:sz w:val="22"/>
          <w:szCs w:val="22"/>
          <w:rtl w:val="true"/>
        </w:rPr>
        <w:footnoteReference w:id="5"/>
      </w:r>
      <w:r>
        <w:rPr>
          <w:sz w:val="22"/>
          <w:szCs w:val="22"/>
          <w:rtl w:val="true"/>
        </w:rPr>
        <w:t xml:space="preserve">.) </w:t>
      </w:r>
      <w:r>
        <w:rPr>
          <w:sz w:val="22"/>
          <w:sz w:val="22"/>
          <w:szCs w:val="22"/>
          <w:rtl w:val="true"/>
        </w:rPr>
        <w:t>לא מבאר גמ’ מה פוטר אותו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אבל תוס’ כ’ שתשובה ומעשים טובים פוטרים אותו</w:t>
      </w:r>
      <w:r>
        <w:rPr>
          <w:sz w:val="22"/>
          <w:szCs w:val="22"/>
          <w:rtl w:val="true"/>
        </w:rPr>
        <w:t>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</w:r>
      <w:r>
        <w:rPr>
          <w:sz w:val="22"/>
          <w:sz w:val="22"/>
          <w:szCs w:val="22"/>
          <w:rtl w:val="true"/>
        </w:rPr>
        <w:t>כרת</w:t>
      </w:r>
      <w:r>
        <w:rPr>
          <w:sz w:val="22"/>
          <w:szCs w:val="22"/>
          <w:rtl w:val="true"/>
        </w:rPr>
        <w:t>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  <w:tab/>
      </w:r>
      <w:r>
        <w:rPr>
          <w:sz w:val="22"/>
          <w:sz w:val="22"/>
          <w:szCs w:val="22"/>
          <w:rtl w:val="true"/>
        </w:rPr>
        <w:t>מהו</w:t>
      </w:r>
      <w:r>
        <w:rPr>
          <w:sz w:val="22"/>
          <w:szCs w:val="22"/>
          <w:rtl w:val="true"/>
        </w:rPr>
        <w:t>:</w:t>
      </w:r>
    </w:p>
    <w:p>
      <w:pPr>
        <w:pStyle w:val="Normal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יש שני חלקים לכרת</w:t>
      </w:r>
      <w:r>
        <w:rPr>
          <w:sz w:val="22"/>
          <w:szCs w:val="22"/>
          <w:rtl w:val="true"/>
        </w:rPr>
        <w:t>:</w:t>
      </w:r>
    </w:p>
    <w:p>
      <w:pPr>
        <w:pStyle w:val="Normal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מיתה</w:t>
      </w:r>
      <w:r>
        <w:rPr>
          <w:sz w:val="22"/>
          <w:szCs w:val="22"/>
          <w:rtl w:val="true"/>
        </w:rPr>
        <w:t xml:space="preserve">- </w:t>
      </w:r>
      <w:r>
        <w:rPr>
          <w:sz w:val="22"/>
          <w:sz w:val="22"/>
          <w:szCs w:val="22"/>
          <w:rtl w:val="true"/>
        </w:rPr>
        <w:t>כרת עושה שאדם מת קודם זמנו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 xml:space="preserve">במו“ק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>כח</w:t>
      </w:r>
      <w:r>
        <w:rPr>
          <w:sz w:val="22"/>
          <w:szCs w:val="22"/>
          <w:rtl w:val="true"/>
        </w:rPr>
        <w:t xml:space="preserve">.) </w:t>
      </w:r>
      <w:r>
        <w:rPr>
          <w:sz w:val="22"/>
          <w:sz w:val="22"/>
          <w:szCs w:val="22"/>
          <w:rtl w:val="true"/>
        </w:rPr>
        <w:t>אומר שמיתת כרת הוא בחמישים שנה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לכאו’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יש שלש דרכים לבאר את זה</w:t>
      </w:r>
      <w:r>
        <w:rPr>
          <w:sz w:val="22"/>
          <w:szCs w:val="22"/>
          <w:rtl w:val="true"/>
        </w:rPr>
        <w:t>:</w:t>
      </w:r>
    </w:p>
    <w:p>
      <w:pPr>
        <w:pStyle w:val="Normal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הוא רק באותו שנה</w:t>
      </w:r>
      <w:r>
        <w:rPr>
          <w:sz w:val="22"/>
          <w:szCs w:val="22"/>
          <w:rtl w:val="true"/>
        </w:rPr>
        <w:t>.</w:t>
      </w:r>
      <w:r>
        <w:rPr>
          <w:rStyle w:val="FootnoteAnchor"/>
          <w:sz w:val="22"/>
          <w:szCs w:val="22"/>
          <w:rtl w:val="true"/>
        </w:rPr>
        <w:footnoteReference w:id="6"/>
      </w:r>
    </w:p>
    <w:p>
      <w:pPr>
        <w:pStyle w:val="Normal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הוא לפני אותו שנה עד אותו שנה</w:t>
      </w:r>
      <w:r>
        <w:rPr>
          <w:sz w:val="22"/>
          <w:szCs w:val="22"/>
          <w:rtl w:val="true"/>
        </w:rPr>
        <w:t>. (</w:t>
      </w:r>
      <w:r>
        <w:rPr>
          <w:sz w:val="22"/>
          <w:sz w:val="22"/>
          <w:szCs w:val="22"/>
          <w:rtl w:val="true"/>
        </w:rPr>
        <w:t>יש לדון מאימתי מתחיל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 xml:space="preserve">אולי מתחיל בכל זמן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>מזמן עבירתו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איזה זמן שיהיה</w:t>
      </w:r>
      <w:r>
        <w:rPr>
          <w:sz w:val="22"/>
          <w:szCs w:val="22"/>
          <w:rtl w:val="true"/>
        </w:rPr>
        <w:t xml:space="preserve">).) </w:t>
      </w:r>
      <w:r>
        <w:rPr>
          <w:sz w:val="22"/>
          <w:sz w:val="22"/>
          <w:szCs w:val="22"/>
          <w:rtl w:val="true"/>
        </w:rPr>
        <w:t xml:space="preserve">כן נראה מירושלמי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 xml:space="preserve">בכורות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>ב</w:t>
      </w:r>
      <w:r>
        <w:rPr>
          <w:sz w:val="22"/>
          <w:szCs w:val="22"/>
          <w:rtl w:val="true"/>
        </w:rPr>
        <w:t>-</w:t>
      </w:r>
      <w:r>
        <w:rPr>
          <w:sz w:val="22"/>
          <w:sz w:val="22"/>
          <w:szCs w:val="22"/>
          <w:rtl w:val="true"/>
        </w:rPr>
        <w:t>א</w:t>
      </w:r>
      <w:r>
        <w:rPr>
          <w:sz w:val="22"/>
          <w:szCs w:val="22"/>
          <w:rtl w:val="true"/>
        </w:rPr>
        <w:t xml:space="preserve">)), </w:t>
      </w:r>
      <w:r>
        <w:rPr>
          <w:sz w:val="22"/>
          <w:sz w:val="22"/>
          <w:szCs w:val="22"/>
          <w:rtl w:val="true"/>
        </w:rPr>
        <w:t>שדורש כן משני מקורות</w:t>
      </w:r>
      <w:r>
        <w:rPr>
          <w:sz w:val="22"/>
          <w:szCs w:val="22"/>
          <w:rtl w:val="true"/>
        </w:rPr>
        <w:t xml:space="preserve">- </w:t>
      </w:r>
      <w:r>
        <w:rPr>
          <w:sz w:val="22"/>
          <w:sz w:val="22"/>
          <w:szCs w:val="22"/>
          <w:rtl w:val="true"/>
        </w:rPr>
        <w:t>ממה שאומר קרא שלויים לא יחללו עבודתם כדי שלא יכרתו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והרי רק עבדו עד שעה חמישים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וממה שימים שאדם ראוי לעונש הם רק חמישים שנה</w:t>
      </w:r>
      <w:r>
        <w:rPr>
          <w:rStyle w:val="FootnoteAnchor"/>
          <w:sz w:val="22"/>
          <w:sz w:val="22"/>
          <w:szCs w:val="22"/>
          <w:rtl w:val="true"/>
        </w:rPr>
        <w:footnoteReference w:id="7"/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לשני המקורות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יהיה כל שנה עד אותו שנה</w:t>
      </w:r>
      <w:r>
        <w:rPr>
          <w:sz w:val="22"/>
          <w:szCs w:val="22"/>
          <w:rtl w:val="true"/>
        </w:rPr>
        <w:t>.</w:t>
      </w:r>
    </w:p>
    <w:p>
      <w:pPr>
        <w:pStyle w:val="Normal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הוא אחר אותו שנה עד זמן מסויים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כן פי’ הבבלי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ואומר שהוא עד שהוא חמישים ותשע</w:t>
      </w:r>
      <w:r>
        <w:rPr>
          <w:sz w:val="22"/>
          <w:szCs w:val="22"/>
          <w:rtl w:val="true"/>
        </w:rPr>
        <w:t>.</w:t>
      </w:r>
      <w:r>
        <w:rPr>
          <w:rStyle w:val="FootnoteAnchor"/>
          <w:sz w:val="22"/>
          <w:szCs w:val="22"/>
          <w:rtl w:val="true"/>
        </w:rPr>
        <w:footnoteReference w:id="8"/>
      </w:r>
    </w:p>
    <w:p>
      <w:pPr>
        <w:pStyle w:val="Normal"/>
        <w:numPr>
          <w:ilvl w:val="0"/>
          <w:numId w:val="0"/>
        </w:numPr>
        <w:ind w:left="796" w:hanging="0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לא מבאר חז“ל איך מת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ולכן נראה שאפשר שימות באיזה אופן שרוצה ה’</w:t>
      </w:r>
      <w:r>
        <w:rPr>
          <w:sz w:val="22"/>
          <w:szCs w:val="22"/>
          <w:rtl w:val="true"/>
        </w:rPr>
        <w:t>.</w:t>
      </w:r>
      <w:r>
        <w:rPr>
          <w:rStyle w:val="FootnoteAnchor"/>
          <w:sz w:val="22"/>
          <w:szCs w:val="22"/>
          <w:rtl w:val="true"/>
        </w:rPr>
        <w:footnoteReference w:id="9"/>
      </w:r>
    </w:p>
    <w:p>
      <w:pPr>
        <w:pStyle w:val="Normal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מת בלי בנים</w:t>
      </w:r>
      <w:r>
        <w:rPr>
          <w:sz w:val="22"/>
          <w:szCs w:val="22"/>
          <w:rtl w:val="true"/>
        </w:rPr>
        <w:t xml:space="preserve">- </w:t>
      </w:r>
      <w:r>
        <w:rPr>
          <w:sz w:val="22"/>
          <w:sz w:val="22"/>
          <w:szCs w:val="22"/>
          <w:rtl w:val="true"/>
        </w:rPr>
        <w:t>חולקים ראשונים בזה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רש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י סובר שכל מי שחייב כרת מת בלי בנים</w:t>
      </w:r>
      <w:r>
        <w:rPr>
          <w:sz w:val="22"/>
          <w:szCs w:val="22"/>
          <w:rtl w:val="true"/>
        </w:rPr>
        <w:t>. (</w:t>
      </w:r>
      <w:r>
        <w:rPr>
          <w:sz w:val="22"/>
          <w:sz w:val="22"/>
          <w:szCs w:val="22"/>
          <w:rtl w:val="true"/>
        </w:rPr>
        <w:t>תוס’ מוסיף שזה רק נוגע לבנים קטנים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שנענשים בעוון אביהם</w:t>
      </w:r>
      <w:r>
        <w:rPr>
          <w:sz w:val="22"/>
          <w:szCs w:val="22"/>
          <w:rtl w:val="true"/>
        </w:rPr>
        <w:t>.</w:t>
      </w:r>
      <w:r>
        <w:rPr>
          <w:rStyle w:val="FootnoteAnchor"/>
          <w:sz w:val="22"/>
          <w:szCs w:val="22"/>
          <w:rtl w:val="true"/>
        </w:rPr>
        <w:footnoteReference w:id="10"/>
      </w:r>
      <w:r>
        <w:rPr>
          <w:sz w:val="22"/>
          <w:szCs w:val="22"/>
          <w:rtl w:val="true"/>
        </w:rPr>
        <w:t xml:space="preserve">). </w:t>
      </w:r>
      <w:r>
        <w:rPr>
          <w:sz w:val="22"/>
          <w:sz w:val="22"/>
          <w:szCs w:val="22"/>
          <w:rtl w:val="true"/>
        </w:rPr>
        <w:t xml:space="preserve">דורש את זה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 xml:space="preserve">בכתובות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>ל</w:t>
      </w:r>
      <w:r>
        <w:rPr>
          <w:sz w:val="22"/>
          <w:szCs w:val="22"/>
          <w:rtl w:val="true"/>
        </w:rPr>
        <w:t xml:space="preserve">:)) </w:t>
      </w:r>
      <w:r>
        <w:rPr>
          <w:sz w:val="22"/>
          <w:sz w:val="22"/>
          <w:szCs w:val="22"/>
          <w:rtl w:val="true"/>
        </w:rPr>
        <w:t>ממה שבמקצת חייבי כרת כ’ שיהיה ערירי</w:t>
      </w:r>
      <w:r>
        <w:rPr>
          <w:sz w:val="22"/>
          <w:szCs w:val="22"/>
          <w:rtl w:val="true"/>
        </w:rPr>
        <w:t>.</w:t>
      </w:r>
      <w:r>
        <w:rPr>
          <w:rStyle w:val="FootnoteAnchor"/>
          <w:sz w:val="22"/>
          <w:szCs w:val="22"/>
          <w:rtl w:val="true"/>
        </w:rPr>
        <w:footnoteReference w:id="11"/>
      </w:r>
      <w:r>
        <w:rPr>
          <w:sz w:val="22"/>
          <w:szCs w:val="22"/>
          <w:rtl w:val="true"/>
        </w:rPr>
        <w:t xml:space="preserve"> </w:t>
      </w:r>
      <w:r>
        <w:rPr>
          <w:sz w:val="22"/>
          <w:sz w:val="22"/>
          <w:szCs w:val="22"/>
          <w:rtl w:val="true"/>
        </w:rPr>
        <w:t>תוס’ סובר שאין חיוב זה בכל כרת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אלא רק כשכ’ שימות ערירי</w:t>
      </w:r>
      <w:r>
        <w:rPr>
          <w:rStyle w:val="FootnoteAnchor"/>
          <w:sz w:val="22"/>
          <w:sz w:val="22"/>
          <w:szCs w:val="22"/>
          <w:rtl w:val="true"/>
        </w:rPr>
        <w:footnoteReference w:id="12"/>
      </w:r>
      <w:r>
        <w:rPr>
          <w:sz w:val="22"/>
          <w:szCs w:val="22"/>
          <w:rtl w:val="true"/>
        </w:rPr>
        <w:t>.</w:t>
      </w:r>
      <w:r>
        <w:rPr>
          <w:rStyle w:val="FootnoteAnchor"/>
          <w:sz w:val="22"/>
          <w:szCs w:val="22"/>
          <w:rtl w:val="true"/>
        </w:rPr>
        <w:footnoteReference w:id="13"/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  <w:tab/>
      </w:r>
      <w:r>
        <w:rPr>
          <w:sz w:val="22"/>
          <w:sz w:val="22"/>
          <w:szCs w:val="22"/>
          <w:rtl w:val="true"/>
        </w:rPr>
        <w:t>מה צריך כדי לחייב</w:t>
      </w:r>
      <w:r>
        <w:rPr>
          <w:sz w:val="22"/>
          <w:szCs w:val="22"/>
          <w:rtl w:val="true"/>
        </w:rPr>
        <w:t>:</w:t>
      </w:r>
    </w:p>
    <w:p>
      <w:pPr>
        <w:pStyle w:val="Normal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צריך לעבור במזיד</w:t>
      </w:r>
      <w:r>
        <w:rPr>
          <w:rStyle w:val="FootnoteAnchor"/>
          <w:sz w:val="22"/>
          <w:sz w:val="22"/>
          <w:szCs w:val="22"/>
          <w:rtl w:val="true"/>
        </w:rPr>
        <w:footnoteReference w:id="14"/>
      </w:r>
      <w:r>
        <w:rPr>
          <w:sz w:val="22"/>
          <w:sz w:val="22"/>
          <w:szCs w:val="22"/>
          <w:rtl w:val="true"/>
        </w:rPr>
        <w:t xml:space="preserve"> עבירה שמחייב</w:t>
      </w:r>
      <w:r>
        <w:rPr>
          <w:sz w:val="22"/>
          <w:szCs w:val="22"/>
          <w:rtl w:val="true"/>
        </w:rPr>
        <w:t>.</w:t>
      </w:r>
      <w:r>
        <w:rPr>
          <w:rStyle w:val="FootnoteAnchor"/>
          <w:sz w:val="22"/>
          <w:szCs w:val="22"/>
          <w:rtl w:val="true"/>
        </w:rPr>
        <w:footnoteReference w:id="15"/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  <w:tab/>
      </w:r>
      <w:r>
        <w:rPr>
          <w:sz w:val="22"/>
          <w:sz w:val="22"/>
          <w:szCs w:val="22"/>
          <w:rtl w:val="true"/>
        </w:rPr>
        <w:t>מה פוטר אותו</w:t>
      </w:r>
      <w:r>
        <w:rPr>
          <w:sz w:val="22"/>
          <w:szCs w:val="22"/>
          <w:rtl w:val="true"/>
        </w:rPr>
        <w:t>:</w:t>
      </w:r>
    </w:p>
    <w:p>
      <w:pPr>
        <w:pStyle w:val="Normal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 xml:space="preserve">תשובה פוטר אותו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>ע’ ביבמות כא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ובב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ב פח</w:t>
      </w:r>
      <w:r>
        <w:rPr>
          <w:sz w:val="22"/>
          <w:szCs w:val="22"/>
          <w:rtl w:val="true"/>
        </w:rPr>
        <w:t xml:space="preserve">:). </w:t>
      </w:r>
      <w:r>
        <w:rPr>
          <w:sz w:val="22"/>
          <w:sz w:val="22"/>
          <w:szCs w:val="22"/>
          <w:rtl w:val="true"/>
        </w:rPr>
        <w:t xml:space="preserve">חולקים אם מלקות פוטר אותו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>ולהל’ פוטר</w:t>
      </w:r>
      <w:r>
        <w:rPr>
          <w:sz w:val="22"/>
          <w:szCs w:val="22"/>
          <w:rtl w:val="true"/>
        </w:rPr>
        <w:t>) (</w:t>
      </w:r>
      <w:r>
        <w:rPr>
          <w:sz w:val="22"/>
          <w:sz w:val="22"/>
          <w:szCs w:val="22"/>
          <w:rtl w:val="true"/>
        </w:rPr>
        <w:t>ע’ מכות כג</w:t>
      </w:r>
      <w:r>
        <w:rPr>
          <w:sz w:val="22"/>
          <w:szCs w:val="22"/>
          <w:rtl w:val="true"/>
        </w:rPr>
        <w:t>:)</w:t>
      </w:r>
      <w:r>
        <w:rPr>
          <w:rStyle w:val="FootnoteAnchor"/>
          <w:sz w:val="22"/>
          <w:szCs w:val="22"/>
          <w:rtl w:val="true"/>
        </w:rPr>
        <w:footnoteReference w:id="16"/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לא מבאר גמ’ אם מיתה פוטר אותו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לא מבאר גמ’ אם זכות אחר פוטר אותו</w:t>
      </w:r>
      <w:r>
        <w:rPr>
          <w:sz w:val="22"/>
          <w:szCs w:val="22"/>
          <w:rtl w:val="true"/>
        </w:rPr>
        <w:t>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</w:r>
      <w:r>
        <w:rPr>
          <w:sz w:val="22"/>
          <w:sz w:val="22"/>
          <w:szCs w:val="22"/>
          <w:rtl w:val="true"/>
        </w:rPr>
        <w:t>מיתה בידי שמים</w:t>
      </w:r>
      <w:r>
        <w:rPr>
          <w:sz w:val="22"/>
          <w:szCs w:val="22"/>
          <w:rtl w:val="true"/>
        </w:rPr>
        <w:t>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  <w:tab/>
      </w:r>
      <w:r>
        <w:rPr>
          <w:sz w:val="22"/>
          <w:sz w:val="22"/>
          <w:szCs w:val="22"/>
          <w:rtl w:val="true"/>
        </w:rPr>
        <w:t>מהו</w:t>
      </w:r>
      <w:r>
        <w:rPr>
          <w:sz w:val="22"/>
          <w:szCs w:val="22"/>
          <w:rtl w:val="true"/>
        </w:rPr>
        <w:t>:</w:t>
      </w:r>
    </w:p>
    <w:p>
      <w:pPr>
        <w:pStyle w:val="Normal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ה’ עושה שמת אדם קודם זמנו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גמ’ במ“ק אומר שמת בששים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אף כאן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יש שלש הצדדים שבארנו לעיל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מבבלי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 xml:space="preserve">מוכרח שאינו כצד שני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>שזה כבר מיתת כרת</w:t>
      </w:r>
      <w:r>
        <w:rPr>
          <w:sz w:val="22"/>
          <w:szCs w:val="22"/>
          <w:rtl w:val="true"/>
        </w:rPr>
        <w:t xml:space="preserve">). </w:t>
      </w:r>
      <w:r>
        <w:rPr>
          <w:sz w:val="22"/>
          <w:sz w:val="22"/>
          <w:szCs w:val="22"/>
          <w:rtl w:val="true"/>
        </w:rPr>
        <w:t>כיון שמיתת כרת הוא כצד שלישי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מסתבר שאף הוא כצד שלישי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אבל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יל“ד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שמיתת שמואל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לכאו’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אינו כצד שלישי</w:t>
      </w:r>
      <w:r>
        <w:rPr>
          <w:rStyle w:val="FootnoteAnchor"/>
          <w:sz w:val="22"/>
          <w:sz w:val="22"/>
          <w:szCs w:val="22"/>
          <w:rtl w:val="true"/>
        </w:rPr>
        <w:footnoteReference w:id="17"/>
      </w:r>
      <w:r>
        <w:rPr>
          <w:sz w:val="22"/>
          <w:szCs w:val="22"/>
          <w:rtl w:val="true"/>
        </w:rPr>
        <w:t>.</w:t>
      </w:r>
      <w:r>
        <w:rPr>
          <w:rStyle w:val="FootnoteAnchor"/>
          <w:sz w:val="22"/>
          <w:szCs w:val="22"/>
          <w:rtl w:val="true"/>
        </w:rPr>
        <w:footnoteReference w:id="18"/>
      </w:r>
      <w:r>
        <w:rPr>
          <w:sz w:val="22"/>
          <w:szCs w:val="22"/>
          <w:rtl w:val="true"/>
        </w:rPr>
        <w:t xml:space="preserve"> </w:t>
      </w:r>
      <w:r>
        <w:rPr>
          <w:sz w:val="22"/>
          <w:sz w:val="22"/>
          <w:szCs w:val="22"/>
          <w:rtl w:val="true"/>
        </w:rPr>
        <w:t>ממקור של הירושלמי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משמע שסובר כצד שני</w:t>
      </w:r>
      <w:r>
        <w:rPr>
          <w:sz w:val="22"/>
          <w:szCs w:val="22"/>
          <w:rtl w:val="true"/>
        </w:rPr>
        <w:t>. (</w:t>
      </w:r>
      <w:r>
        <w:rPr>
          <w:sz w:val="22"/>
          <w:sz w:val="22"/>
          <w:szCs w:val="22"/>
          <w:rtl w:val="true"/>
        </w:rPr>
        <w:t>כן טוב גם לשיטתו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שנמצא שכל הבריי’ מדבר בזה</w:t>
      </w:r>
      <w:r>
        <w:rPr>
          <w:sz w:val="22"/>
          <w:szCs w:val="22"/>
          <w:rtl w:val="true"/>
        </w:rPr>
        <w:t>.)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  <w:tab/>
      </w:r>
      <w:r>
        <w:rPr>
          <w:sz w:val="22"/>
          <w:sz w:val="22"/>
          <w:szCs w:val="22"/>
          <w:rtl w:val="true"/>
        </w:rPr>
        <w:t>מה צריך כדי לחייב</w:t>
      </w:r>
      <w:r>
        <w:rPr>
          <w:sz w:val="22"/>
          <w:szCs w:val="22"/>
          <w:rtl w:val="true"/>
        </w:rPr>
        <w:t>:</w:t>
      </w:r>
    </w:p>
    <w:p>
      <w:pPr>
        <w:pStyle w:val="Normal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צריך לעבור במזיד עבירה שמחייב</w:t>
      </w:r>
      <w:r>
        <w:rPr>
          <w:sz w:val="22"/>
          <w:szCs w:val="22"/>
          <w:rtl w:val="true"/>
        </w:rPr>
        <w:t>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  <w:tab/>
        <w:tab/>
      </w:r>
      <w:r>
        <w:rPr>
          <w:sz w:val="22"/>
          <w:sz w:val="22"/>
          <w:szCs w:val="22"/>
          <w:rtl w:val="true"/>
        </w:rPr>
        <w:t>מה פוטר אותו</w:t>
      </w:r>
      <w:r>
        <w:rPr>
          <w:sz w:val="22"/>
          <w:szCs w:val="22"/>
          <w:rtl w:val="true"/>
        </w:rPr>
        <w:t>:</w:t>
      </w:r>
    </w:p>
    <w:p>
      <w:pPr>
        <w:pStyle w:val="Normal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איני יודע אם יש מקור ששום דבר פוטר אותו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אז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יל“ד בכולם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נראה שבהכרח מה שפוטר בכרת פוטר בו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 xml:space="preserve">שאי לאו הכי מקורו של אביי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>כתובות ל</w:t>
      </w:r>
      <w:r>
        <w:rPr>
          <w:sz w:val="22"/>
          <w:szCs w:val="22"/>
          <w:rtl w:val="true"/>
        </w:rPr>
        <w:t xml:space="preserve">:) </w:t>
      </w:r>
      <w:r>
        <w:rPr>
          <w:sz w:val="22"/>
          <w:sz w:val="22"/>
          <w:szCs w:val="22"/>
          <w:rtl w:val="true"/>
        </w:rPr>
        <w:t>לא ילמד כרת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שרק מלמד לנו מיתה בידי שמים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ויש לדון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שאפשר לומר שכמו שחש ממיתה שיבוא בידי שמים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גם חש ממיתה שיבוא מחמת חיוב כרת שיש על בנימין</w:t>
      </w:r>
      <w:r>
        <w:rPr>
          <w:sz w:val="22"/>
          <w:szCs w:val="22"/>
          <w:rtl w:val="true"/>
        </w:rPr>
        <w:t xml:space="preserve">.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  <w:rtl w:val="true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ותעיין לקמן במה שנביא משי“ח ש“י בכריתות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שדן בכמה נקודות חשובות</w:t>
      </w:r>
      <w:r>
        <w:rPr>
          <w:sz w:val="22"/>
          <w:szCs w:val="22"/>
          <w:rtl w:val="true"/>
        </w:rPr>
        <w:t>:</w:t>
      </w:r>
      <w:r>
        <w:br w:type="page"/>
      </w:r>
    </w:p>
    <w:p>
      <w:pPr>
        <w:pStyle w:val="Normal"/>
        <w:keepNext w:val="false"/>
        <w:keepLines w:val="false"/>
        <w:widowControl w:val="false"/>
        <w:overflowPunct w:val="fals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/>
          <w:b/>
          <w:bCs/>
          <w:i/>
          <w:i/>
          <w:iCs/>
          <w:sz w:val="22"/>
          <w:sz w:val="22"/>
          <w:szCs w:val="22"/>
          <w:rtl w:val="true"/>
        </w:rPr>
        <w:t>כל</w:t>
      </w:r>
      <w:r>
        <w:rPr>
          <w:rFonts w:ascii="Mekorot-Vilna" w:hAnsi="Mekorot-Vilna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Mekorot-Vilna" w:hAnsi="Mekorot-Vilna"/>
          <w:b/>
          <w:b/>
          <w:bCs/>
          <w:i/>
          <w:i/>
          <w:iCs/>
          <w:sz w:val="22"/>
          <w:sz w:val="22"/>
          <w:szCs w:val="22"/>
          <w:rtl w:val="true"/>
        </w:rPr>
        <w:t>הנך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-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עיין במה שאומר רש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"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י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מזה יוצא שאין כרת בשוגג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לולי רש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"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י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היה אפשר לומר שיש חיוב כרת בשוגג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אלא שיביא קרבן ויתכפר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(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או שיעשה תשובה ויתכפר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).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רש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"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י לא אומר כן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יש לדון למה נחלק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overflowPunct w:val="fals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במזיד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מראה יותר שלא מקפיד לעשות מה שה’ לא רוצה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שבידים עושה נגד מה שרוצה ה’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אבל בשוגג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לא מראה כן כל כך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שרק לא נזהר ואז שגג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overflowPunct w:val="fals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אולי הרע שעשה הוא יותר גדול אם עבר במזיד מאם עבר בציור אחר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והוא מפני שהיה בו יותר רצון באותו מעשה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(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שבשוגג או לא חשב לעשותו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או לא חשב שהוא רע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ונמצא שחשב שהוא מעשה קצת חלוק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).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ותחשב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זה תלוי באם עבירה על צווי ה’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(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לכאורה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זהו </w:t>
      </w:r>
      <w:r>
        <w:rPr>
          <w:rFonts w:cs="Mekorot-Vilna" w:ascii="Mekorot-Vilna" w:hAnsi="Mekorot-Vilna"/>
          <w:b w:val="false"/>
          <w:bCs w:val="false"/>
          <w:sz w:val="22"/>
          <w:szCs w:val="22"/>
        </w:rPr>
        <w:t>1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שלכאורה מה שרע לעשות נגד ציווי הוא שבציווי גילה ה’ רצונו למה יעשה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והוא עושה נגדו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ויש לדון בזה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ואין זה בהיר לי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)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או עשיית רע מחייב כרת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יש להעיר שאפשר שאין כרת כשאר עונשים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יש להעיר שאפשר שבעצם חייב כרת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אף בשוגג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אלא שממילא עושה תשובה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וכמו שאומר גמרא בסוף מנחות</w:t>
      </w:r>
      <w:r>
        <w:rPr>
          <w:rStyle w:val="FootnoteAnchor"/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footnoteReference w:id="19"/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ויש לדון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שאולי הוא מומר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אלא שלמעשה כאן לא כיוון לאותו מעשה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(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לא שב מידיעתו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).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זה קושיא טובה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אבל הוא קושיא על אותו גמרא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והרי למעשה במקומו עומד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ויש לומר כמותו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ותו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"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/>
          <w:b/>
          <w:bCs/>
          <w:i/>
          <w:i/>
          <w:iCs/>
          <w:sz w:val="22"/>
          <w:sz w:val="22"/>
          <w:szCs w:val="22"/>
          <w:rtl w:val="true"/>
        </w:rPr>
        <w:t>כל</w:t>
      </w:r>
      <w:r>
        <w:rPr>
          <w:rFonts w:ascii="Mekorot-Vilna" w:hAnsi="Mekorot-Vilna"/>
          <w:b/>
          <w:b/>
          <w:bCs/>
          <w:sz w:val="22"/>
          <w:sz w:val="22"/>
          <w:szCs w:val="22"/>
          <w:rtl w:val="true"/>
        </w:rPr>
        <w:t xml:space="preserve"> </w:t>
      </w:r>
      <w:r>
        <w:rPr>
          <w:rFonts w:ascii="Mekorot-Vilna" w:hAnsi="Mekorot-Vilna"/>
          <w:b/>
          <w:b/>
          <w:bCs/>
          <w:i/>
          <w:i/>
          <w:iCs/>
          <w:sz w:val="22"/>
          <w:sz w:val="22"/>
          <w:szCs w:val="22"/>
          <w:rtl w:val="true"/>
        </w:rPr>
        <w:t>הנך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-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דחמורות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-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יש לדון מה אומר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overflowPunct w:val="fals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סדרם כן כיון שבענין אחר הם יותר חשובים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(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שהם יותר חמורות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).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overflowPunct w:val="fals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סדרם כן כיון שיש יותר סיבה לכרת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(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שהם יותר חמורים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כמו שרואים ממה שבהתראה חייבים סקילה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)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overflowPunct w:val="fals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סדרם כן כיון שיש יותר כרת באלו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והוא שהם יותר נכרתים מה’ כיון שהוא יותר חמור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ויש לדון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שעדיין עונש של כרת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(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מה שהוא מת קודם זמנו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)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אינו יותר עליהם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overflowPunct w:val="fals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גם יש לומר שסדרם כן כיון שאז יש יותר סיבה לחטאת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(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אולי אין יותר סיבה לכרת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אבל יש יותר סיבה לחטאת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ואולי יש יותר סיבה לכרת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אבל אין זה הסיבה שמנה אותם ראשון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).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זה תלוי במה שנדון אם משנה בא לדין כרת או לדין חטאת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גם תלוי באם יוכל חטאת להיות תלוי בדבר חוץ מכרת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(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וזה תלוי במה שנדון מהו היחס בין כרת לחיוב חטאת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)</w:t>
      </w:r>
      <w:r>
        <w:rPr>
          <w:rStyle w:val="FootnoteAnchor"/>
          <w:rFonts w:cs="Mekorot-Vilna" w:ascii="Mekorot-Vilna" w:hAnsi="Mekorot-Vilna"/>
          <w:b w:val="false"/>
          <w:bCs w:val="false"/>
          <w:sz w:val="22"/>
          <w:szCs w:val="22"/>
          <w:rtl w:val="true"/>
        </w:rPr>
        <w:footnoteReference w:id="20"/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ותחשב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באמת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שני ושלישי שווים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אלא שלשני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"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כרת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"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אומר עונש שלו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ולשלישי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(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אף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)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אומר מה שנכרת מה’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יש לדון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-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ואולי מה שיהיה במשמעות מילת ועונש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"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כרת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"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תלוי בזה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-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אם הם שני עונשים</w:t>
      </w:r>
      <w:r>
        <w:rPr>
          <w:rStyle w:val="FootnoteAnchor"/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footnoteReference w:id="21"/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 שבאים שני סיבות במעשה אחד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מסיבה אחת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או שכריתתו מה’ גורם עונש השני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widowControl w:val="false"/>
        <w:overflowPunct w:val="fals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גם יש להעיר על לשון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"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חייב כרת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.”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אם דנים במה שימות לפני זמנו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זה טוב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אם דנים במה שנעשה נכרת מה’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לכאורה היה לו לומר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, “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נכרת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,”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שקורה מיד ממילא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ויש לדון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שאולי אין ה’ כורתו ממילא</w:t>
      </w:r>
      <w:r>
        <w:rPr>
          <w:rStyle w:val="FootnoteAnchor"/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footnoteReference w:id="22"/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גם יש לדון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 xml:space="preserve">שאולי אומר לשון זה מפני חיוב השני שבו 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(</w:t>
      </w:r>
      <w:r>
        <w:rPr>
          <w:rFonts w:ascii="Mekorot-Vilna" w:hAnsi="Mekorot-Vilna"/>
          <w:b w:val="false"/>
          <w:b w:val="false"/>
          <w:bCs w:val="false"/>
          <w:sz w:val="22"/>
          <w:sz w:val="22"/>
          <w:szCs w:val="22"/>
          <w:rtl w:val="true"/>
        </w:rPr>
        <w:t>שמת קודם זמנו</w:t>
      </w:r>
      <w:r>
        <w:rPr>
          <w:rFonts w:cs="Mekorot-Vilna" w:ascii="Mekorot-Vilna" w:hAnsi="Mekorot-Vilna"/>
          <w:b w:val="false"/>
          <w:bCs w:val="false"/>
          <w:sz w:val="22"/>
          <w:szCs w:val="22"/>
          <w:rtl w:val="true"/>
        </w:rPr>
        <w:t>).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/>
          <w:b/>
          <w:bCs/>
          <w:i/>
          <w:i/>
          <w:iCs/>
          <w:sz w:val="22"/>
          <w:sz w:val="22"/>
          <w:szCs w:val="22"/>
          <w:rtl w:val="true"/>
        </w:rPr>
        <w:t>פסח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-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כרת הוא שמת בלי בנים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-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 xml:space="preserve">עיין במועד קטן 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(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כח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.)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שמבואר שגם מת קודם זמנו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ק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"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ק למה לא הזכיר רש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"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י את זה כאן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נראה שני מהלכים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overflowPunct w:val="fals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אולי יש עונשים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ויש תוצאות שהם ממילא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אולי רש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"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 xml:space="preserve">י רק מונה עונש 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(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שהרי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אומר רש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"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י קונטרס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"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ט עם שאר עונשים</w:t>
      </w:r>
      <w:r>
        <w:rPr>
          <w:rStyle w:val="FootnoteAnchor"/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footnoteReference w:id="23"/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).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1"/>
        <w:snapToGrid w:val="true"/>
        <w:ind w:left="720" w:hanging="0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החילוק בין עונש לדבר שבא ממילא הוא שעונש בא כדי ליתן לו צער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דבר שבא ממילא לא בא לצורך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אלא בא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1"/>
        <w:snapToGrid w:val="true"/>
        <w:ind w:left="720" w:hanging="0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 xml:space="preserve">יש להעיר שגמרא 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(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כריתות כג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:)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אומר שכרת יותר חמור ממיתה בידי שמים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לכאורה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יש שלש סיבות לזה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1"/>
          <w:numId w:val="5"/>
        </w:numPr>
        <w:overflowPunct w:val="fals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כרת ממית בחמישים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;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מיתה ממית בששים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1"/>
          <w:numId w:val="5"/>
        </w:numPr>
        <w:overflowPunct w:val="fals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כרת אף עושה שמת בלי בנים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1"/>
          <w:numId w:val="5"/>
        </w:numPr>
        <w:overflowPunct w:val="fals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איסור כרת אף מחייב חטאת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ויש לדון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 xml:space="preserve">שהיה אפשר לדחות שחטאת לא מהני על חיוב מיתה 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(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גם יש לומר כן בשאר הצדדים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אלא ששם יש סיבה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לכאורה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חוץ מכפרה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והוא שטוב שמי שחטא ייענש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אבל כאן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בקרבן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לכאורה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הוא כדי שיכפר ה’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ויש להעיר שאולי ה’ לא רוצה בכפרה לטובתו</w:t>
      </w:r>
      <w:r>
        <w:rPr>
          <w:rStyle w:val="FootnoteAnchor"/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footnoteReference w:id="24"/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 xml:space="preserve"> אלא לטובה בדרך כלל 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(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אז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אין כל כך עבירות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).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ויש לדון אם כפרה מוחק את העבירה או עושה שאין זה מיוחס לו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1"/>
        <w:snapToGrid w:val="true"/>
        <w:ind w:left="720" w:hanging="0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ונראה שאולי רש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"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י הוא קצת לשיטתו בשלש רשיי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"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ם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שרש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"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 xml:space="preserve">י משמע לעיל שחטאת הוא עונש 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(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עיין ברש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"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י ראשון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,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שמנה אותו עם עונשים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),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וסבר שאין מיתה קודם זמנו עונש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ואז מבאר למה נקט עונש לגלות על עונש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ולא זמן מיתה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שאינו עונש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עדיין לא מבואר למה לא נקט שמת בלי בנים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 xml:space="preserve">שהוא פרט אחר בעונש 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(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לא היה לו לומר שעונש נתקיים בשוגג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אלא שהוא עונש יותר גדול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ואולי כיון שזה דן בכמה רע הוא לו הוא יותר דומה למיתה קודם זמנו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ולא קל לדעת איזה יותר רע לאדם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ואיזה עונש יותר גדול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אבל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מה שעבירה טעון עונש אף בשוגג מראה שלענין עונשים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הוא עבירה יותר גדולה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ואז מסתבר שעונש מזיד שלו יותר רע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ותחשב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widowControl w:val="false"/>
        <w:numPr>
          <w:ilvl w:val="0"/>
          <w:numId w:val="5"/>
        </w:numPr>
        <w:overflowPunct w:val="fals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אולי רש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>"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 xml:space="preserve">י אומר שבין כך ובין כך 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>(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בין אם התרה בין אם לא התרה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 xml:space="preserve">)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מת קודם זמנו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שהרי בית דין ממיתים אותו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ועדיין יש לדון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שאם הוא קרוב לחמישים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וחייב כרת ומיתה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אפשר שבית דין לא ימצאו פנאי לדון בו עד שמגיע לגיל חמישים</w:t>
      </w:r>
      <w:r>
        <w:rPr>
          <w:rFonts w:ascii="Mekorot-Vilna" w:hAnsi="Mekorot-Vilna"/>
          <w:i w:val="false"/>
          <w:i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widowControl w:val="false"/>
        <w:overflowPunct w:val="fals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b/>
          <w:b/>
          <w:bCs/>
          <w:i/>
          <w:i/>
          <w:iCs/>
          <w:sz w:val="22"/>
          <w:sz w:val="22"/>
          <w:szCs w:val="22"/>
          <w:rtl w:val="true"/>
        </w:rPr>
        <w:t>על כל אחת ואחת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-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יש לדון מה יהיה הסיבה שלא יחייב על כל אחת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6"/>
        </w:numPr>
        <w:overflowPunct w:val="fals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אולי ס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"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ר של חיוב כרת אחד דומה לס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"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ר של חבירו עד שלא מוסיף רע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ויש לדון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שאם כן נצטרך לומר שבשני העלמות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שחייב שני קרבנות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הוא חלוק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ותחשב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6"/>
        </w:numPr>
        <w:overflowPunct w:val="fals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 xml:space="preserve">אולי הוא מפני שמביא קרבן על מה ששגג 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(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לא מפני ס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"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ר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אלא שעשה נגד ציווי ה’ כששגג מלשמור את עצמו מעבירה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).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עשה כן רק פעם אחת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למסקנא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יש לדון אם לא מביאים קרבן על זה או שאם מחמתו עשה כמה עבירות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מביא יותר קרבנות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,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שהוא יותר רע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.</w:t>
      </w:r>
    </w:p>
    <w:p>
      <w:pPr>
        <w:pStyle w:val="Normal"/>
        <w:keepNext w:val="false"/>
        <w:keepLines w:val="false"/>
        <w:widowControl w:val="false"/>
        <w:numPr>
          <w:ilvl w:val="0"/>
          <w:numId w:val="6"/>
        </w:numPr>
        <w:overflowPunct w:val="fals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אולי הוא מפני שקרבן אחד יכול לרצות לכמה עבירות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נראה שיש לדון אם עושה סיבה לכפר עבירה או לכפר לאדם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ותחשב מה זה אומר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אולי זה תלוי בדיון זה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 xml:space="preserve">. </w:t>
      </w:r>
      <w:r>
        <w:rPr>
          <w:rFonts w:ascii="Mekorot-Vilna" w:hAnsi="Mekorot-Vilna"/>
          <w:i w:val="false"/>
          <w:i w:val="false"/>
          <w:iCs w:val="false"/>
          <w:sz w:val="22"/>
          <w:sz w:val="22"/>
          <w:szCs w:val="22"/>
          <w:rtl w:val="true"/>
        </w:rPr>
        <w:t>ויש לדון</w:t>
      </w:r>
      <w:r>
        <w:rPr>
          <w:rFonts w:cs="Mekorot-Vilna" w:ascii="Mekorot-Vilna" w:hAnsi="Mekorot-Vilna"/>
          <w:i w:val="false"/>
          <w:iCs w:val="false"/>
          <w:sz w:val="22"/>
          <w:szCs w:val="22"/>
          <w:rtl w:val="true"/>
        </w:rPr>
        <w:t>.</w:t>
      </w:r>
      <w:r>
        <w:rPr>
          <w:rStyle w:val="FootnoteAnchor"/>
          <w:rFonts w:cs="Mekorot-Vilna" w:ascii="Mekorot-Vilna" w:hAnsi="Mekorot-Vilna"/>
          <w:i w:val="false"/>
          <w:iCs w:val="false"/>
          <w:sz w:val="22"/>
          <w:szCs w:val="22"/>
          <w:rtl w:val="true"/>
        </w:rPr>
        <w:footnoteReference w:id="25"/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2240" w:h="15840"/>
      <w:pgMar w:left="1134" w:right="1134" w:gutter="0" w:header="1134" w:top="1657" w:footer="1134" w:bottom="165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Times New Roman">
    <w:charset w:val="01"/>
    <w:family w:val="auto"/>
    <w:pitch w:val="default"/>
  </w:font>
  <w:font w:name="Calibri">
    <w:charset w:val="01"/>
    <w:family w:val="auto"/>
    <w:pitch w:val="default"/>
  </w:font>
  <w:font w:name="Courier New">
    <w:charset w:val="01"/>
    <w:family w:val="auto"/>
    <w:pitch w:val="default"/>
  </w:font>
  <w:font w:name="Calibri Light">
    <w:charset w:val="01"/>
    <w:family w:val="auto"/>
    <w:pitch w:val="default"/>
  </w:font>
  <w:font w:name="Arial"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SBL Hebrew">
    <w:charset w:val="01"/>
    <w:family w:val="auto"/>
    <w:pitch w:val="default"/>
  </w:font>
  <w:font w:name="Mekorot-Vilna">
    <w:charset w:val="01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ascii="SBL Hebrew" w:hAnsi="SBL Hebrew"/>
        <w:rtl w:val="true"/>
        <w:lang w:bidi="he-IL"/>
      </w:rPr>
      <w:t>חרב אל הבדים</w:t>
    </w:r>
    <w:r>
      <w:rPr>
        <w:rFonts w:ascii="SBL Hebrew" w:hAnsi="SBL Hebrew"/>
        <w:rtl w:val="true"/>
        <w:lang w:bidi="he-IL"/>
      </w:rPr>
      <w:t xml:space="preserve">- </w:t>
    </w:r>
    <w:r>
      <w:rPr>
        <w:rFonts w:ascii="SBL Hebrew" w:hAnsi="SBL Hebrew"/>
        <w:rtl w:val="true"/>
        <w:lang w:bidi="he-IL"/>
      </w:rPr>
      <w:t>אלו נערות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להיות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שהתרה</w:t>
      </w:r>
      <w:r>
        <w:rPr>
          <w:rtl w:val="true"/>
        </w:rPr>
        <w:t xml:space="preserve">, </w:t>
      </w:r>
      <w:r>
        <w:rPr>
          <w:rtl w:val="true"/>
        </w:rPr>
        <w:t>או שהזכיר לו ההתראה</w:t>
      </w:r>
      <w:r>
        <w:rPr>
          <w:rtl w:val="true"/>
        </w:rPr>
        <w:t xml:space="preserve">, </w:t>
      </w:r>
      <w:r>
        <w:rPr>
          <w:rtl w:val="true"/>
        </w:rPr>
        <w:t>בתוך כדי דיבור של העבירה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איני יודע אם יש מקור לזה</w:t>
      </w:r>
      <w:r>
        <w:rPr>
          <w:rtl w:val="true"/>
        </w:rPr>
        <w:t xml:space="preserve">, </w:t>
      </w:r>
      <w:r>
        <w:rPr>
          <w:rtl w:val="true"/>
        </w:rPr>
        <w:t>אבל כן נראה מסברה</w:t>
      </w:r>
      <w:r>
        <w:rPr>
          <w:rtl w:val="true"/>
        </w:rPr>
        <w:t xml:space="preserve">, </w:t>
      </w:r>
      <w:r>
        <w:rPr>
          <w:rtl w:val="true"/>
        </w:rPr>
        <w:t>שיהיה בו אותו טעם של ההתראה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שיש לדון למה צריך קבלת העונש</w:t>
      </w:r>
      <w:r>
        <w:rPr>
          <w:rtl w:val="true"/>
        </w:rPr>
        <w:t xml:space="preserve">, </w:t>
      </w:r>
      <w:r>
        <w:rPr>
          <w:rtl w:val="true"/>
        </w:rPr>
        <w:t>שאולי אינו משנה את העבירה</w:t>
      </w:r>
      <w:r>
        <w:rPr>
          <w:rtl w:val="true"/>
        </w:rPr>
        <w:t xml:space="preserve">, </w:t>
      </w:r>
      <w:r>
        <w:rPr>
          <w:rtl w:val="true"/>
        </w:rPr>
        <w:t>אלא עושה דבר אחר</w:t>
      </w:r>
      <w:r>
        <w:rPr>
          <w:rtl w:val="true"/>
        </w:rPr>
        <w:t xml:space="preserve">, </w:t>
      </w:r>
      <w:r>
        <w:rPr>
          <w:rtl w:val="true"/>
        </w:rPr>
        <w:t>וידיעתו בשעת עבירה לא שייך</w:t>
      </w:r>
      <w:r>
        <w:rPr>
          <w:rtl w:val="true"/>
        </w:rPr>
        <w:t xml:space="preserve">. </w:t>
      </w:r>
      <w:r>
        <w:rPr>
          <w:rtl w:val="true"/>
        </w:rPr>
        <w:t>ויש לדון בזה</w:t>
      </w:r>
      <w:r>
        <w:rPr>
          <w:rtl w:val="true"/>
        </w:rPr>
        <w:t>.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הוא גם אם יכולים אבל לא מחייבים</w:t>
      </w:r>
      <w:r>
        <w:rPr>
          <w:rtl w:val="true"/>
        </w:rPr>
        <w:t xml:space="preserve">. </w:t>
      </w:r>
      <w:r>
        <w:rPr>
          <w:rtl w:val="true"/>
        </w:rPr>
        <w:t>היה נראה מסברה שלא נחלק</w:t>
      </w:r>
      <w:r>
        <w:rPr>
          <w:rtl w:val="true"/>
        </w:rPr>
        <w:t xml:space="preserve">, </w:t>
      </w:r>
      <w:r>
        <w:rPr>
          <w:rtl w:val="true"/>
        </w:rPr>
        <w:t>אבל מה שמצאנו קרא שאז מחייב כרת</w:t>
      </w:r>
      <w:r>
        <w:rPr>
          <w:rtl w:val="true"/>
        </w:rPr>
        <w:t xml:space="preserve">, </w:t>
      </w:r>
      <w:r>
        <w:rPr>
          <w:rtl w:val="true"/>
        </w:rPr>
        <w:t>ולא מין מיתה בידי שמים זה</w:t>
      </w:r>
      <w:r>
        <w:rPr>
          <w:rtl w:val="true"/>
        </w:rPr>
        <w:t xml:space="preserve">, </w:t>
      </w:r>
      <w:r>
        <w:rPr>
          <w:rtl w:val="true"/>
        </w:rPr>
        <w:t>משמע שיש חילוק</w:t>
      </w:r>
      <w:r>
        <w:rPr>
          <w:rtl w:val="true"/>
        </w:rPr>
        <w:t>.</w:t>
      </w:r>
    </w:p>
  </w:footnote>
  <w:footnote w:id="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הסתימות משמע שהוא מת מיד</w:t>
      </w:r>
      <w:r>
        <w:rPr>
          <w:rtl w:val="true"/>
        </w:rPr>
        <w:t xml:space="preserve">, </w:t>
      </w:r>
      <w:r>
        <w:rPr>
          <w:rtl w:val="true"/>
        </w:rPr>
        <w:t>כמו במיתת בית דין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ע’ בקושיית תוס’ בכתובת </w:t>
      </w:r>
      <w:r>
        <w:rPr>
          <w:rtl w:val="true"/>
        </w:rPr>
        <w:t>(</w:t>
      </w:r>
      <w:r>
        <w:rPr>
          <w:rtl w:val="true"/>
        </w:rPr>
        <w:t>ל</w:t>
      </w:r>
      <w:r>
        <w:rPr>
          <w:rtl w:val="true"/>
        </w:rPr>
        <w:t xml:space="preserve">:), </w:t>
      </w:r>
      <w:r>
        <w:rPr>
          <w:rtl w:val="true"/>
        </w:rPr>
        <w:t>שלשון קושייתו אינו משמע כן</w:t>
      </w:r>
      <w:r>
        <w:rPr>
          <w:rtl w:val="true"/>
        </w:rPr>
        <w:t xml:space="preserve">, </w:t>
      </w:r>
      <w:r>
        <w:rPr>
          <w:rtl w:val="true"/>
        </w:rPr>
        <w:t>אלא שמשמע שבאיזה גיל שהוא ימותו</w:t>
      </w:r>
      <w:r>
        <w:rPr>
          <w:rtl w:val="true"/>
        </w:rPr>
        <w:t xml:space="preserve">. </w:t>
      </w:r>
      <w:r>
        <w:rPr>
          <w:rtl w:val="true"/>
        </w:rPr>
        <w:t xml:space="preserve">גם היה אפשר לומר שהוא בכלל ”מיתה בידי שמים“ שמזכיר גמ’ במ“ק </w:t>
      </w:r>
      <w:r>
        <w:rPr>
          <w:rtl w:val="true"/>
        </w:rPr>
        <w:t>(</w:t>
      </w:r>
      <w:r>
        <w:rPr>
          <w:rtl w:val="true"/>
        </w:rPr>
        <w:t>כח</w:t>
      </w:r>
      <w:r>
        <w:rPr>
          <w:rtl w:val="true"/>
        </w:rPr>
        <w:t xml:space="preserve">.), </w:t>
      </w:r>
      <w:r>
        <w:rPr>
          <w:rtl w:val="true"/>
        </w:rPr>
        <w:t>כמו שנבאר לקמן</w:t>
      </w:r>
      <w:r>
        <w:rPr>
          <w:rtl w:val="true"/>
        </w:rPr>
        <w:t>.</w:t>
      </w:r>
    </w:p>
  </w:footnote>
  <w:footnote w:id="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מכוון לומר אחר שנה חמישית או בתוך שנה חמישית</w:t>
      </w:r>
      <w:r>
        <w:rPr>
          <w:rtl w:val="true"/>
        </w:rPr>
        <w:t xml:space="preserve">. </w:t>
      </w:r>
      <w:r>
        <w:rPr>
          <w:rtl w:val="true"/>
        </w:rPr>
        <w:t>נראה שמגמ’ משמע שהוא אחר שנה חמישית</w:t>
      </w:r>
      <w:r>
        <w:rPr>
          <w:rtl w:val="true"/>
        </w:rPr>
        <w:t xml:space="preserve">, </w:t>
      </w:r>
      <w:r>
        <w:rPr>
          <w:rtl w:val="true"/>
        </w:rPr>
        <w:t>שכן הוא בשאר הדברים שבבריי’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ברור כלל מה כוונת הגמ’ במקור זה</w:t>
      </w:r>
      <w:r>
        <w:rPr>
          <w:rtl w:val="true"/>
        </w:rPr>
        <w:t xml:space="preserve">. </w:t>
      </w:r>
      <w:r>
        <w:rPr>
          <w:rtl w:val="true"/>
        </w:rPr>
        <w:t>ע’ בפני משה</w:t>
      </w:r>
      <w:r>
        <w:rPr>
          <w:rtl w:val="true"/>
        </w:rPr>
        <w:t xml:space="preserve">; </w:t>
      </w:r>
      <w:r>
        <w:rPr>
          <w:rtl w:val="true"/>
        </w:rPr>
        <w:t>וצריך ביאור</w:t>
      </w:r>
      <w:r>
        <w:rPr>
          <w:rtl w:val="true"/>
        </w:rPr>
        <w:t xml:space="preserve">. </w:t>
      </w:r>
      <w:r>
        <w:rPr>
          <w:rtl w:val="true"/>
        </w:rPr>
        <w:t>אולי נראה לומר שלא נהנה ממתנה שנתן לו ה’ של חיים בלי יכולת להיענש</w:t>
      </w:r>
      <w:r>
        <w:rPr>
          <w:rtl w:val="true"/>
        </w:rPr>
        <w:t xml:space="preserve">. </w:t>
      </w:r>
      <w:r>
        <w:rPr>
          <w:rtl w:val="true"/>
        </w:rPr>
        <w:t>זה נקרא כריתות מה’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>.</w:t>
      </w:r>
    </w:p>
  </w:footnote>
  <w:footnote w:id="8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אולי לא כולל אם מת אחר שנת חמישים ושנים </w:t>
      </w:r>
      <w:r>
        <w:rPr>
          <w:rtl w:val="true"/>
        </w:rPr>
        <w:t>(</w:t>
      </w:r>
      <w:r>
        <w:rPr>
          <w:rtl w:val="true"/>
        </w:rPr>
        <w:t>או כל גיל אחר חמישים ושנים</w:t>
      </w:r>
      <w:r>
        <w:rPr>
          <w:rtl w:val="true"/>
        </w:rPr>
        <w:t xml:space="preserve">). </w:t>
      </w:r>
      <w:r>
        <w:rPr>
          <w:rtl w:val="true"/>
        </w:rPr>
        <w:t>בריי’ אומר שזה מיתת שמואל</w:t>
      </w:r>
      <w:r>
        <w:rPr>
          <w:rtl w:val="true"/>
        </w:rPr>
        <w:t xml:space="preserve">; </w:t>
      </w:r>
      <w:r>
        <w:rPr>
          <w:rtl w:val="true"/>
        </w:rPr>
        <w:t>יש לדון אם זה רק מוסיף שאז מת שמואל או שאינו מיתת כרת</w:t>
      </w:r>
      <w:r>
        <w:rPr>
          <w:rtl w:val="true"/>
        </w:rPr>
        <w:t xml:space="preserve">. </w:t>
      </w:r>
      <w:r>
        <w:rPr>
          <w:rtl w:val="true"/>
        </w:rPr>
        <w:t>לשני</w:t>
      </w:r>
      <w:r>
        <w:rPr>
          <w:rtl w:val="true"/>
        </w:rPr>
        <w:t xml:space="preserve">, </w:t>
      </w:r>
      <w:r>
        <w:rPr>
          <w:rtl w:val="true"/>
        </w:rPr>
        <w:t>צ“ב ל</w:t>
      </w:r>
      <w:r>
        <w:rPr>
          <w:rtl w:val="true"/>
        </w:rPr>
        <w:t>"</w:t>
      </w:r>
      <w:r>
        <w:rPr>
          <w:rtl w:val="true"/>
        </w:rPr>
        <w:t>ל יהיה כרת מחייב אותו</w:t>
      </w:r>
      <w:r>
        <w:rPr>
          <w:rtl w:val="true"/>
        </w:rPr>
        <w:t xml:space="preserve">. </w:t>
      </w:r>
      <w:r>
        <w:rPr>
          <w:rtl w:val="true"/>
        </w:rPr>
        <w:t>אולי מיתת שמואל הוא סיבה</w:t>
      </w:r>
      <w:r>
        <w:rPr>
          <w:rtl w:val="true"/>
        </w:rPr>
        <w:t xml:space="preserve">, </w:t>
      </w:r>
      <w:r>
        <w:rPr>
          <w:rtl w:val="true"/>
        </w:rPr>
        <w:t>שאם ימותו בנ“א החייבים כרת אז</w:t>
      </w:r>
      <w:r>
        <w:rPr>
          <w:rtl w:val="true"/>
        </w:rPr>
        <w:t xml:space="preserve">, </w:t>
      </w:r>
      <w:r>
        <w:rPr>
          <w:rtl w:val="true"/>
        </w:rPr>
        <w:t>ירננו בנ“א אחר שמואל</w:t>
      </w:r>
      <w:r>
        <w:rPr>
          <w:rtl w:val="true"/>
        </w:rPr>
        <w:t xml:space="preserve">, </w:t>
      </w:r>
      <w:r>
        <w:rPr>
          <w:rtl w:val="true"/>
        </w:rPr>
        <w:t xml:space="preserve">כמו שכ’ בגמ’ תענית </w:t>
      </w:r>
      <w:r>
        <w:rPr>
          <w:rtl w:val="true"/>
        </w:rPr>
        <w:t>(</w:t>
      </w:r>
      <w:r>
        <w:rPr>
          <w:rtl w:val="true"/>
        </w:rPr>
        <w:t>ה</w:t>
      </w:r>
      <w:r>
        <w:rPr>
          <w:rtl w:val="true"/>
        </w:rPr>
        <w:t>:).</w:t>
      </w:r>
    </w:p>
  </w:footnote>
  <w:footnote w:id="9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יוצא שיש דרך אחר שאין כל כרת שווה</w:t>
      </w:r>
      <w:r>
        <w:rPr>
          <w:rtl w:val="true"/>
        </w:rPr>
        <w:t xml:space="preserve">- </w:t>
      </w:r>
      <w:r>
        <w:rPr>
          <w:rtl w:val="true"/>
        </w:rPr>
        <w:t>לא רק מתי מת</w:t>
      </w:r>
      <w:r>
        <w:rPr>
          <w:rtl w:val="true"/>
        </w:rPr>
        <w:t xml:space="preserve">, </w:t>
      </w:r>
      <w:r>
        <w:rPr>
          <w:rtl w:val="true"/>
        </w:rPr>
        <w:t>אלא גם איך מת</w:t>
      </w:r>
      <w:r>
        <w:rPr>
          <w:rtl w:val="true"/>
        </w:rPr>
        <w:t>.</w:t>
      </w:r>
    </w:p>
  </w:footnote>
  <w:footnote w:id="10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ימותו בנים קטנים אם יש גדולים</w:t>
      </w:r>
      <w:r>
        <w:rPr>
          <w:rtl w:val="true"/>
        </w:rPr>
        <w:t xml:space="preserve">, </w:t>
      </w:r>
      <w:r>
        <w:rPr>
          <w:rtl w:val="true"/>
        </w:rPr>
        <w:t>שאולי רק נענשים כלל אם יש תוצאה שאין לו בנים</w:t>
      </w:r>
      <w:r>
        <w:rPr>
          <w:rtl w:val="true"/>
        </w:rPr>
        <w:t xml:space="preserve">. </w:t>
      </w:r>
      <w:r>
        <w:rPr>
          <w:rtl w:val="true"/>
        </w:rPr>
        <w:t xml:space="preserve">וע’ בלשון תוס’ בשבת </w:t>
      </w:r>
      <w:r>
        <w:rPr>
          <w:rtl w:val="true"/>
        </w:rPr>
        <w:t>(</w:t>
      </w:r>
      <w:r>
        <w:rPr>
          <w:rtl w:val="true"/>
        </w:rPr>
        <w:t>כה</w:t>
      </w:r>
      <w:r>
        <w:rPr>
          <w:rtl w:val="true"/>
        </w:rPr>
        <w:t xml:space="preserve">.), </w:t>
      </w:r>
      <w:r>
        <w:rPr>
          <w:rtl w:val="true"/>
        </w:rPr>
        <w:t>שמשמע ששם ימותו הקטנים</w:t>
      </w:r>
      <w:r>
        <w:rPr>
          <w:rtl w:val="true"/>
        </w:rPr>
        <w:t>.</w:t>
      </w:r>
    </w:p>
  </w:footnote>
  <w:footnote w:id="11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ביאור איך לומד מזה לשאר חייבי כרת</w:t>
      </w:r>
      <w:r>
        <w:rPr>
          <w:rtl w:val="true"/>
        </w:rPr>
        <w:t xml:space="preserve">. </w:t>
      </w:r>
      <w:r>
        <w:rPr>
          <w:rtl w:val="true"/>
        </w:rPr>
        <w:t>צריך לומר שמפרש שקרא מסביר חיוב כרת</w:t>
      </w:r>
      <w:r>
        <w:rPr>
          <w:rtl w:val="true"/>
        </w:rPr>
        <w:t xml:space="preserve">, </w:t>
      </w:r>
      <w:r>
        <w:rPr>
          <w:rtl w:val="true"/>
        </w:rPr>
        <w:t>ולא מוסיף חיוב</w:t>
      </w:r>
      <w:r>
        <w:rPr>
          <w:rtl w:val="true"/>
        </w:rPr>
        <w:t>. (</w:t>
      </w:r>
      <w:r>
        <w:rPr>
          <w:rtl w:val="true"/>
        </w:rPr>
        <w:t>אולי מניח כן כיון שלא מצוי שיש שני עונשים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נאמר שזה חלק מכרת</w:t>
      </w:r>
      <w:r>
        <w:rPr>
          <w:rtl w:val="true"/>
        </w:rPr>
        <w:t xml:space="preserve">, </w:t>
      </w:r>
      <w:r>
        <w:rPr>
          <w:rtl w:val="true"/>
        </w:rPr>
        <w:t>יש לומר שאינו נחשב שני עונשים</w:t>
      </w:r>
      <w:r>
        <w:rPr>
          <w:rtl w:val="true"/>
        </w:rPr>
        <w:t xml:space="preserve">. </w:t>
      </w:r>
      <w:r>
        <w:rPr>
          <w:rtl w:val="true"/>
        </w:rPr>
        <w:t>עדיין צריך ביאור איך לא נחשב שני עונשים</w:t>
      </w:r>
      <w:r>
        <w:rPr>
          <w:rtl w:val="true"/>
        </w:rPr>
        <w:t>.)</w:t>
      </w:r>
    </w:p>
  </w:footnote>
  <w:footnote w:id="1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שם הוא חלק מן הכרת</w:t>
      </w:r>
      <w:r>
        <w:rPr>
          <w:rtl w:val="true"/>
        </w:rPr>
        <w:t xml:space="preserve">- </w:t>
      </w:r>
      <w:r>
        <w:rPr>
          <w:rtl w:val="true"/>
        </w:rPr>
        <w:t>הכרת חלוק</w:t>
      </w:r>
      <w:r>
        <w:rPr>
          <w:rtl w:val="true"/>
        </w:rPr>
        <w:t xml:space="preserve">- </w:t>
      </w:r>
      <w:r>
        <w:rPr>
          <w:rtl w:val="true"/>
        </w:rPr>
        <w:t>או ששם יש שני עונשים</w:t>
      </w:r>
      <w:r>
        <w:rPr>
          <w:rtl w:val="true"/>
        </w:rPr>
        <w:t xml:space="preserve">, </w:t>
      </w:r>
      <w:r>
        <w:rPr>
          <w:rtl w:val="true"/>
        </w:rPr>
        <w:t>כרת וערירי</w:t>
      </w:r>
      <w:r>
        <w:rPr>
          <w:rtl w:val="true"/>
        </w:rPr>
        <w:t>.</w:t>
      </w:r>
    </w:p>
  </w:footnote>
  <w:footnote w:id="1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על לשון כריתות</w:t>
      </w:r>
      <w:r>
        <w:rPr>
          <w:rtl w:val="true"/>
        </w:rPr>
        <w:t xml:space="preserve">, </w:t>
      </w:r>
      <w:r>
        <w:rPr>
          <w:rtl w:val="true"/>
        </w:rPr>
        <w:t>שצריך לבאר ממה הוא נכרת</w:t>
      </w:r>
      <w:r>
        <w:rPr>
          <w:rtl w:val="true"/>
        </w:rPr>
        <w:t xml:space="preserve">. </w:t>
      </w:r>
      <w:r>
        <w:rPr>
          <w:rtl w:val="true"/>
        </w:rPr>
        <w:t>לרש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יש לומר שהוא נכרת מזרע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אף רש</w:t>
      </w:r>
      <w:r>
        <w:rPr>
          <w:rtl w:val="true"/>
        </w:rPr>
        <w:t>"</w:t>
      </w:r>
      <w:r>
        <w:rPr>
          <w:rtl w:val="true"/>
        </w:rPr>
        <w:t>י לא לומד משם</w:t>
      </w:r>
      <w:r>
        <w:rPr>
          <w:rtl w:val="true"/>
        </w:rPr>
        <w:t xml:space="preserve">, </w:t>
      </w:r>
      <w:r>
        <w:rPr>
          <w:rtl w:val="true"/>
        </w:rPr>
        <w:t>ואז צריך לומר שאינו מוכרח כן</w:t>
      </w:r>
      <w:r>
        <w:rPr>
          <w:rtl w:val="true"/>
        </w:rPr>
        <w:t xml:space="preserve">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יש לומר שהוא נכרת משאר בני ישראל </w:t>
      </w:r>
      <w:r>
        <w:rPr>
          <w:rtl w:val="true"/>
        </w:rPr>
        <w:t>(</w:t>
      </w:r>
      <w:r>
        <w:rPr>
          <w:rtl w:val="true"/>
        </w:rPr>
        <w:t>כן משמע לשון הקרא</w:t>
      </w:r>
      <w:r>
        <w:rPr>
          <w:rtl w:val="true"/>
        </w:rPr>
        <w:t xml:space="preserve">) </w:t>
      </w:r>
      <w:r>
        <w:rPr>
          <w:rtl w:val="true"/>
        </w:rPr>
        <w:t>או שהוא נכרת מה’</w:t>
      </w:r>
      <w:r>
        <w:rPr>
          <w:rtl w:val="true"/>
        </w:rPr>
        <w:t xml:space="preserve">. </w:t>
      </w:r>
      <w:r>
        <w:rPr>
          <w:rtl w:val="true"/>
        </w:rPr>
        <w:t>יש להעיר שאם נאמר כן</w:t>
      </w:r>
      <w:r>
        <w:rPr>
          <w:rtl w:val="true"/>
        </w:rPr>
        <w:t xml:space="preserve">, </w:t>
      </w:r>
      <w:r>
        <w:rPr>
          <w:rtl w:val="true"/>
        </w:rPr>
        <w:t>יש לומר ששניהם הם תוצאות של דבר אחד</w:t>
      </w:r>
      <w:r>
        <w:rPr>
          <w:rtl w:val="true"/>
        </w:rPr>
        <w:t xml:space="preserve">. </w:t>
      </w:r>
      <w:r>
        <w:rPr>
          <w:rtl w:val="true"/>
        </w:rPr>
        <w:t xml:space="preserve">יש לדון איזה </w:t>
      </w:r>
      <w:r>
        <w:rPr>
          <w:rtl w:val="true"/>
        </w:rPr>
        <w:t>(</w:t>
      </w:r>
      <w:r>
        <w:rPr>
          <w:rtl w:val="true"/>
        </w:rPr>
        <w:t>אותו דבר אחד או שני תוצאות אלו</w:t>
      </w:r>
      <w:r>
        <w:rPr>
          <w:rtl w:val="true"/>
        </w:rPr>
        <w:t xml:space="preserve">) </w:t>
      </w:r>
      <w:r>
        <w:rPr>
          <w:rtl w:val="true"/>
        </w:rPr>
        <w:t>הם עיקר העונש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בסוף זה</w:t>
      </w:r>
      <w:r>
        <w:rPr>
          <w:rtl w:val="true"/>
        </w:rPr>
        <w:t xml:space="preserve">, </w:t>
      </w:r>
      <w:r>
        <w:rPr>
          <w:rtl w:val="true"/>
        </w:rPr>
        <w:t>בע“ה</w:t>
      </w:r>
      <w:r>
        <w:rPr>
          <w:rtl w:val="true"/>
        </w:rPr>
        <w:t>.</w:t>
      </w:r>
    </w:p>
  </w:footnote>
  <w:footnote w:id="1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לדון אם מה שלא צריך התראה כדי לחייב הוא מפני איזה חילוק שיש בין כרת או מיתה </w:t>
      </w:r>
      <w:r>
        <w:rPr>
          <w:rtl w:val="true"/>
        </w:rPr>
        <w:t>(</w:t>
      </w:r>
      <w:r>
        <w:rPr>
          <w:rtl w:val="true"/>
        </w:rPr>
        <w:t>או עבירה שמחיי’ כרת לעבירה שמחיי’ מיתה</w:t>
      </w:r>
      <w:r>
        <w:rPr>
          <w:rtl w:val="true"/>
        </w:rPr>
        <w:t xml:space="preserve">) </w:t>
      </w:r>
      <w:r>
        <w:rPr>
          <w:rtl w:val="true"/>
        </w:rPr>
        <w:t>או מחמת חילוק בין מי מענש כרת ומי מענש מיתה</w:t>
      </w:r>
      <w:r>
        <w:rPr>
          <w:rtl w:val="true"/>
        </w:rPr>
        <w:t>.</w:t>
      </w:r>
    </w:p>
  </w:footnote>
  <w:footnote w:id="1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עיין שם</w:t>
      </w:r>
      <w:r>
        <w:rPr>
          <w:rtl w:val="true"/>
        </w:rPr>
        <w:t xml:space="preserve">, </w:t>
      </w:r>
      <w:r>
        <w:rPr>
          <w:rtl w:val="true"/>
        </w:rPr>
        <w:t>שנראה שהוא ראיה נגד 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במה שסובר שמת ערירי</w:t>
      </w:r>
      <w:r>
        <w:rPr>
          <w:rtl w:val="true"/>
        </w:rPr>
        <w:t xml:space="preserve">), </w:t>
      </w:r>
      <w:r>
        <w:rPr>
          <w:rtl w:val="true"/>
        </w:rPr>
        <w:t>ששם פוסק כמי שאומר שנפטר מכרת</w:t>
      </w:r>
      <w:r>
        <w:rPr>
          <w:rtl w:val="true"/>
        </w:rPr>
        <w:t xml:space="preserve">, </w:t>
      </w:r>
      <w:r>
        <w:rPr>
          <w:rtl w:val="true"/>
        </w:rPr>
        <w:t>ומקשה איך נדע</w:t>
      </w:r>
      <w:r>
        <w:rPr>
          <w:rtl w:val="true"/>
        </w:rPr>
        <w:t xml:space="preserve">.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שאולי נדע ממה שלא מתו בניו</w:t>
      </w:r>
      <w:r>
        <w:rPr>
          <w:rtl w:val="true"/>
        </w:rPr>
        <w:t xml:space="preserve">. </w:t>
      </w:r>
      <w:r>
        <w:rPr>
          <w:rtl w:val="true"/>
        </w:rPr>
        <w:t>ויש לדחות שאולי שב</w:t>
      </w:r>
      <w:r>
        <w:rPr>
          <w:rtl w:val="true"/>
        </w:rPr>
        <w:t xml:space="preserve">, </w:t>
      </w:r>
      <w:r>
        <w:rPr>
          <w:rtl w:val="true"/>
        </w:rPr>
        <w:t>אף כשלא נראה ששב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יש לודן למה זה לא יהיה סמך די לפסוק שפוטר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זה כל כך קשה</w:t>
      </w:r>
      <w:r>
        <w:rPr>
          <w:rtl w:val="true"/>
        </w:rPr>
        <w:t xml:space="preserve">, </w:t>
      </w:r>
      <w:r>
        <w:rPr>
          <w:rtl w:val="true"/>
        </w:rPr>
        <w:t>שאולי לא בא להשמיענו שום דין</w:t>
      </w:r>
      <w:r>
        <w:rPr>
          <w:rtl w:val="true"/>
        </w:rPr>
        <w:t>.</w:t>
      </w:r>
    </w:p>
  </w:footnote>
  <w:footnote w:id="18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אי“ז מוכרח</w:t>
      </w:r>
      <w:r>
        <w:rPr>
          <w:rtl w:val="true"/>
        </w:rPr>
        <w:t xml:space="preserve">, </w:t>
      </w:r>
      <w:r>
        <w:rPr>
          <w:rtl w:val="true"/>
        </w:rPr>
        <w:t>שיש לומר שרצה לומר שאין כרת אחר חמישים ושנים</w:t>
      </w:r>
      <w:r>
        <w:rPr>
          <w:rtl w:val="true"/>
        </w:rPr>
        <w:t xml:space="preserve">, </w:t>
      </w:r>
      <w:r>
        <w:rPr>
          <w:rtl w:val="true"/>
        </w:rPr>
        <w:t>כדי שאין חיובי כרת חיים יותר משמואל</w:t>
      </w:r>
      <w:r>
        <w:rPr>
          <w:rtl w:val="true"/>
        </w:rPr>
        <w:t>.</w:t>
      </w:r>
    </w:p>
  </w:footnote>
  <w:footnote w:id="19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בקט</w:t>
      </w:r>
      <w:r>
        <w:rPr>
          <w:rtl w:val="true"/>
        </w:rPr>
        <w:t xml:space="preserve">:. </w:t>
      </w:r>
      <w:r>
        <w:rPr>
          <w:rtl w:val="true"/>
        </w:rPr>
        <w:t>ואולי יש לדחות שאותו גמרא רק מכוון לומר שלא היה לו לומר</w:t>
      </w:r>
      <w:r>
        <w:rPr>
          <w:rtl w:val="true"/>
        </w:rPr>
        <w:t>, “</w:t>
      </w:r>
      <w:r>
        <w:rPr>
          <w:rtl w:val="true"/>
        </w:rPr>
        <w:t>אם שב…</w:t>
      </w:r>
      <w:r>
        <w:rPr>
          <w:rtl w:val="true"/>
        </w:rPr>
        <w:t xml:space="preserve">, “ </w:t>
      </w:r>
      <w:r>
        <w:rPr>
          <w:rtl w:val="true"/>
        </w:rPr>
        <w:t>אלא היה לו להניח שישוב כפשטות</w:t>
      </w:r>
      <w:r>
        <w:rPr>
          <w:rtl w:val="true"/>
        </w:rPr>
        <w:t xml:space="preserve">, </w:t>
      </w:r>
      <w:r>
        <w:rPr>
          <w:rtl w:val="true"/>
        </w:rPr>
        <w:t>שרוב שוגגים מכפרים</w:t>
      </w:r>
      <w:r>
        <w:rPr>
          <w:rtl w:val="true"/>
        </w:rPr>
        <w:t xml:space="preserve">, </w:t>
      </w:r>
      <w:r>
        <w:rPr>
          <w:rtl w:val="true"/>
        </w:rPr>
        <w:t>ועומד לשוב</w:t>
      </w:r>
      <w:r>
        <w:rPr>
          <w:rtl w:val="true"/>
        </w:rPr>
        <w:t xml:space="preserve">, </w:t>
      </w:r>
      <w:r>
        <w:rPr>
          <w:rtl w:val="true"/>
        </w:rPr>
        <w:t>והיה לו לומר</w:t>
      </w:r>
      <w:r>
        <w:rPr>
          <w:rtl w:val="true"/>
        </w:rPr>
        <w:t>, “</w:t>
      </w:r>
      <w:r>
        <w:rPr>
          <w:rtl w:val="true"/>
        </w:rPr>
        <w:t>אם לא שב…</w:t>
      </w:r>
      <w:r>
        <w:rPr>
          <w:rtl w:val="true"/>
        </w:rPr>
        <w:t xml:space="preserve">.”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אין להביא ראיה מאותו גמרא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</w:footnote>
  <w:footnote w:id="20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ולכאורה</w:t>
      </w:r>
      <w:r>
        <w:rPr>
          <w:rtl w:val="true"/>
        </w:rPr>
        <w:t xml:space="preserve">, </w:t>
      </w:r>
      <w:r>
        <w:rPr>
          <w:rtl w:val="true"/>
        </w:rPr>
        <w:t>יהיה אפשר בכל צד</w:t>
      </w:r>
      <w:r>
        <w:rPr>
          <w:rtl w:val="true"/>
        </w:rPr>
        <w:t xml:space="preserve">, </w:t>
      </w:r>
      <w:r>
        <w:rPr>
          <w:rtl w:val="true"/>
        </w:rPr>
        <w:t>שאולי כמו שכרת עושה שום סיבה</w:t>
      </w:r>
      <w:r>
        <w:rPr>
          <w:rtl w:val="true"/>
        </w:rPr>
        <w:t xml:space="preserve">, </w:t>
      </w:r>
      <w:r>
        <w:rPr>
          <w:rtl w:val="true"/>
        </w:rPr>
        <w:t>אולי אף עונש אחר עושה סיבה כזה</w:t>
      </w:r>
      <w:r>
        <w:rPr>
          <w:rtl w:val="true"/>
        </w:rPr>
        <w:t xml:space="preserve">, </w:t>
      </w:r>
      <w:r>
        <w:rPr>
          <w:rtl w:val="true"/>
        </w:rPr>
        <w:t>וחיוב סקילה מוסיף סיבה הכי גדולה לחטאת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1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כמובן</w:t>
      </w:r>
      <w:r>
        <w:rPr>
          <w:rtl w:val="true"/>
        </w:rPr>
        <w:t xml:space="preserve">, </w:t>
      </w:r>
      <w:r>
        <w:rPr>
          <w:rtl w:val="true"/>
        </w:rPr>
        <w:t>לזה יהיה כל דין כרת יוצא מן הכלל של מה שאדם חייב רק עונש אחד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יש להביא ראיה ממה שאינו חייב כרת אם שב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כבר קבל כרת</w:t>
      </w:r>
      <w:r>
        <w:rPr>
          <w:rtl w:val="true"/>
        </w:rPr>
        <w:t xml:space="preserve">. </w:t>
      </w:r>
      <w:r>
        <w:rPr>
          <w:rtl w:val="true"/>
        </w:rPr>
        <w:t>ויש לומר שאין הכי נמי</w:t>
      </w:r>
      <w:r>
        <w:rPr>
          <w:rtl w:val="true"/>
        </w:rPr>
        <w:t xml:space="preserve">, </w:t>
      </w:r>
      <w:r>
        <w:rPr>
          <w:rtl w:val="true"/>
        </w:rPr>
        <w:t>ורק פוטר אותו מכאן ולהבא</w:t>
      </w:r>
      <w:r>
        <w:rPr>
          <w:rtl w:val="true"/>
        </w:rPr>
        <w:t xml:space="preserve">. </w:t>
      </w:r>
      <w:r>
        <w:rPr>
          <w:rtl w:val="true"/>
        </w:rPr>
        <w:t>יותר נראה לומר שחוזר למפרע קירבת ה’ לו</w:t>
      </w:r>
      <w:r>
        <w:rPr>
          <w:rtl w:val="true"/>
        </w:rPr>
        <w:t xml:space="preserve">. </w:t>
      </w:r>
      <w:r>
        <w:rPr>
          <w:rtl w:val="true"/>
        </w:rPr>
        <w:t>וזה קשה להבין</w:t>
      </w:r>
      <w:r>
        <w:rPr>
          <w:rtl w:val="true"/>
        </w:rPr>
        <w:t xml:space="preserve">, </w:t>
      </w:r>
      <w:r>
        <w:rPr>
          <w:rtl w:val="true"/>
        </w:rPr>
        <w:t>אלא שהוא כמו מה שאומר גמרא שחטאותיו נהפכים לזכויות למפרע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</w:t>
      </w:r>
      <w:r>
        <w:rPr>
          <w:rtl w:val="true"/>
        </w:rPr>
        <w:t xml:space="preserve">, </w:t>
      </w:r>
      <w:r>
        <w:rPr>
          <w:rtl w:val="true"/>
        </w:rPr>
        <w:t>הוא גופא</w:t>
      </w:r>
      <w:r>
        <w:rPr>
          <w:rtl w:val="true"/>
        </w:rPr>
        <w:t xml:space="preserve">- </w:t>
      </w:r>
      <w:r>
        <w:rPr>
          <w:rtl w:val="true"/>
        </w:rPr>
        <w:t>מה שרש</w:t>
      </w:r>
      <w:r>
        <w:rPr>
          <w:rtl w:val="true"/>
        </w:rPr>
        <w:t>"</w:t>
      </w:r>
      <w:r>
        <w:rPr>
          <w:rtl w:val="true"/>
        </w:rPr>
        <w:t>י מניח כן במשנה</w:t>
      </w:r>
      <w:r>
        <w:rPr>
          <w:rtl w:val="true"/>
        </w:rPr>
        <w:t xml:space="preserve">- </w:t>
      </w:r>
      <w:r>
        <w:rPr>
          <w:rtl w:val="true"/>
        </w:rPr>
        <w:t>צריך ביאור</w:t>
      </w:r>
      <w:r>
        <w:rPr>
          <w:rtl w:val="true"/>
        </w:rPr>
        <w:t>.</w:t>
      </w:r>
    </w:p>
  </w:footnote>
  <w:footnote w:id="2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רצה לומר</w:t>
      </w:r>
      <w:r>
        <w:rPr>
          <w:rtl w:val="true"/>
        </w:rPr>
        <w:t xml:space="preserve">, </w:t>
      </w:r>
      <w:r>
        <w:rPr>
          <w:rtl w:val="true"/>
        </w:rPr>
        <w:t>ואז יש סיבה חוץ מטובתו</w:t>
      </w:r>
      <w:r>
        <w:rPr>
          <w:rtl w:val="true"/>
        </w:rPr>
        <w:t xml:space="preserve">., </w:t>
      </w:r>
      <w:r>
        <w:rPr>
          <w:rtl w:val="true"/>
        </w:rPr>
        <w:t>ואז הוא כשאר ציורים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5">
    <w:p>
      <w:pPr>
        <w:pStyle w:val="Footnote"/>
        <w:bidi w:val="1"/>
        <w:rPr/>
      </w:pPr>
      <w:r>
        <w:rPr>
          <w:rStyle w:val="FootnoteCharacters"/>
        </w:rPr>
        <w:footnoteRef/>
      </w:r>
      <w:r>
        <w:rPr>
          <w:rtl w:val="true"/>
        </w:rPr>
        <w:tab/>
        <w:t>כוונתי לומר שיש לדון אם יש סיבה שאותו אדם יכופר או שאותו עבירה יכופר</w:t>
      </w:r>
      <w:r>
        <w:rPr>
          <w:rtl w:val="true"/>
        </w:rPr>
        <w:t xml:space="preserve">. </w:t>
      </w:r>
      <w:r>
        <w:rPr>
          <w:rtl w:val="true"/>
        </w:rPr>
        <w:t>לראשון</w:t>
      </w:r>
      <w:r>
        <w:rPr>
          <w:rtl w:val="true"/>
        </w:rPr>
        <w:t xml:space="preserve">, </w:t>
      </w:r>
      <w:r>
        <w:rPr>
          <w:rtl w:val="true"/>
        </w:rPr>
        <w:t>יהיה נמצא שצריך קרבן אחד על חטאות הרבה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יש סיבה לשנות את האדם בכפרה זה רק קצת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bidi w:val="1"/>
        <w:rPr/>
      </w:pPr>
      <w:r>
        <w:rPr>
          <w:rtl w:val="true"/>
        </w:rPr>
        <w:tab/>
      </w:r>
      <w:r>
        <w:rPr>
          <w:rtl w:val="true"/>
        </w:rPr>
        <w:t>נראה שגם יש לדון איך מכפר</w:t>
      </w:r>
      <w:r>
        <w:rPr>
          <w:rtl w:val="true"/>
        </w:rPr>
        <w:t xml:space="preserve">, </w:t>
      </w:r>
      <w:r>
        <w:rPr>
          <w:rtl w:val="true"/>
        </w:rPr>
        <w:t>אם משנה את האדם</w:t>
      </w:r>
      <w:r>
        <w:rPr>
          <w:rtl w:val="true"/>
        </w:rPr>
        <w:t xml:space="preserve">, </w:t>
      </w:r>
      <w:r>
        <w:rPr>
          <w:rtl w:val="true"/>
        </w:rPr>
        <w:t>וממילא אינו מיוחס לאותו עבירה</w:t>
      </w:r>
      <w:r>
        <w:rPr>
          <w:rtl w:val="true"/>
        </w:rPr>
        <w:t xml:space="preserve">, </w:t>
      </w:r>
      <w:r>
        <w:rPr>
          <w:rtl w:val="true"/>
        </w:rPr>
        <w:t>שהרי הוא אדם חלוק</w:t>
      </w:r>
      <w:r>
        <w:rPr>
          <w:rtl w:val="true"/>
        </w:rPr>
        <w:t xml:space="preserve">, </w:t>
      </w:r>
      <w:r>
        <w:rPr>
          <w:rtl w:val="true"/>
        </w:rPr>
        <w:t>או שמשנה את העבירה</w:t>
      </w:r>
      <w:r>
        <w:rPr>
          <w:rtl w:val="true"/>
        </w:rPr>
        <w:t xml:space="preserve">, </w:t>
      </w:r>
      <w:r>
        <w:rPr>
          <w:rtl w:val="true"/>
        </w:rPr>
        <w:t>ואז אינו רע</w:t>
      </w:r>
      <w:r>
        <w:rPr>
          <w:rtl w:val="true"/>
        </w:rPr>
        <w:t xml:space="preserve">, </w:t>
      </w:r>
      <w:r>
        <w:rPr>
          <w:rtl w:val="true"/>
        </w:rPr>
        <w:t>או שאינו מיוחס להאדם</w:t>
      </w:r>
      <w:r>
        <w:rPr>
          <w:rtl w:val="true"/>
        </w:rPr>
        <w:t xml:space="preserve">. </w:t>
      </w:r>
      <w:r>
        <w:rPr>
          <w:rtl w:val="true"/>
        </w:rPr>
        <w:t>לצד ראשון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יעשה שאינו מיוחס לשום אחד מעוונותיו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 xml:space="preserve">פשוט שאין מי שמקריב קרבן נמחל על כל עוונותיו </w:t>
      </w:r>
      <w:r>
        <w:rPr>
          <w:rtl w:val="true"/>
        </w:rPr>
        <w:t>(</w:t>
      </w:r>
      <w:r>
        <w:rPr>
          <w:rtl w:val="true"/>
        </w:rPr>
        <w:t>שהרי צריך גמרא לדון למה אינו רק באחותו</w:t>
      </w:r>
      <w:r>
        <w:rPr>
          <w:rtl w:val="true"/>
        </w:rPr>
        <w:t xml:space="preserve">). </w:t>
      </w:r>
      <w:r>
        <w:rPr>
          <w:rtl w:val="true"/>
        </w:rPr>
        <w:t>ותח’</w:t>
      </w:r>
      <w:r>
        <w:rPr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tl w:val="true"/>
      </w:rPr>
      <w:t>מיתות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right"/>
      <w:pPr>
        <w:tabs>
          <w:tab w:val="num" w:pos="796"/>
        </w:tabs>
        <w:ind w:left="79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156"/>
        </w:tabs>
        <w:ind w:left="115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516"/>
        </w:tabs>
        <w:ind w:left="151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76"/>
        </w:tabs>
        <w:ind w:left="187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236"/>
        </w:tabs>
        <w:ind w:left="223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96"/>
        </w:tabs>
        <w:ind w:left="259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956"/>
        </w:tabs>
        <w:ind w:left="295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316"/>
        </w:tabs>
        <w:ind w:left="331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76"/>
        </w:tabs>
        <w:ind w:left="3676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1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2"/>
      <w:szCs w:val="22"/>
      <w:lang w:val="en-US" w:eastAsia="zh-CN" w:bidi="he-IL"/>
    </w:rPr>
  </w:style>
  <w:style w:type="character" w:styleId="LineNumbering">
    <w:name w:val="Line Number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Anchor">
    <w:name w:val="Endnote Reference"/>
    <w:rPr>
      <w:vertAlign w:val="superscript"/>
    </w:rPr>
  </w:style>
  <w:style w:type="character" w:styleId="FooterChar">
    <w:name w:val="Footer Char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BodyTextChar">
    <w:name w:val="Body Text Char"/>
    <w:qFormat/>
    <w:rPr>
      <w:rFonts w:ascii="Calibri" w:hAnsi="Calibri" w:eastAsia="Calibri" w:cs="Times New Roman"/>
      <w:color w:val="000000"/>
      <w:sz w:val="22"/>
    </w:rPr>
  </w:style>
  <w:style w:type="character" w:styleId="Comment">
    <w:name w:val="Comment"/>
    <w:qFormat/>
    <w:rPr>
      <w:vanish/>
    </w:rPr>
  </w:style>
  <w:style w:type="character" w:styleId="HTMLMarkup">
    <w:name w:val="HTML Markup"/>
    <w:qFormat/>
    <w:rPr>
      <w:vanish/>
      <w:color w:val="FF0000"/>
    </w:rPr>
  </w:style>
  <w:style w:type="character" w:styleId="Typewriter">
    <w:name w:val="Typewriter"/>
    <w:qFormat/>
    <w:rPr>
      <w:rFonts w:ascii="Courier New" w:hAnsi="Courier New"/>
      <w:sz w:val="20"/>
    </w:rPr>
  </w:style>
  <w:style w:type="character" w:styleId="Sample">
    <w:name w:val="Sample"/>
    <w:qFormat/>
    <w:rPr>
      <w:rFonts w:ascii="Courier New" w:hAnsi="Courier New"/>
    </w:rPr>
  </w:style>
  <w:style w:type="character" w:styleId="Keyboard">
    <w:name w:val="Keyboard"/>
    <w:qFormat/>
    <w:rPr>
      <w:rFonts w:ascii="Courier New" w:hAnsi="Courier New"/>
      <w:b/>
      <w:sz w:val="20"/>
    </w:rPr>
  </w:style>
  <w:style w:type="character" w:styleId="CODE">
    <w:name w:val="CODE"/>
    <w:qFormat/>
    <w:rPr>
      <w:rFonts w:ascii="Courier New" w:hAnsi="Courier New"/>
      <w:sz w:val="20"/>
    </w:rPr>
  </w:style>
  <w:style w:type="character" w:styleId="CITE">
    <w:name w:val="CITE"/>
    <w:qFormat/>
    <w:rPr>
      <w:i/>
    </w:rPr>
  </w:style>
  <w:style w:type="character" w:styleId="Style14">
    <w:name w:val="סמלי מספור"/>
    <w:qFormat/>
    <w:rPr/>
  </w:style>
  <w:style w:type="character" w:styleId="Strong">
    <w:name w:val="Strong"/>
    <w:qFormat/>
    <w:rPr>
      <w:b/>
    </w:rPr>
  </w:style>
  <w:style w:type="character" w:styleId="Style15">
    <w:name w:val="תווי הערת שוליים"/>
    <w:qFormat/>
    <w:rPr>
      <w:vertAlign w:val="superscript"/>
    </w:rPr>
  </w:style>
  <w:style w:type="character" w:styleId="Style16">
    <w:name w:val="תווי הערת סיום"/>
    <w:qFormat/>
    <w:rPr>
      <w:vertAlign w:val="superscript"/>
    </w:rPr>
  </w:style>
  <w:style w:type="character" w:styleId="Heading9Char">
    <w:name w:val="Heading 9 Char"/>
    <w:qFormat/>
    <w:rPr>
      <w:rFonts w:ascii="Calibri Light" w:hAnsi="Calibri Light" w:eastAsia="等线 Light" w:cs="Noto Rashi Hebrew Light"/>
      <w:bCs/>
      <w:i/>
      <w:color w:val="000000"/>
      <w:sz w:val="21"/>
      <w:szCs w:val="20"/>
    </w:rPr>
  </w:style>
  <w:style w:type="character" w:styleId="Heading5Char">
    <w:name w:val="Heading 5 Char"/>
    <w:qFormat/>
    <w:rPr>
      <w:rFonts w:ascii="Calibri Light" w:hAnsi="Calibri Light" w:eastAsia="SimSun" w:cs="DengXian Light"/>
      <w:color w:val="2F5496"/>
      <w:sz w:val="24"/>
      <w:szCs w:val="24"/>
    </w:rPr>
  </w:style>
  <w:style w:type="character" w:styleId="Heading4Char">
    <w:name w:val="Heading 4 Char"/>
    <w:qFormat/>
    <w:rPr>
      <w:rFonts w:ascii="Calibri Light" w:hAnsi="Calibri Light" w:eastAsia="SimSun" w:cs="DengXian Light"/>
      <w:i/>
      <w:iCs/>
      <w:color w:val="2F5496"/>
      <w:sz w:val="24"/>
      <w:szCs w:val="24"/>
    </w:rPr>
  </w:style>
  <w:style w:type="character" w:styleId="Heading3Char">
    <w:name w:val="Heading 3 Char"/>
    <w:qFormat/>
    <w:rPr>
      <w:rFonts w:ascii="Calibri Light" w:hAnsi="Calibri Light" w:eastAsia="SimSun" w:cs="DengXian Light"/>
      <w:color w:val="1F3864"/>
      <w:szCs w:val="24"/>
    </w:rPr>
  </w:style>
  <w:style w:type="character" w:styleId="Heading2Char">
    <w:name w:val="Heading 2 Char"/>
    <w:qFormat/>
    <w:rPr>
      <w:rFonts w:ascii="Calibri Light" w:hAnsi="Calibri Light" w:eastAsia="SimSun" w:cs="DengXian Light"/>
      <w:color w:val="2F5496"/>
      <w:sz w:val="26"/>
      <w:szCs w:val="26"/>
    </w:rPr>
  </w:style>
  <w:style w:type="character" w:styleId="Heading1Char">
    <w:name w:val="Heading 1 Char"/>
    <w:qFormat/>
    <w:rPr>
      <w:rFonts w:ascii="Calibri Light" w:hAnsi="Calibri Light" w:eastAsia="SimSun" w:cs="DengXian Light"/>
      <w:color w:val="2F5496"/>
      <w:sz w:val="32"/>
      <w:szCs w:val="32"/>
    </w:rPr>
  </w:style>
  <w:style w:type="character" w:styleId="Char">
    <w:name w:val="אגב Char"/>
    <w:qFormat/>
    <w:rPr>
      <w:rFonts w:ascii="Arial" w:hAnsi="Arial" w:eastAsia="Times New Roman" w:cs="Noto Rashi Hebrew Light"/>
      <w:color w:val="000000"/>
      <w:sz w:val="24"/>
      <w:szCs w:val="20"/>
    </w:rPr>
  </w:style>
  <w:style w:type="character" w:styleId="FootnoteTextChar">
    <w:name w:val="Footnote Text Char"/>
    <w:qFormat/>
    <w:rPr>
      <w:rFonts w:eastAsia="Calibri" w:cs="Guttman Rashi"/>
      <w:color w:val="000000"/>
      <w:sz w:val="24"/>
      <w:szCs w:val="24"/>
    </w:rPr>
  </w:style>
  <w:style w:type="character" w:styleId="Linenumber">
    <w:name w:val="line number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  <w:tabs>
        <w:tab w:val="center" w:pos="4986" w:leader="none"/>
        <w:tab w:val="right" w:pos="9972" w:leader="none"/>
      </w:tabs>
    </w:pPr>
    <w:rPr/>
  </w:style>
  <w:style w:type="paragraph" w:styleId="NormalTable">
    <w:name w:val="Normal Table"/>
    <w:qFormat/>
    <w:pPr>
      <w:widowControl/>
      <w:suppressAutoHyphens w:val="true"/>
      <w:bidi w:val="0"/>
      <w:spacing w:before="0" w:after="0"/>
      <w:jc w:val="left"/>
      <w:textAlignment w:val="auto"/>
    </w:pPr>
    <w:rPr>
      <w:rFonts w:ascii="Times New Roman" w:hAnsi="Times New Roman" w:eastAsia="SimSun" w:cs="Times New Roman"/>
      <w:color w:val="auto"/>
      <w:kern w:val="2"/>
      <w:sz w:val="20"/>
      <w:szCs w:val="20"/>
      <w:lang w:val="en-GB" w:eastAsia="zh-CN" w:bidi="he-IL"/>
    </w:rPr>
  </w:style>
  <w:style w:type="paragraph" w:styleId="Z-TopofForm1">
    <w:name w:val="z-Top of Form1"/>
    <w:next w:val="Normal"/>
    <w:qFormat/>
    <w:pPr>
      <w:widowControl/>
      <w:pBdr>
        <w:bottom w:val="double" w:sz="2" w:space="0" w:color="000000"/>
      </w:pBdr>
      <w:suppressAutoHyphens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2"/>
      <w:sz w:val="16"/>
      <w:szCs w:val="24"/>
      <w:lang w:val="en-US" w:eastAsia="zh-CN" w:bidi="hi-IN"/>
    </w:rPr>
  </w:style>
  <w:style w:type="paragraph" w:styleId="Z-BottomofForm1">
    <w:name w:val="z-Bottom of Form1"/>
    <w:next w:val="Normal"/>
    <w:qFormat/>
    <w:pPr>
      <w:widowControl/>
      <w:pBdr>
        <w:top w:val="double" w:sz="2" w:space="0" w:color="000000"/>
      </w:pBdr>
      <w:suppressAutoHyphens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2"/>
      <w:sz w:val="16"/>
      <w:szCs w:val="24"/>
      <w:lang w:val="en-US" w:eastAsia="zh-CN" w:bidi="hi-IN"/>
    </w:rPr>
  </w:style>
  <w:style w:type="paragraph" w:styleId="Preformatted">
    <w:name w:val="Preformatted"/>
    <w:basedOn w:val="Normal"/>
    <w:qFormat/>
    <w:pPr>
      <w:tabs>
        <w:tab w:val="clear" w:pos="709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  <w:spacing w:before="0" w:after="0"/>
    </w:pPr>
    <w:rPr>
      <w:rFonts w:ascii="Courier New" w:hAnsi="Courier New"/>
      <w:sz w:val="20"/>
    </w:rPr>
  </w:style>
  <w:style w:type="paragraph" w:styleId="Blockquote">
    <w:name w:val="Blockquote"/>
    <w:basedOn w:val="Normal"/>
    <w:qFormat/>
    <w:pPr>
      <w:spacing w:before="100" w:after="100"/>
      <w:ind w:left="360" w:right="360" w:hanging="0"/>
    </w:pPr>
    <w:rPr/>
  </w:style>
  <w:style w:type="paragraph" w:styleId="Address">
    <w:name w:val="Address"/>
    <w:basedOn w:val="Normal"/>
    <w:next w:val="Normal"/>
    <w:qFormat/>
    <w:pPr/>
    <w:rPr>
      <w:i/>
    </w:rPr>
  </w:style>
  <w:style w:type="paragraph" w:styleId="H6">
    <w:name w:val="H6"/>
    <w:basedOn w:val="Normal"/>
    <w:next w:val="Normal"/>
    <w:qFormat/>
    <w:pPr>
      <w:keepNext w:val="true"/>
      <w:spacing w:before="100" w:after="100"/>
    </w:pPr>
    <w:rPr>
      <w:b/>
      <w:sz w:val="16"/>
    </w:rPr>
  </w:style>
  <w:style w:type="paragraph" w:styleId="H5">
    <w:name w:val="H5"/>
    <w:basedOn w:val="Normal"/>
    <w:next w:val="Normal"/>
    <w:qFormat/>
    <w:pPr>
      <w:keepNext w:val="true"/>
      <w:spacing w:before="100" w:after="100"/>
    </w:pPr>
    <w:rPr>
      <w:b/>
      <w:sz w:val="20"/>
    </w:rPr>
  </w:style>
  <w:style w:type="paragraph" w:styleId="H4">
    <w:name w:val="H4"/>
    <w:basedOn w:val="Normal"/>
    <w:next w:val="Normal"/>
    <w:qFormat/>
    <w:pPr>
      <w:keepNext w:val="true"/>
      <w:spacing w:before="100" w:after="100"/>
    </w:pPr>
    <w:rPr>
      <w:b/>
    </w:rPr>
  </w:style>
  <w:style w:type="paragraph" w:styleId="H3">
    <w:name w:val="H3"/>
    <w:basedOn w:val="Normal"/>
    <w:next w:val="Normal"/>
    <w:qFormat/>
    <w:pPr>
      <w:keepNext w:val="true"/>
      <w:spacing w:before="100" w:after="100"/>
    </w:pPr>
    <w:rPr>
      <w:b/>
      <w:sz w:val="28"/>
    </w:rPr>
  </w:style>
  <w:style w:type="paragraph" w:styleId="H2">
    <w:name w:val="H2"/>
    <w:basedOn w:val="Normal"/>
    <w:next w:val="Normal"/>
    <w:qFormat/>
    <w:pPr>
      <w:keepNext w:val="true"/>
      <w:spacing w:before="100" w:after="100"/>
    </w:pPr>
    <w:rPr>
      <w:b/>
      <w:sz w:val="36"/>
    </w:rPr>
  </w:style>
  <w:style w:type="paragraph" w:styleId="H1">
    <w:name w:val="H1"/>
    <w:basedOn w:val="Normal"/>
    <w:next w:val="Normal"/>
    <w:qFormat/>
    <w:pPr>
      <w:keepNext w:val="true"/>
      <w:spacing w:before="100" w:after="100"/>
    </w:pPr>
    <w:rPr>
      <w:b/>
      <w:sz w:val="48"/>
    </w:rPr>
  </w:style>
  <w:style w:type="paragraph" w:styleId="DefinitionList">
    <w:name w:val="Definition List"/>
    <w:basedOn w:val="Normal"/>
    <w:qFormat/>
    <w:pPr>
      <w:ind w:left="360" w:hanging="0"/>
    </w:pPr>
    <w:rPr/>
  </w:style>
  <w:style w:type="paragraph" w:styleId="DefinitionTerm">
    <w:name w:val="Definition Term"/>
    <w:basedOn w:val="Normal"/>
    <w:qFormat/>
    <w:pPr/>
    <w:rPr/>
  </w:style>
  <w:style w:type="paragraph" w:styleId="Style21">
    <w:name w:val="Style2"/>
    <w:qFormat/>
    <w:pPr>
      <w:widowControl/>
      <w:bidi w:val="0"/>
      <w:spacing w:lineRule="exact" w:line="240" w:before="0" w:after="0"/>
      <w:contextualSpacing/>
      <w:jc w:val="left"/>
    </w:pPr>
    <w:rPr>
      <w:rFonts w:cs="BenOr Rashi" w:ascii="Liberation Serif" w:hAnsi="Liberation Serif" w:eastAsia="NSimSun"/>
      <w:color w:val="auto"/>
      <w:kern w:val="2"/>
      <w:sz w:val="24"/>
      <w:szCs w:val="24"/>
      <w:lang w:val="en-US" w:eastAsia="zh-CN" w:bidi="he-IL"/>
    </w:rPr>
  </w:style>
  <w:style w:type="paragraph" w:styleId="Style17">
    <w:name w:val="Style1"/>
    <w:basedOn w:val="Normal"/>
    <w:qFormat/>
    <w:pPr>
      <w:spacing w:lineRule="exact" w:line="240" w:before="0" w:after="0"/>
      <w:contextualSpacing/>
    </w:pPr>
    <w:rPr>
      <w:rFonts w:cs="Shofar"/>
    </w:rPr>
  </w:style>
  <w:style w:type="paragraph" w:styleId="Style18">
    <w:name w:val="מפתחות"/>
    <w:basedOn w:val="Normal"/>
    <w:qFormat/>
    <w:pPr/>
    <w:rPr>
      <w:rFonts w:cs="Narkisim"/>
    </w:rPr>
  </w:style>
  <w:style w:type="paragraph" w:styleId="Style19">
    <w:name w:val="שורת כותרת"/>
    <w:basedOn w:val="Normal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Style20">
    <w:name w:val="אגב"/>
    <w:basedOn w:val="Normal"/>
    <w:qFormat/>
    <w:pPr/>
    <w:rPr>
      <w:rFonts w:ascii="Arial" w:hAnsi="Arial" w:cs="Noto Rashi Hebrew Light"/>
      <w:szCs w:val="20"/>
    </w:rPr>
  </w:style>
  <w:style w:type="paragraph" w:styleId="NormalWeb">
    <w:name w:val="Normal (Web)"/>
    <w:qFormat/>
    <w:pPr>
      <w:widowControl w:val="false"/>
      <w:suppressAutoHyphens w:val="true"/>
      <w:bidi w:val="1"/>
      <w:spacing w:before="280" w:after="280"/>
      <w:jc w:val="right"/>
    </w:pPr>
    <w:rPr>
      <w:rFonts w:ascii="SBL Hebrew" w:hAnsi="SBL Hebrew" w:eastAsia="0" w:cs="SBL Hebrew"/>
      <w:color w:val="auto"/>
      <w:kern w:val="2"/>
      <w:sz w:val="24"/>
      <w:szCs w:val="24"/>
      <w:lang w:val="en-US" w:eastAsia="zh-CN" w:bidi="ar-SA"/>
    </w:rPr>
  </w:style>
  <w:style w:type="paragraph" w:styleId="Caption1">
    <w:name w:val="caption"/>
    <w:basedOn w:val="Normal"/>
    <w:next w:val="Normal"/>
    <w:qFormat/>
    <w:pPr>
      <w:spacing w:before="120" w:after="120"/>
    </w:pPr>
    <w:rPr>
      <w:rFonts w:cs="Narkisim"/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86</TotalTime>
  <Application>LibreOffice/7.5.3.2$Windows_X86_64 LibreOffice_project/9f56dff12ba03b9acd7730a5a481eea045e468f3</Application>
  <AppVersion>15.0000</AppVersion>
  <Pages>4</Pages>
  <Words>2234</Words>
  <Characters>8880</Characters>
  <CharactersWithSpaces>11038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שאול יואל הכהן חייט</dc:creator>
  <dc:description/>
  <dc:language>en-US</dc:language>
  <cp:lastModifiedBy/>
  <dcterms:modified xsi:type="dcterms:W3CDTF">2024-07-22T20:47:15Z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