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מצאנו שלש סיבות למעט בבות של המשנה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 xml:space="preserve">כתיב </w:t>
      </w:r>
      <w:r>
        <w:rPr>
          <w:rtl w:val="true"/>
        </w:rPr>
        <w:t>"</w:t>
      </w:r>
      <w:r>
        <w:rPr>
          <w:rtl w:val="true"/>
        </w:rPr>
        <w:t>לו תהיה</w:t>
      </w:r>
      <w:r>
        <w:rPr>
          <w:rtl w:val="true"/>
        </w:rPr>
        <w:t xml:space="preserve">.” </w:t>
      </w:r>
      <w:r>
        <w:rPr>
          <w:rtl w:val="true"/>
        </w:rPr>
        <w:t xml:space="preserve">משמע שצריך להיות ראויה להוויה </w:t>
      </w:r>
      <w:r>
        <w:rPr>
          <w:rtl w:val="true"/>
        </w:rPr>
        <w:t>(</w:t>
      </w:r>
      <w:r>
        <w:rPr>
          <w:rtl w:val="true"/>
        </w:rPr>
        <w:t>שמותר לישא אותה</w:t>
      </w:r>
      <w:r>
        <w:rPr>
          <w:rtl w:val="true"/>
        </w:rPr>
        <w:t>).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דוחה גמ’ שכ’ ריבוי ב</w:t>
      </w:r>
      <w:r>
        <w:rPr>
          <w:rtl w:val="true"/>
        </w:rPr>
        <w:t>"</w:t>
      </w:r>
      <w:r>
        <w:rPr>
          <w:rtl w:val="true"/>
        </w:rPr>
        <w:t>הנערה</w:t>
      </w:r>
      <w:r>
        <w:rPr>
          <w:rtl w:val="true"/>
        </w:rPr>
        <w:t xml:space="preserve">,” </w:t>
      </w:r>
      <w:r>
        <w:rPr>
          <w:rtl w:val="true"/>
        </w:rPr>
        <w:t>וכ’ ריבוי ב</w:t>
      </w:r>
      <w:r>
        <w:rPr>
          <w:rtl w:val="true"/>
        </w:rPr>
        <w:t>"</w:t>
      </w:r>
      <w:r>
        <w:rPr>
          <w:rtl w:val="true"/>
        </w:rPr>
        <w:t>הבתולות</w:t>
      </w:r>
      <w:r>
        <w:rPr>
          <w:rtl w:val="true"/>
        </w:rPr>
        <w:t xml:space="preserve">.”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מרבים מזה מה שיש בו איסור על ההוייה</w:t>
      </w:r>
      <w:r>
        <w:rPr>
          <w:rtl w:val="true"/>
        </w:rPr>
        <w:t xml:space="preserve">, </w:t>
      </w:r>
      <w:r>
        <w:rPr>
          <w:rtl w:val="true"/>
        </w:rPr>
        <w:t xml:space="preserve">ומה שאין בו הוויה </w:t>
      </w:r>
      <w:r>
        <w:rPr>
          <w:rtl w:val="true"/>
        </w:rPr>
        <w:t>(</w:t>
      </w:r>
      <w:r>
        <w:rPr>
          <w:rtl w:val="true"/>
        </w:rPr>
        <w:t>שלא חל</w:t>
      </w:r>
      <w:r>
        <w:rPr>
          <w:rtl w:val="true"/>
        </w:rPr>
        <w:t>).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רנבה</w:t>
      </w:r>
      <w:r>
        <w:rPr>
          <w:rtl w:val="true"/>
        </w:rPr>
        <w:t>"</w:t>
      </w:r>
      <w:r>
        <w:rPr>
          <w:rtl w:val="true"/>
        </w:rPr>
        <w:t>ק סובר שחיוב כרת פוטר מחיוב מיתה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נמעט בבא שלישית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רבנן סוברים שאין מקבלים מלקות ומיתה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בבא ראשון ושלישית לא יחייבו ממון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מצאנו שלש שיטות בגמ’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ריש לקיש אומר שאין הכי נמי</w:t>
      </w:r>
      <w:r>
        <w:rPr>
          <w:rtl w:val="true"/>
        </w:rPr>
        <w:t xml:space="preserve">, </w:t>
      </w:r>
      <w:r>
        <w:rPr>
          <w:rtl w:val="true"/>
        </w:rPr>
        <w:t>כן הוא</w:t>
      </w:r>
      <w:r>
        <w:rPr>
          <w:rtl w:val="true"/>
        </w:rPr>
        <w:t xml:space="preserve">. </w:t>
      </w:r>
      <w:r>
        <w:rPr>
          <w:rtl w:val="true"/>
        </w:rPr>
        <w:t>רבנן חולקים על משנה שלנו</w:t>
      </w:r>
      <w:r>
        <w:rPr>
          <w:rtl w:val="true"/>
        </w:rPr>
        <w:t xml:space="preserve">. </w:t>
      </w:r>
      <w:r>
        <w:rPr>
          <w:rtl w:val="true"/>
        </w:rPr>
        <w:t>יש להעיר שעדיין רק יחלקו רבנן על ציורים שיש בהם מלקות</w:t>
      </w:r>
      <w:r>
        <w:rPr>
          <w:rtl w:val="true"/>
        </w:rPr>
        <w:t xml:space="preserve">. </w:t>
      </w:r>
      <w:r>
        <w:rPr>
          <w:rtl w:val="true"/>
        </w:rPr>
        <w:t xml:space="preserve">זה ימעט בבא ראשונה </w:t>
      </w:r>
      <w:r>
        <w:rPr>
          <w:rtl w:val="true"/>
        </w:rPr>
        <w:t>(</w:t>
      </w:r>
      <w:r>
        <w:rPr>
          <w:rtl w:val="true"/>
        </w:rPr>
        <w:t>או מקצת ציורים שבו</w:t>
      </w:r>
      <w:r>
        <w:rPr>
          <w:rtl w:val="true"/>
        </w:rPr>
        <w:t xml:space="preserve">), </w:t>
      </w:r>
      <w:r>
        <w:rPr>
          <w:rtl w:val="true"/>
        </w:rPr>
        <w:t>אבל לא בהכרח ימעט בבא שלישי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חולקים רבנן ורבי יצחק אם יש חיוב מלקות או אין חיוב מלקות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רבנן יחלקו על בבא שלישי</w:t>
      </w:r>
      <w:r>
        <w:rPr>
          <w:rtl w:val="true"/>
        </w:rPr>
        <w:t xml:space="preserve">, </w:t>
      </w:r>
      <w:r>
        <w:rPr>
          <w:rtl w:val="true"/>
        </w:rPr>
        <w:t>ורבי יצחק לא יחלוק על בבא שלישי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 xml:space="preserve">עולא אומר שתמיד חייב ממון </w:t>
      </w:r>
      <w:r>
        <w:rPr>
          <w:rtl w:val="true"/>
        </w:rPr>
        <w:t>(</w:t>
      </w:r>
      <w:r>
        <w:rPr>
          <w:rtl w:val="true"/>
        </w:rPr>
        <w:t>בקנס אונס ומפותה</w:t>
      </w:r>
      <w:r>
        <w:rPr>
          <w:rtl w:val="true"/>
        </w:rPr>
        <w:t xml:space="preserve">), </w:t>
      </w:r>
      <w:r>
        <w:rPr>
          <w:rtl w:val="true"/>
        </w:rPr>
        <w:t xml:space="preserve">אלא שלפעמים </w:t>
      </w:r>
      <w:r>
        <w:rPr>
          <w:rtl w:val="true"/>
        </w:rPr>
        <w:t>(</w:t>
      </w:r>
      <w:r>
        <w:rPr>
          <w:rtl w:val="true"/>
        </w:rPr>
        <w:t>כשמשלם ממון</w:t>
      </w:r>
      <w:r>
        <w:rPr>
          <w:rtl w:val="true"/>
        </w:rPr>
        <w:t xml:space="preserve">) </w:t>
      </w:r>
      <w:r>
        <w:rPr>
          <w:rtl w:val="true"/>
        </w:rPr>
        <w:t>לא חייב במלקות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 xml:space="preserve">רבי יוחנן אומר שחייב ממון כשלא לוקה </w:t>
      </w:r>
      <w:r>
        <w:rPr>
          <w:rtl w:val="true"/>
        </w:rPr>
        <w:t>(</w:t>
      </w:r>
      <w:r>
        <w:rPr>
          <w:rtl w:val="true"/>
        </w:rPr>
        <w:t>כמו אם לא מתרים אותו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צריכים לעשות קצת חשבון על כל זה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לפי הו</w:t>
      </w:r>
      <w:r>
        <w:rPr>
          <w:rtl w:val="true"/>
        </w:rPr>
        <w:t>"</w:t>
      </w:r>
      <w:r>
        <w:rPr>
          <w:rtl w:val="true"/>
        </w:rPr>
        <w:t>א של גמ’</w:t>
      </w:r>
      <w:r>
        <w:rPr>
          <w:rtl w:val="true"/>
        </w:rPr>
        <w:t xml:space="preserve">, </w:t>
      </w:r>
      <w:r>
        <w:rPr>
          <w:rtl w:val="true"/>
        </w:rPr>
        <w:t>למה צריכים מיעוט ראשון</w:t>
      </w:r>
      <w:r>
        <w:rPr>
          <w:rtl w:val="true"/>
        </w:rPr>
        <w:t xml:space="preserve">, </w:t>
      </w:r>
      <w:r>
        <w:rPr>
          <w:rtl w:val="true"/>
        </w:rPr>
        <w:t>ולמה לא ממעטים את הכל ממיעוט שני ושלישי</w:t>
      </w:r>
      <w:r>
        <w:rPr>
          <w:rtl w:val="true"/>
        </w:rPr>
        <w:t xml:space="preserve">. </w:t>
      </w:r>
      <w:r>
        <w:rPr>
          <w:rtl w:val="true"/>
        </w:rPr>
        <w:t>לא נראה שנוכל למעט ממיעוט שני</w:t>
      </w:r>
      <w:r>
        <w:rPr>
          <w:rtl w:val="true"/>
        </w:rPr>
        <w:t xml:space="preserve">, </w:t>
      </w:r>
      <w:r>
        <w:rPr>
          <w:rtl w:val="true"/>
        </w:rPr>
        <w:t>כיון שזה רק ממעט חיובי כרת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לא ממעטים חיוב מלקות</w:t>
      </w:r>
      <w:r>
        <w:rPr>
          <w:rtl w:val="true"/>
        </w:rPr>
        <w:t xml:space="preserve">. </w:t>
      </w:r>
      <w:r>
        <w:rPr>
          <w:rtl w:val="true"/>
        </w:rPr>
        <w:t>לא פשוט אם יכולים למעט ממיעוט שלישי</w:t>
      </w:r>
      <w:r>
        <w:rPr>
          <w:rtl w:val="true"/>
        </w:rPr>
        <w:t xml:space="preserve">. </w:t>
      </w:r>
      <w:r>
        <w:rPr>
          <w:rtl w:val="true"/>
        </w:rPr>
        <w:t>לפי עולא</w:t>
      </w:r>
      <w:r>
        <w:rPr>
          <w:rtl w:val="true"/>
        </w:rPr>
        <w:t xml:space="preserve">, </w:t>
      </w:r>
      <w:r>
        <w:rPr>
          <w:rtl w:val="true"/>
        </w:rPr>
        <w:t>זה לא ימעט כלל</w:t>
      </w:r>
      <w:r>
        <w:rPr>
          <w:rtl w:val="true"/>
        </w:rPr>
        <w:t xml:space="preserve">, </w:t>
      </w:r>
      <w:r>
        <w:rPr>
          <w:rtl w:val="true"/>
        </w:rPr>
        <w:t>ולפי רבי יוחנן</w:t>
      </w:r>
      <w:r>
        <w:rPr>
          <w:rtl w:val="true"/>
        </w:rPr>
        <w:t xml:space="preserve">, </w:t>
      </w:r>
      <w:r>
        <w:rPr>
          <w:rtl w:val="true"/>
        </w:rPr>
        <w:t>זה לא ימעט ציור שאין בו התראה</w:t>
      </w:r>
      <w:r>
        <w:rPr>
          <w:rtl w:val="true"/>
        </w:rPr>
        <w:t>. (</w:t>
      </w:r>
      <w:r>
        <w:rPr>
          <w:rtl w:val="true"/>
        </w:rPr>
        <w:t>יש לדון אם גמרא ידע כן כששאל ממקור ראשון</w:t>
      </w:r>
      <w:r>
        <w:rPr>
          <w:rtl w:val="true"/>
        </w:rPr>
        <w:t xml:space="preserve">.) </w:t>
      </w: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 לקיש</w:t>
      </w:r>
      <w:r>
        <w:rPr>
          <w:rtl w:val="true"/>
        </w:rPr>
        <w:t xml:space="preserve">, </w:t>
      </w:r>
      <w:r>
        <w:rPr>
          <w:rtl w:val="true"/>
        </w:rPr>
        <w:t>קשה למה נצטרך מיעוט ראשון</w:t>
      </w:r>
      <w:r>
        <w:rPr>
          <w:rtl w:val="true"/>
        </w:rPr>
        <w:t xml:space="preserve">. </w:t>
      </w:r>
      <w:r>
        <w:rPr>
          <w:rtl w:val="true"/>
        </w:rPr>
        <w:t>אפשר שגמ’</w:t>
      </w:r>
      <w:r>
        <w:rPr>
          <w:rtl w:val="true"/>
        </w:rPr>
        <w:t xml:space="preserve">, </w:t>
      </w:r>
      <w:r>
        <w:rPr>
          <w:rtl w:val="true"/>
        </w:rPr>
        <w:t>כשהקשה</w:t>
      </w:r>
      <w:r>
        <w:rPr>
          <w:rtl w:val="true"/>
        </w:rPr>
        <w:t xml:space="preserve">, </w:t>
      </w:r>
      <w:r>
        <w:rPr>
          <w:rtl w:val="true"/>
        </w:rPr>
        <w:t>לא חש למה שאומר ריש לקיש</w:t>
      </w:r>
      <w:r>
        <w:rPr>
          <w:rtl w:val="true"/>
        </w:rPr>
        <w:t xml:space="preserve">, </w:t>
      </w:r>
      <w:r>
        <w:rPr>
          <w:rtl w:val="true"/>
        </w:rPr>
        <w:t>כיון שלא היה פשוט לו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הקשה שכנראה יש מקור מזה</w:t>
      </w:r>
      <w:r>
        <w:rPr>
          <w:rtl w:val="true"/>
        </w:rPr>
        <w:t xml:space="preserve">. </w:t>
      </w:r>
      <w:r>
        <w:rPr>
          <w:rtl w:val="true"/>
        </w:rPr>
        <w:t>אף אם נמצא שיש מקור היה נמצא נגד ריש לקיש</w:t>
      </w:r>
      <w:r>
        <w:rPr>
          <w:rtl w:val="true"/>
        </w:rPr>
        <w:t xml:space="preserve">, </w:t>
      </w:r>
      <w:r>
        <w:rPr>
          <w:rtl w:val="true"/>
        </w:rPr>
        <w:t>לא היה זה קשה לגמ’</w:t>
      </w:r>
      <w:r>
        <w:rPr>
          <w:rtl w:val="true"/>
        </w:rPr>
        <w:t xml:space="preserve">, </w:t>
      </w:r>
      <w:r>
        <w:rPr>
          <w:rtl w:val="true"/>
        </w:rPr>
        <w:t>כי גמרא לא מסיק שיש מקור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לפי ריש לקיש</w:t>
      </w:r>
      <w:r>
        <w:rPr>
          <w:rtl w:val="true"/>
        </w:rPr>
        <w:t xml:space="preserve">, </w:t>
      </w:r>
      <w:r>
        <w:rPr>
          <w:rtl w:val="true"/>
        </w:rPr>
        <w:t>צריך ביאור מה סוברים רבנן למעשה</w:t>
      </w:r>
      <w:r>
        <w:rPr>
          <w:rtl w:val="true"/>
        </w:rPr>
        <w:t xml:space="preserve">. </w:t>
      </w:r>
      <w:r>
        <w:rPr>
          <w:rtl w:val="true"/>
        </w:rPr>
        <w:t>אי אפשר שממעטים ממנו</w:t>
      </w:r>
      <w:r>
        <w:rPr>
          <w:rtl w:val="true"/>
        </w:rPr>
        <w:t xml:space="preserve">, </w:t>
      </w:r>
      <w:r>
        <w:rPr>
          <w:rtl w:val="true"/>
        </w:rPr>
        <w:t>שכבר יש להם מיעוט אחר</w:t>
      </w:r>
      <w:r>
        <w:rPr>
          <w:rtl w:val="true"/>
        </w:rPr>
        <w:t xml:space="preserve">. </w:t>
      </w:r>
      <w:r>
        <w:rPr>
          <w:rtl w:val="true"/>
        </w:rPr>
        <w:t>יכולים לומר שלאיזה סיבה לא אוהבים דרשה זו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גמרא לא אומר כן לבאר למה לא ממעטים משם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שצריך לומר שרבנן סוברים כתי’ של גמ’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רבנן ירבו חייבי מלקות וחייבי כרת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לא דוחים מיעוט שלישי מזה</w:t>
      </w:r>
      <w:r>
        <w:rPr>
          <w:rtl w:val="true"/>
        </w:rPr>
        <w:t xml:space="preserve">. </w:t>
      </w:r>
      <w:r>
        <w:rPr>
          <w:rtl w:val="true"/>
        </w:rPr>
        <w:t>אולי מרבה רק חיוב מיתה</w:t>
      </w:r>
      <w:r>
        <w:rPr>
          <w:rtl w:val="true"/>
        </w:rPr>
        <w:t xml:space="preserve">, </w:t>
      </w:r>
      <w:r>
        <w:rPr>
          <w:rtl w:val="true"/>
        </w:rPr>
        <w:t>אבל לא חיוב מיתה ומלקות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חייב רק מיתה</w:t>
      </w:r>
      <w:r>
        <w:rPr>
          <w:rtl w:val="true"/>
        </w:rPr>
        <w:t xml:space="preserve">, </w:t>
      </w:r>
      <w:r>
        <w:rPr>
          <w:rtl w:val="true"/>
        </w:rPr>
        <w:t>ואינו חיוב מלקות בכלל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יוצא לנו חידוש גדול מזה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לא קשה למה צריכים מיעוט שני ושלישי</w:t>
      </w:r>
      <w:r>
        <w:rPr>
          <w:rtl w:val="true"/>
        </w:rPr>
        <w:t xml:space="preserve">, </w:t>
      </w:r>
      <w:r>
        <w:rPr>
          <w:rtl w:val="true"/>
        </w:rPr>
        <w:t>כיון שראשון לא יהני</w:t>
      </w:r>
      <w:r>
        <w:rPr>
          <w:rtl w:val="true"/>
        </w:rPr>
        <w:t xml:space="preserve">, </w:t>
      </w:r>
      <w:r>
        <w:rPr>
          <w:rtl w:val="true"/>
        </w:rPr>
        <w:t>בין מפני שנדחה</w:t>
      </w:r>
      <w:r>
        <w:rPr>
          <w:rtl w:val="true"/>
        </w:rPr>
        <w:t xml:space="preserve">, </w:t>
      </w:r>
      <w:r>
        <w:rPr>
          <w:rtl w:val="true"/>
        </w:rPr>
        <w:t>בין מפני שרק נוהג כאן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למה צריכים שני אחרי שיש שלישי</w:t>
      </w:r>
      <w:r>
        <w:rPr>
          <w:rtl w:val="true"/>
        </w:rPr>
        <w:t xml:space="preserve">. </w:t>
      </w:r>
      <w:r>
        <w:rPr>
          <w:rtl w:val="true"/>
        </w:rPr>
        <w:t>לעולא</w:t>
      </w:r>
      <w:r>
        <w:rPr>
          <w:rtl w:val="true"/>
        </w:rPr>
        <w:t xml:space="preserve">, </w:t>
      </w:r>
      <w:r>
        <w:rPr>
          <w:rtl w:val="true"/>
        </w:rPr>
        <w:t>יכול להיות שפוטר אותו מחיוב ממון</w:t>
      </w:r>
      <w:r>
        <w:rPr>
          <w:rtl w:val="true"/>
        </w:rPr>
        <w:t xml:space="preserve">. </w:t>
      </w:r>
      <w:r>
        <w:rPr>
          <w:rtl w:val="true"/>
        </w:rPr>
        <w:t>לרבי יוחנן</w:t>
      </w:r>
      <w:r>
        <w:rPr>
          <w:rtl w:val="true"/>
        </w:rPr>
        <w:t xml:space="preserve">, </w:t>
      </w:r>
      <w:r>
        <w:rPr>
          <w:rtl w:val="true"/>
        </w:rPr>
        <w:t>יכול להיות שפוטר אותו כשלא עבר במזיד</w:t>
      </w:r>
      <w:r>
        <w:rPr>
          <w:rtl w:val="true"/>
        </w:rPr>
        <w:t>. (</w:t>
      </w:r>
      <w:r>
        <w:rPr>
          <w:rtl w:val="true"/>
        </w:rPr>
        <w:t>יש לדון אם עולא מחייב גם שם</w:t>
      </w:r>
      <w:r>
        <w:rPr>
          <w:rtl w:val="true"/>
        </w:rPr>
        <w:t xml:space="preserve">. </w:t>
      </w:r>
      <w:r>
        <w:rPr>
          <w:rtl w:val="true"/>
        </w:rPr>
        <w:t>היה נראה לומר שמחייב</w:t>
      </w:r>
      <w:r>
        <w:rPr>
          <w:rtl w:val="true"/>
        </w:rPr>
        <w:t xml:space="preserve">, </w:t>
      </w:r>
      <w:r>
        <w:rPr>
          <w:rtl w:val="true"/>
        </w:rPr>
        <w:t>כיון שנלמד ממיתה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רק הוקש עונש לעונש</w:t>
      </w:r>
      <w:r>
        <w:rPr>
          <w:rtl w:val="true"/>
        </w:rPr>
        <w:t xml:space="preserve">, </w:t>
      </w:r>
      <w:r>
        <w:rPr>
          <w:rtl w:val="true"/>
        </w:rPr>
        <w:t>ולא עבירה לעבירה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שאין רואים שום פטור של עונש מיתה</w:t>
      </w:r>
      <w:r>
        <w:rPr>
          <w:rtl w:val="true"/>
        </w:rPr>
        <w:t xml:space="preserve">, </w:t>
      </w:r>
      <w:r>
        <w:rPr>
          <w:rtl w:val="true"/>
        </w:rPr>
        <w:t>כיון שיכולים לתלות הכל בעבירה</w:t>
      </w:r>
      <w:r>
        <w:rPr>
          <w:rtl w:val="true"/>
        </w:rPr>
        <w:t xml:space="preserve">.) </w:t>
      </w:r>
      <w:r>
        <w:rPr>
          <w:rtl w:val="true"/>
        </w:rPr>
        <w:t>לריש לקיש</w:t>
      </w:r>
      <w:r>
        <w:rPr>
          <w:rtl w:val="true"/>
        </w:rPr>
        <w:t xml:space="preserve">, </w:t>
      </w:r>
      <w:r>
        <w:rPr>
          <w:rtl w:val="true"/>
        </w:rPr>
        <w:t>יש לומר שסובר כרבי מאיר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יוצא מן הגמ’ שצריכים שני פסוקים</w:t>
      </w:r>
      <w:r>
        <w:rPr>
          <w:rtl w:val="true"/>
        </w:rPr>
        <w:t xml:space="preserve">. </w:t>
      </w:r>
      <w:r>
        <w:rPr>
          <w:rtl w:val="true"/>
        </w:rPr>
        <w:t>קשה לפי רנבה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שאז נדחה מקור שלו מחמת הקרא</w:t>
      </w:r>
      <w:r>
        <w:rPr>
          <w:rtl w:val="true"/>
        </w:rPr>
        <w:t xml:space="preserve">. </w:t>
      </w:r>
      <w:r>
        <w:rPr>
          <w:rtl w:val="true"/>
        </w:rPr>
        <w:t>אשפר לומר שר</w:t>
      </w:r>
      <w:r>
        <w:rPr>
          <w:rtl w:val="true"/>
        </w:rPr>
        <w:t>"</w:t>
      </w:r>
      <w:r>
        <w:rPr>
          <w:rtl w:val="true"/>
        </w:rPr>
        <w:t>נ לא דורש כן</w:t>
      </w:r>
      <w:r>
        <w:rPr>
          <w:rtl w:val="true"/>
        </w:rPr>
        <w:t xml:space="preserve">, </w:t>
      </w:r>
      <w:r>
        <w:rPr>
          <w:rtl w:val="true"/>
        </w:rPr>
        <w:t>אבל קשה מהיכי תיתי לגמרא לומר זה</w:t>
      </w:r>
      <w:r>
        <w:rPr>
          <w:rtl w:val="true"/>
        </w:rPr>
        <w:t xml:space="preserve">. </w:t>
      </w:r>
      <w:r>
        <w:rPr>
          <w:rtl w:val="true"/>
        </w:rPr>
        <w:t>ויש לומר שאז לא חייב כרת</w:t>
      </w:r>
      <w:r>
        <w:rPr>
          <w:rtl w:val="true"/>
        </w:rPr>
        <w:t xml:space="preserve">, </w:t>
      </w:r>
      <w:r>
        <w:rPr>
          <w:rtl w:val="true"/>
        </w:rPr>
        <w:t>ולא היה למשנה לומר שחייב כרת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תוס’ לא תי’ כן</w:t>
      </w:r>
      <w:r>
        <w:rPr>
          <w:rtl w:val="true"/>
        </w:rPr>
        <w:t xml:space="preserve">, </w:t>
      </w:r>
      <w:r>
        <w:rPr>
          <w:rtl w:val="true"/>
        </w:rPr>
        <w:t>אלא אומר שאז לומדים מכרת למיתה</w:t>
      </w:r>
      <w:r>
        <w:rPr>
          <w:rtl w:val="true"/>
        </w:rPr>
        <w:t xml:space="preserve">, </w:t>
      </w:r>
      <w:r>
        <w:rPr>
          <w:rtl w:val="true"/>
        </w:rPr>
        <w:t>ואף בחיוב מיתה הוא חייב על ממון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sectPr>
      <w:headerReference w:type="default" r:id="rId2"/>
      <w:footerReference w:type="default" r:id="rId3"/>
      <w:type w:val="nextPage"/>
      <w:pgSz w:w="12240" w:h="15840"/>
      <w:pgMar w:left="1134" w:right="1134" w:gutter="0" w:header="1134" w:top="1637" w:footer="1134" w:bottom="163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Calibri">
    <w:charset w:val="01"/>
    <w:family w:val="auto"/>
    <w:pitch w:val="default"/>
  </w:font>
  <w:font w:name="Courier New">
    <w:charset w:val="01"/>
    <w:family w:val="auto"/>
    <w:pitch w:val="default"/>
  </w:font>
  <w:font w:name="Calibri Light">
    <w:charset w:val="01"/>
    <w:family w:val="auto"/>
    <w:pitch w:val="default"/>
  </w:font>
  <w:font w:name="Arial">
    <w:charset w:val="01"/>
    <w:family w:val="auto"/>
    <w:pitch w:val="default"/>
  </w:font>
  <w:font w:name="SBL Hebrew">
    <w:charset w:val="01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1"/>
      <w:jc w:val="center"/>
      <w:rPr/>
    </w:pPr>
    <w:r>
      <w:rPr>
        <w:rFonts w:ascii="SBL Hebrew" w:hAnsi="SBL Hebrew"/>
        <w:rtl w:val="true"/>
        <w:lang w:bidi="he-IL"/>
      </w:rPr>
      <w:t>חרב אל הבדים</w:t>
    </w:r>
    <w:r>
      <w:rPr>
        <w:rFonts w:ascii="SBL Hebrew" w:hAnsi="SBL Hebrew"/>
        <w:rtl w:val="true"/>
        <w:lang w:bidi="he-IL"/>
      </w:rPr>
      <w:t xml:space="preserve">- </w:t>
    </w:r>
    <w:r>
      <w:rPr>
        <w:rFonts w:ascii="SBL Hebrew" w:hAnsi="SBL Hebrew"/>
        <w:rtl w:val="true"/>
        <w:lang w:bidi="he-IL"/>
      </w:rPr>
      <w:t>אלו נערות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/>
    </w:pPr>
    <w:r>
      <w:rPr>
        <w:rtl w:val="true"/>
      </w:rPr>
      <w:t>מקורות למיעוטים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Narkisim"/>
      <w:color w:val="auto"/>
      <w:kern w:val="2"/>
      <w:sz w:val="24"/>
      <w:szCs w:val="22"/>
      <w:lang w:val="en-US" w:eastAsia="zh-CN" w:bidi="he-IL"/>
    </w:rPr>
  </w:style>
  <w:style w:type="character" w:styleId="LineNumbering">
    <w:name w:val="Line Number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oterChar">
    <w:name w:val="Footer Char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BodyTextChar">
    <w:name w:val="Body Text Char"/>
    <w:qFormat/>
    <w:rPr>
      <w:rFonts w:ascii="Calibri" w:hAnsi="Calibri" w:eastAsia="Calibri" w:cs="Times New Roman"/>
      <w:color w:val="000000"/>
      <w:sz w:val="22"/>
    </w:rPr>
  </w:style>
  <w:style w:type="character" w:styleId="Comment">
    <w:name w:val="Comment"/>
    <w:qFormat/>
    <w:rPr>
      <w:vanish/>
    </w:rPr>
  </w:style>
  <w:style w:type="character" w:styleId="HTMLMarkup">
    <w:name w:val="HTML Markup"/>
    <w:qFormat/>
    <w:rPr>
      <w:vanish/>
      <w:color w:val="FF0000"/>
    </w:rPr>
  </w:style>
  <w:style w:type="character" w:styleId="Typewriter">
    <w:name w:val="Typewriter"/>
    <w:qFormat/>
    <w:rPr>
      <w:rFonts w:ascii="Courier New" w:hAnsi="Courier New"/>
      <w:sz w:val="20"/>
    </w:rPr>
  </w:style>
  <w:style w:type="character" w:styleId="Sample">
    <w:name w:val="Sample"/>
    <w:qFormat/>
    <w:rPr>
      <w:rFonts w:ascii="Courier New" w:hAnsi="Courier New"/>
    </w:rPr>
  </w:style>
  <w:style w:type="character" w:styleId="Keyboard">
    <w:name w:val="Keyboard"/>
    <w:qFormat/>
    <w:rPr>
      <w:rFonts w:ascii="Courier New" w:hAnsi="Courier New"/>
      <w:b/>
      <w:sz w:val="20"/>
    </w:rPr>
  </w:style>
  <w:style w:type="character" w:styleId="CODE">
    <w:name w:val="CODE"/>
    <w:qFormat/>
    <w:rPr>
      <w:rFonts w:ascii="Courier New" w:hAnsi="Courier New"/>
      <w:sz w:val="20"/>
    </w:rPr>
  </w:style>
  <w:style w:type="character" w:styleId="CITE">
    <w:name w:val="CITE"/>
    <w:qFormat/>
    <w:rPr>
      <w:i/>
    </w:rPr>
  </w:style>
  <w:style w:type="character" w:styleId="Style14">
    <w:name w:val="סמלי מספור"/>
    <w:qFormat/>
    <w:rPr/>
  </w:style>
  <w:style w:type="character" w:styleId="Strong">
    <w:name w:val="Strong"/>
    <w:qFormat/>
    <w:rPr>
      <w:b/>
    </w:rPr>
  </w:style>
  <w:style w:type="character" w:styleId="Style15">
    <w:name w:val="תווי הערת שוליים"/>
    <w:qFormat/>
    <w:rPr>
      <w:vertAlign w:val="superscript"/>
    </w:rPr>
  </w:style>
  <w:style w:type="character" w:styleId="Style16">
    <w:name w:val="תווי הערת סיום"/>
    <w:qFormat/>
    <w:rPr>
      <w:vertAlign w:val="superscript"/>
    </w:rPr>
  </w:style>
  <w:style w:type="character" w:styleId="Heading9Char">
    <w:name w:val="Heading 9 Char"/>
    <w:qFormat/>
    <w:rPr>
      <w:rFonts w:ascii="Calibri Light" w:hAnsi="Calibri Light" w:eastAsia="等线 Light" w:cs="Noto Rashi Hebrew Light"/>
      <w:bCs/>
      <w:i/>
      <w:color w:val="000000"/>
      <w:sz w:val="21"/>
      <w:szCs w:val="20"/>
    </w:rPr>
  </w:style>
  <w:style w:type="character" w:styleId="Heading5Char">
    <w:name w:val="Heading 5 Char"/>
    <w:qFormat/>
    <w:rPr>
      <w:rFonts w:ascii="Calibri Light" w:hAnsi="Calibri Light" w:eastAsia="SimSun" w:cs="DengXian Light"/>
      <w:color w:val="2F5496"/>
      <w:sz w:val="24"/>
      <w:szCs w:val="24"/>
    </w:rPr>
  </w:style>
  <w:style w:type="character" w:styleId="Heading4Char">
    <w:name w:val="Heading 4 Char"/>
    <w:qFormat/>
    <w:rPr>
      <w:rFonts w:ascii="Calibri Light" w:hAnsi="Calibri Light" w:eastAsia="SimSun" w:cs="DengXian Light"/>
      <w:i/>
      <w:iCs/>
      <w:color w:val="2F5496"/>
      <w:sz w:val="24"/>
      <w:szCs w:val="24"/>
    </w:rPr>
  </w:style>
  <w:style w:type="character" w:styleId="Heading3Char">
    <w:name w:val="Heading 3 Char"/>
    <w:qFormat/>
    <w:rPr>
      <w:rFonts w:ascii="Calibri Light" w:hAnsi="Calibri Light" w:eastAsia="SimSun" w:cs="DengXian Light"/>
      <w:color w:val="1F3864"/>
      <w:szCs w:val="24"/>
    </w:rPr>
  </w:style>
  <w:style w:type="character" w:styleId="Heading2Char">
    <w:name w:val="Heading 2 Char"/>
    <w:qFormat/>
    <w:rPr>
      <w:rFonts w:ascii="Calibri Light" w:hAnsi="Calibri Light" w:eastAsia="SimSun" w:cs="DengXian Light"/>
      <w:color w:val="2F5496"/>
      <w:sz w:val="26"/>
      <w:szCs w:val="26"/>
    </w:rPr>
  </w:style>
  <w:style w:type="character" w:styleId="Heading1Char">
    <w:name w:val="Heading 1 Char"/>
    <w:qFormat/>
    <w:rPr>
      <w:rFonts w:ascii="Calibri Light" w:hAnsi="Calibri Light" w:eastAsia="SimSun" w:cs="DengXian Light"/>
      <w:color w:val="2F5496"/>
      <w:sz w:val="32"/>
      <w:szCs w:val="32"/>
    </w:rPr>
  </w:style>
  <w:style w:type="character" w:styleId="Char">
    <w:name w:val="אגב Char"/>
    <w:qFormat/>
    <w:rPr>
      <w:rFonts w:ascii="Arial" w:hAnsi="Arial" w:eastAsia="Times New Roman" w:cs="Noto Rashi Hebrew Light"/>
      <w:color w:val="000000"/>
      <w:sz w:val="24"/>
      <w:szCs w:val="20"/>
    </w:rPr>
  </w:style>
  <w:style w:type="character" w:styleId="FootnoteTextChar">
    <w:name w:val="Footnote Text Char"/>
    <w:qFormat/>
    <w:rPr>
      <w:rFonts w:eastAsia="Calibri" w:cs="Guttman Rashi"/>
      <w:color w:val="000000"/>
      <w:sz w:val="24"/>
      <w:szCs w:val="24"/>
    </w:rPr>
  </w:style>
  <w:style w:type="character" w:styleId="Linenumber">
    <w:name w:val="line number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cs="Narkisim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NormalTable">
    <w:name w:val="Normal Table"/>
    <w:qFormat/>
    <w:pPr>
      <w:widowControl/>
      <w:suppressAutoHyphens w:val="true"/>
      <w:bidi w:val="0"/>
      <w:spacing w:before="0" w:after="0"/>
      <w:jc w:val="left"/>
      <w:textAlignment w:val="auto"/>
    </w:pPr>
    <w:rPr>
      <w:rFonts w:ascii="Times New Roman" w:hAnsi="Times New Roman" w:eastAsia="SimSun" w:cs="Times New Roman"/>
      <w:color w:val="auto"/>
      <w:kern w:val="2"/>
      <w:sz w:val="20"/>
      <w:szCs w:val="20"/>
      <w:lang w:val="en-GB" w:eastAsia="zh-CN" w:bidi="he-IL"/>
    </w:rPr>
  </w:style>
  <w:style w:type="paragraph" w:styleId="Z-TopofForm1">
    <w:name w:val="z-Top of Form1"/>
    <w:next w:val="Normal"/>
    <w:qFormat/>
    <w:pPr>
      <w:widowControl/>
      <w:pBdr>
        <w:bottom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i-IN"/>
    </w:rPr>
  </w:style>
  <w:style w:type="paragraph" w:styleId="Z-BottomofForm1">
    <w:name w:val="z-Bottom of Form1"/>
    <w:next w:val="Normal"/>
    <w:qFormat/>
    <w:pPr>
      <w:widowControl/>
      <w:pBdr>
        <w:top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i-IN"/>
    </w:rPr>
  </w:style>
  <w:style w:type="paragraph" w:styleId="Preformatted">
    <w:name w:val="Preformatted"/>
    <w:basedOn w:val="Normal"/>
    <w:qFormat/>
    <w:pPr>
      <w:tabs>
        <w:tab w:val="clear" w:pos="709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/>
      <w:sz w:val="20"/>
    </w:rPr>
  </w:style>
  <w:style w:type="paragraph" w:styleId="Blockquote">
    <w:name w:val="Blockquote"/>
    <w:basedOn w:val="Normal"/>
    <w:qFormat/>
    <w:pPr>
      <w:spacing w:before="100" w:after="100"/>
      <w:ind w:left="360" w:right="360" w:hanging="0"/>
    </w:pPr>
    <w:rPr/>
  </w:style>
  <w:style w:type="paragraph" w:styleId="Address">
    <w:name w:val="Address"/>
    <w:basedOn w:val="Normal"/>
    <w:next w:val="Normal"/>
    <w:qFormat/>
    <w:pPr/>
    <w:rPr>
      <w:i/>
    </w:rPr>
  </w:style>
  <w:style w:type="paragraph" w:styleId="H6">
    <w:name w:val="H6"/>
    <w:basedOn w:val="Normal"/>
    <w:next w:val="Normal"/>
    <w:qFormat/>
    <w:pPr>
      <w:keepNext w:val="true"/>
      <w:spacing w:before="100" w:after="100"/>
    </w:pPr>
    <w:rPr>
      <w:b/>
      <w:sz w:val="16"/>
    </w:rPr>
  </w:style>
  <w:style w:type="paragraph" w:styleId="H5">
    <w:name w:val="H5"/>
    <w:basedOn w:val="Normal"/>
    <w:next w:val="Normal"/>
    <w:qFormat/>
    <w:pPr>
      <w:keepNext w:val="true"/>
      <w:spacing w:before="100" w:after="100"/>
    </w:pPr>
    <w:rPr>
      <w:b/>
      <w:sz w:val="20"/>
    </w:rPr>
  </w:style>
  <w:style w:type="paragraph" w:styleId="H4">
    <w:name w:val="H4"/>
    <w:basedOn w:val="Normal"/>
    <w:next w:val="Normal"/>
    <w:qFormat/>
    <w:pPr>
      <w:keepNext w:val="true"/>
      <w:spacing w:before="100" w:after="100"/>
    </w:pPr>
    <w:rPr>
      <w:b/>
    </w:rPr>
  </w:style>
  <w:style w:type="paragraph" w:styleId="H3">
    <w:name w:val="H3"/>
    <w:basedOn w:val="Normal"/>
    <w:next w:val="Normal"/>
    <w:qFormat/>
    <w:pPr>
      <w:keepNext w:val="true"/>
      <w:spacing w:before="100" w:after="100"/>
    </w:pPr>
    <w:rPr>
      <w:b/>
      <w:sz w:val="28"/>
    </w:rPr>
  </w:style>
  <w:style w:type="paragraph" w:styleId="H2">
    <w:name w:val="H2"/>
    <w:basedOn w:val="Normal"/>
    <w:next w:val="Normal"/>
    <w:qFormat/>
    <w:pPr>
      <w:keepNext w:val="true"/>
      <w:spacing w:before="100" w:after="100"/>
    </w:pPr>
    <w:rPr>
      <w:b/>
      <w:sz w:val="36"/>
    </w:rPr>
  </w:style>
  <w:style w:type="paragraph" w:styleId="H1">
    <w:name w:val="H1"/>
    <w:basedOn w:val="Normal"/>
    <w:next w:val="Normal"/>
    <w:qFormat/>
    <w:pPr>
      <w:keepNext w:val="true"/>
      <w:spacing w:before="100" w:after="100"/>
    </w:pPr>
    <w:rPr>
      <w:b/>
      <w:sz w:val="48"/>
    </w:rPr>
  </w:style>
  <w:style w:type="paragraph" w:styleId="DefinitionList">
    <w:name w:val="Definition List"/>
    <w:basedOn w:val="Normal"/>
    <w:qFormat/>
    <w:pPr>
      <w:ind w:left="360" w:hanging="0"/>
    </w:pPr>
    <w:rPr/>
  </w:style>
  <w:style w:type="paragraph" w:styleId="DefinitionTerm">
    <w:name w:val="Definition Term"/>
    <w:basedOn w:val="Normal"/>
    <w:qFormat/>
    <w:pPr/>
    <w:rPr/>
  </w:style>
  <w:style w:type="paragraph" w:styleId="Style21">
    <w:name w:val="Style2"/>
    <w:qFormat/>
    <w:pPr>
      <w:widowControl/>
      <w:bidi w:val="0"/>
      <w:spacing w:lineRule="exact" w:line="240" w:before="0" w:after="0"/>
      <w:contextualSpacing/>
      <w:jc w:val="left"/>
    </w:pPr>
    <w:rPr>
      <w:rFonts w:cs="BenOr Rashi" w:ascii="Times New Roman" w:hAnsi="Times New Roman" w:eastAsia="NSimSun"/>
      <w:color w:val="auto"/>
      <w:kern w:val="2"/>
      <w:sz w:val="24"/>
      <w:szCs w:val="22"/>
      <w:lang w:val="en-US" w:eastAsia="zh-CN" w:bidi="he-IL"/>
    </w:rPr>
  </w:style>
  <w:style w:type="paragraph" w:styleId="Style17">
    <w:name w:val="Style1"/>
    <w:basedOn w:val="Normal"/>
    <w:qFormat/>
    <w:pPr>
      <w:spacing w:lineRule="exact" w:line="240" w:before="0" w:after="0"/>
      <w:contextualSpacing/>
    </w:pPr>
    <w:rPr>
      <w:rFonts w:cs="Shofar"/>
    </w:rPr>
  </w:style>
  <w:style w:type="paragraph" w:styleId="Style18">
    <w:name w:val="מפתחות"/>
    <w:basedOn w:val="Normal"/>
    <w:qFormat/>
    <w:pPr/>
    <w:rPr>
      <w:rFonts w:cs="Narkisim"/>
    </w:rPr>
  </w:style>
  <w:style w:type="paragraph" w:styleId="Style19">
    <w:name w:val="שורת כותרת"/>
    <w:basedOn w:val="Normal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Style20">
    <w:name w:val="אגב"/>
    <w:basedOn w:val="Normal"/>
    <w:qFormat/>
    <w:pPr/>
    <w:rPr>
      <w:rFonts w:ascii="Arial" w:hAnsi="Arial" w:cs="Noto Rashi Hebrew Light"/>
      <w:szCs w:val="20"/>
    </w:rPr>
  </w:style>
  <w:style w:type="paragraph" w:styleId="NormalWeb">
    <w:name w:val="Normal (Web)"/>
    <w:qFormat/>
    <w:pPr>
      <w:widowControl w:val="false"/>
      <w:suppressAutoHyphens w:val="true"/>
      <w:bidi w:val="1"/>
      <w:spacing w:before="280" w:after="280"/>
      <w:jc w:val="right"/>
    </w:pPr>
    <w:rPr>
      <w:rFonts w:ascii="SBL Hebrew" w:hAnsi="SBL Hebrew" w:eastAsia="0" w:cs="SBL Hebrew"/>
      <w:color w:val="auto"/>
      <w:kern w:val="2"/>
      <w:sz w:val="24"/>
      <w:szCs w:val="24"/>
      <w:lang w:val="en-US" w:eastAsia="zh-CN" w:bidi="ar-SA"/>
    </w:rPr>
  </w:style>
  <w:style w:type="paragraph" w:styleId="Caption1">
    <w:name w:val="caption"/>
    <w:basedOn w:val="Normal"/>
    <w:next w:val="Normal"/>
    <w:qFormat/>
    <w:pPr>
      <w:spacing w:before="120" w:after="120"/>
    </w:pPr>
    <w:rPr>
      <w:rFonts w:cs="Narkisim"/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LibreOffice/7.5.3.2$Windows_X86_64 LibreOffice_project/9f56dff12ba03b9acd7730a5a481eea045e468f3</Application>
  <AppVersion>15.0000</AppVersion>
  <Pages>1</Pages>
  <Words>540</Words>
  <Characters>2188</Characters>
  <CharactersWithSpaces>2706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2024-07-22T20:48:46Z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