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3" w:after="283"/>
        <w:rPr>
          <w:lang w:bidi="he-IL"/>
        </w:rPr>
      </w:pPr>
      <w:r>
        <w:rPr>
          <w:rtl w:val="true"/>
          <w:lang w:bidi="he-IL"/>
        </w:rPr>
        <w:t>אם אדם אנס או פיתה אשה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חייב לאביה קנס של חמישים שקל כסף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הרבה יוצאים מן הכלל</w:t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1"/>
        </w:numPr>
        <w:rPr>
          <w:lang w:bidi="he-IL"/>
        </w:rPr>
      </w:pPr>
      <w:r>
        <w:rPr>
          <w:rtl w:val="true"/>
          <w:lang w:bidi="he-IL"/>
        </w:rPr>
        <w:t>העוברים עבירה בביאה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מצאנו בזה שני מיני עבירות</w:t>
      </w:r>
      <w:r>
        <w:rPr>
          <w:rtl w:val="true"/>
          <w:lang w:bidi="he-IL"/>
        </w:rPr>
        <w:t>:</w:t>
      </w:r>
    </w:p>
    <w:p>
      <w:pPr>
        <w:pStyle w:val="Normal"/>
        <w:numPr>
          <w:ilvl w:val="1"/>
          <w:numId w:val="1"/>
        </w:numPr>
        <w:rPr>
          <w:lang w:bidi="he-IL"/>
        </w:rPr>
      </w:pPr>
      <w:r>
        <w:rPr>
          <w:rtl w:val="true"/>
          <w:lang w:bidi="he-IL"/>
        </w:rPr>
        <w:t>עבירה שאין בו תפיסת קידושין</w:t>
      </w:r>
      <w:r>
        <w:rPr>
          <w:rtl w:val="true"/>
          <w:lang w:bidi="he-IL"/>
        </w:rPr>
        <w:t>: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רבי שמעון בן מנסיה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 מן הקנס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שכ’ גבי חיוב קנס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לו תהיה לאשה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דורשים שכדי לחייב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שבא על מי שמותר לו לישא</w:t>
      </w:r>
      <w:r>
        <w:rPr>
          <w:rtl w:val="true"/>
          <w:lang w:bidi="he-IL"/>
        </w:rPr>
        <w:t>.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חולקים</w:t>
      </w:r>
      <w:r>
        <w:rPr>
          <w:rtl w:val="true"/>
          <w:lang w:bidi="he-IL"/>
        </w:rPr>
        <w:t>-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שמעון התימני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לו תהיה לאשה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לא משמע כן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אפשר שמודה לרבנן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וזה מוכיח לו פי’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לו תהיה</w:t>
      </w:r>
      <w:r>
        <w:rPr>
          <w:rtl w:val="true"/>
          <w:lang w:bidi="he-IL"/>
        </w:rPr>
        <w:t>.”)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רבנן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ייתור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הנערה</w:t>
      </w:r>
      <w:r>
        <w:rPr>
          <w:rtl w:val="true"/>
          <w:lang w:bidi="he-IL"/>
        </w:rPr>
        <w:t>.”</w:t>
      </w:r>
    </w:p>
    <w:p>
      <w:pPr>
        <w:pStyle w:val="Normal"/>
        <w:numPr>
          <w:ilvl w:val="1"/>
          <w:numId w:val="1"/>
        </w:numPr>
        <w:rPr>
          <w:lang w:bidi="he-IL"/>
        </w:rPr>
      </w:pPr>
      <w:r>
        <w:rPr>
          <w:rtl w:val="true"/>
          <w:lang w:bidi="he-IL"/>
        </w:rPr>
        <w:t>עבירה שיש בו תפיסת קידושין</w:t>
      </w:r>
      <w:r>
        <w:rPr>
          <w:rtl w:val="true"/>
          <w:lang w:bidi="he-IL"/>
        </w:rPr>
        <w:t>: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רבי שמעון בן מנסיה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 מן הקנס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שכ’ גבי חיוב קנס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לו תהיה לאשה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דורשים שכדי לחייב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שבא על מי שמותר לו לישא</w:t>
      </w:r>
      <w:r>
        <w:rPr>
          <w:rtl w:val="true"/>
          <w:lang w:bidi="he-IL"/>
        </w:rPr>
        <w:t>.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שמעון התימני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 מן הקנס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שכ’ גבי חיוב קנס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לו תהיה לאשה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דורשים שצ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תפיסת קידושין כדי לחייב קנס</w:t>
      </w:r>
      <w:r>
        <w:rPr>
          <w:rtl w:val="true"/>
          <w:lang w:bidi="he-IL"/>
        </w:rPr>
        <w:t>.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רבנן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ייתור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הבתולות</w:t>
      </w:r>
      <w:r>
        <w:rPr>
          <w:rtl w:val="true"/>
          <w:lang w:bidi="he-IL"/>
        </w:rPr>
        <w:t>.” (</w:t>
      </w:r>
      <w:r>
        <w:rPr>
          <w:rtl w:val="true"/>
          <w:lang w:bidi="he-IL"/>
        </w:rPr>
        <w:t>גם אפשר להפך דרשות רבנן</w:t>
      </w:r>
      <w:r>
        <w:rPr>
          <w:rtl w:val="true"/>
          <w:lang w:bidi="he-IL"/>
        </w:rPr>
        <w:t>.)</w:t>
      </w:r>
    </w:p>
    <w:p>
      <w:pPr>
        <w:pStyle w:val="Normal"/>
        <w:ind w:left="720" w:hanging="0"/>
        <w:rPr>
          <w:lang w:bidi="he-IL"/>
        </w:rPr>
      </w:pPr>
      <w:r>
        <w:rPr>
          <w:rtl w:val="true"/>
          <w:lang w:bidi="he-IL"/>
        </w:rPr>
        <w:t>בתוך כלל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יימצא גם יוצא שני מן הכלל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צלע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1"/>
        </w:numPr>
        <w:rPr>
          <w:lang w:bidi="he-IL"/>
        </w:rPr>
      </w:pPr>
      <w:r>
        <w:rPr>
          <w:rtl w:val="true"/>
          <w:lang w:bidi="he-IL"/>
        </w:rPr>
        <w:t xml:space="preserve">העוברים עבירה באותו זמן </w:t>
      </w:r>
      <w:r>
        <w:rPr>
          <w:rtl w:val="true"/>
          <w:lang w:bidi="he-IL"/>
        </w:rPr>
        <w:t>:</w:t>
      </w:r>
    </w:p>
    <w:p>
      <w:pPr>
        <w:pStyle w:val="Normal"/>
        <w:numPr>
          <w:ilvl w:val="1"/>
          <w:numId w:val="1"/>
        </w:numPr>
        <w:rPr>
          <w:lang w:bidi="he-IL"/>
        </w:rPr>
      </w:pPr>
      <w:r>
        <w:rPr>
          <w:rtl w:val="true"/>
          <w:lang w:bidi="he-IL"/>
        </w:rPr>
        <w:t xml:space="preserve">איסור מיתה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רק דנים על איסור מיתה שבו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על עונשים אחרים שימצאו בו</w:t>
      </w:r>
      <w:r>
        <w:rPr>
          <w:rtl w:val="true"/>
          <w:lang w:bidi="he-IL"/>
        </w:rPr>
        <w:t>)-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יש בו מיתה</w:t>
      </w:r>
      <w:r>
        <w:rPr>
          <w:rtl w:val="true"/>
          <w:lang w:bidi="he-IL"/>
        </w:rPr>
        <w:t>-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רבי מאיר לפי רבה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שקנס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ממון</w:t>
      </w:r>
      <w:r>
        <w:rPr>
          <w:rtl w:val="true"/>
          <w:lang w:bidi="he-IL"/>
        </w:rPr>
        <w:t>.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אולי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כיון שכ’ ייתור </w:t>
      </w:r>
      <w:r>
        <w:rPr>
          <w:rtl w:val="true"/>
          <w:lang w:bidi="he-IL"/>
        </w:rPr>
        <w:t>(“</w:t>
      </w:r>
      <w:r>
        <w:rPr>
          <w:rtl w:val="true"/>
          <w:lang w:bidi="he-IL"/>
        </w:rPr>
        <w:t>הנערה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בתולות</w:t>
      </w:r>
      <w:r>
        <w:rPr>
          <w:rtl w:val="true"/>
          <w:lang w:bidi="he-IL"/>
        </w:rPr>
        <w:t xml:space="preserve">"), </w:t>
      </w:r>
      <w:r>
        <w:rPr>
          <w:rtl w:val="true"/>
          <w:lang w:bidi="he-IL"/>
        </w:rPr>
        <w:t>שמרבה קנס במקום כרת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הוקש כרת למיתה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שנבאר לקמן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ואז אף במקום מיתה יש קנס</w:t>
      </w:r>
      <w:r>
        <w:rPr>
          <w:rtl w:val="true"/>
          <w:lang w:bidi="he-IL"/>
        </w:rPr>
        <w:t>.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רבי מאיר לפי ריש לקיש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רבנן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 מן הקנס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אם לא יהיה אסון…</w:t>
      </w:r>
      <w:r>
        <w:rPr>
          <w:rtl w:val="true"/>
          <w:lang w:bidi="he-IL"/>
        </w:rPr>
        <w:t>.”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אין בו מיתה</w:t>
      </w:r>
      <w:r>
        <w:rPr>
          <w:rtl w:val="true"/>
          <w:lang w:bidi="he-IL"/>
        </w:rPr>
        <w:t>-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רבי מאיר לפי רבה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שקנס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ממון</w:t>
      </w:r>
      <w:r>
        <w:rPr>
          <w:rtl w:val="true"/>
          <w:lang w:bidi="he-IL"/>
        </w:rPr>
        <w:t>.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חולק על תד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לפי רבנן ורבי מאיר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שרק פוטר אם יש חיוב מיתה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תד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לפי רבנן ורבי מאיר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 מן הקנס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שדורשים אותו בג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ש </w:t>
      </w:r>
      <w:r>
        <w:rPr>
          <w:rtl w:val="true"/>
          <w:lang w:bidi="he-IL"/>
        </w:rPr>
        <w:t>(“</w:t>
      </w:r>
      <w:r>
        <w:rPr>
          <w:rtl w:val="true"/>
          <w:lang w:bidi="he-IL"/>
        </w:rPr>
        <w:t>מכה</w:t>
      </w:r>
      <w:r>
        <w:rPr>
          <w:rtl w:val="true"/>
          <w:lang w:bidi="he-IL"/>
        </w:rPr>
        <w:t>" “</w:t>
      </w:r>
      <w:r>
        <w:rPr>
          <w:rtl w:val="true"/>
          <w:lang w:bidi="he-IL"/>
        </w:rPr>
        <w:t>מכה</w:t>
      </w:r>
      <w:r>
        <w:rPr>
          <w:rtl w:val="true"/>
          <w:lang w:bidi="he-IL"/>
        </w:rPr>
        <w:t xml:space="preserve">") </w:t>
      </w:r>
      <w:r>
        <w:rPr>
          <w:rtl w:val="true"/>
          <w:lang w:bidi="he-IL"/>
        </w:rPr>
        <w:t>ממכה בהמה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תמיד 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תמיד פטור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1"/>
        </w:numPr>
        <w:rPr>
          <w:lang w:bidi="he-IL"/>
        </w:rPr>
      </w:pPr>
      <w:r>
        <w:rPr>
          <w:rtl w:val="true"/>
          <w:lang w:bidi="he-IL"/>
        </w:rPr>
        <w:t xml:space="preserve">איסור כרת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רק דנים על כרת שבו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על עונשים אחרים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חולקים רבנן ורבי יצחק אם גם יש בו חיוב מלקות או לא</w:t>
      </w:r>
      <w:r>
        <w:rPr>
          <w:rtl w:val="true"/>
          <w:lang w:bidi="he-IL"/>
        </w:rPr>
        <w:t>.)-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רבנן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>.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אולי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שיש ריבוי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הנערה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הבתולות</w:t>
      </w:r>
      <w:r>
        <w:rPr>
          <w:rtl w:val="true"/>
          <w:lang w:bidi="he-IL"/>
        </w:rPr>
        <w:t>.”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אולי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 מן הקנס</w:t>
      </w:r>
      <w:r>
        <w:rPr>
          <w:rtl w:val="true"/>
          <w:lang w:bidi="he-IL"/>
        </w:rPr>
        <w:t>: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אביי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דורשים ג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ש ממילת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אסון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שנאמר במיתה בידי אדם ומילת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אסון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שנאמר במיתה שכולל מיתה בידי שמים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רבה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אם העלם יעלימו… ונכרת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שמקיש כרת לחיוב מיתה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1"/>
        </w:numPr>
        <w:rPr>
          <w:lang w:bidi="he-IL"/>
        </w:rPr>
      </w:pPr>
      <w:r>
        <w:rPr>
          <w:rtl w:val="true"/>
          <w:lang w:bidi="he-IL"/>
        </w:rPr>
        <w:t>איסור מיתה בידי שמים</w:t>
      </w:r>
      <w:r>
        <w:rPr>
          <w:rtl w:val="true"/>
          <w:lang w:bidi="he-IL"/>
        </w:rPr>
        <w:t>-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רבנן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>.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אולי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שיש ריבוי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הנערה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הבתולות</w:t>
      </w:r>
      <w:r>
        <w:rPr>
          <w:rtl w:val="true"/>
          <w:lang w:bidi="he-IL"/>
        </w:rPr>
        <w:t>.”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 לרבא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בקנס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מקור למעט אותו</w:t>
      </w:r>
      <w:r>
        <w:rPr>
          <w:rtl w:val="true"/>
          <w:lang w:bidi="he-IL"/>
        </w:rPr>
        <w:t>.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אולי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 בן הקנה לאביי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 מן הקנס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שדורשים ג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ש ממילת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אסון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שנאמר במיתה בידי אדם ומילת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אסון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שנאמר במיתה שכולל מיתה בידי שמים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1"/>
        </w:numPr>
        <w:rPr>
          <w:lang w:bidi="he-IL"/>
        </w:rPr>
      </w:pPr>
      <w:r>
        <w:rPr>
          <w:rtl w:val="true"/>
          <w:lang w:bidi="he-IL"/>
        </w:rPr>
        <w:t>איסור מלקות</w:t>
      </w:r>
      <w:r>
        <w:rPr>
          <w:rtl w:val="true"/>
          <w:lang w:bidi="he-IL"/>
        </w:rPr>
        <w:t>: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 xml:space="preserve">יש מלקות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לפי עולא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 אפשר שיש בו מלקות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כיון שדורש ג”ש </w:t>
      </w:r>
      <w:r>
        <w:rPr>
          <w:rtl w:val="true"/>
          <w:lang w:bidi="he-IL"/>
        </w:rPr>
        <w:t>(“</w:t>
      </w:r>
      <w:r>
        <w:rPr>
          <w:rtl w:val="true"/>
          <w:lang w:bidi="he-IL"/>
        </w:rPr>
        <w:t>תחת”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מן חובל בחברו</w:t>
      </w:r>
      <w:r>
        <w:rPr>
          <w:rtl w:val="true"/>
          <w:lang w:bidi="he-IL"/>
        </w:rPr>
        <w:t>):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רבי מאיר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שנלמד מעדים זוממים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שנלמדים ממוציא שם רע</w:t>
      </w:r>
      <w:r>
        <w:rPr>
          <w:rtl w:val="true"/>
          <w:lang w:bidi="he-IL"/>
        </w:rPr>
        <w:t>.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רבנן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 מקנס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כדי רשעתו</w:t>
      </w:r>
      <w:r>
        <w:rPr>
          <w:rtl w:val="true"/>
          <w:lang w:bidi="he-IL"/>
        </w:rPr>
        <w:t>.”</w:t>
      </w:r>
    </w:p>
    <w:p>
      <w:pPr>
        <w:pStyle w:val="Normal"/>
        <w:numPr>
          <w:ilvl w:val="2"/>
          <w:numId w:val="1"/>
        </w:numPr>
        <w:rPr>
          <w:lang w:bidi="he-IL"/>
        </w:rPr>
      </w:pPr>
      <w:r>
        <w:rPr>
          <w:rtl w:val="true"/>
          <w:lang w:bidi="he-IL"/>
        </w:rPr>
        <w:t>אין מלקות</w:t>
      </w:r>
      <w:r>
        <w:rPr>
          <w:rtl w:val="true"/>
          <w:lang w:bidi="he-IL"/>
        </w:rPr>
        <w:t>: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ר”נ בן הקנה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שנלמד מעדים זוממים</w:t>
      </w:r>
      <w:r>
        <w:rPr>
          <w:rtl w:val="true"/>
          <w:lang w:bidi="he-IL"/>
        </w:rPr>
        <w:t>.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רבנן לפי רבי יוחנן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שאין בו מלקות</w:t>
      </w:r>
      <w:r>
        <w:rPr>
          <w:rtl w:val="true"/>
          <w:lang w:bidi="he-IL"/>
        </w:rPr>
        <w:t>.</w:t>
      </w:r>
    </w:p>
    <w:p>
      <w:pPr>
        <w:pStyle w:val="Normal"/>
        <w:numPr>
          <w:ilvl w:val="3"/>
          <w:numId w:val="1"/>
        </w:numPr>
        <w:rPr>
          <w:lang w:bidi="he-IL"/>
        </w:rPr>
      </w:pPr>
      <w:r>
        <w:rPr>
          <w:rtl w:val="true"/>
          <w:lang w:bidi="he-IL"/>
        </w:rPr>
        <w:t>רבנן לפי ריש לקיש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 מקנס</w:t>
      </w:r>
      <w:r>
        <w:rPr>
          <w:rtl w:val="true"/>
          <w:lang w:bidi="he-IL"/>
        </w:rPr>
        <w:t>-</w:t>
      </w:r>
    </w:p>
    <w:p>
      <w:pPr>
        <w:pStyle w:val="Normal"/>
        <w:numPr>
          <w:ilvl w:val="4"/>
          <w:numId w:val="1"/>
        </w:numPr>
        <w:rPr>
          <w:lang w:bidi="he-IL"/>
        </w:rPr>
      </w:pPr>
      <w:r>
        <w:rPr>
          <w:rtl w:val="true"/>
          <w:lang w:bidi="he-IL"/>
        </w:rPr>
        <w:t>רבא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לומדים את זה ממכה בהמה בג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 או סמיכות</w:t>
      </w:r>
      <w:r>
        <w:rPr>
          <w:rtl w:val="true"/>
          <w:lang w:bidi="he-IL"/>
        </w:rPr>
        <w:t>.</w:t>
      </w:r>
    </w:p>
    <w:p>
      <w:pPr>
        <w:pStyle w:val="Normal"/>
        <w:numPr>
          <w:ilvl w:val="4"/>
          <w:numId w:val="1"/>
        </w:numPr>
        <w:rPr>
          <w:lang w:bidi="he-IL"/>
        </w:rPr>
      </w:pPr>
      <w:r>
        <w:rPr>
          <w:rtl w:val="true"/>
          <w:lang w:bidi="he-IL"/>
        </w:rPr>
        <w:t>אביי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לומדים את זה מחיוב מיתה בגזרה שווה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1"/>
        </w:numPr>
        <w:rPr>
          <w:lang w:bidi="he-IL"/>
        </w:rPr>
      </w:pPr>
      <w:r>
        <w:rPr>
          <w:rtl w:val="true"/>
          <w:lang w:bidi="he-IL"/>
        </w:rPr>
        <w:t>איסור אחר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לא פוטר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1"/>
        </w:numPr>
        <w:rPr>
          <w:lang w:bidi="he-IL"/>
        </w:rPr>
      </w:pPr>
      <w:r>
        <w:rPr>
          <w:rtl w:val="true"/>
          <w:lang w:bidi="he-IL"/>
        </w:rPr>
        <w:t>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בזה</w:t>
      </w:r>
      <w:r>
        <w:rPr>
          <w:rtl w:val="true"/>
          <w:lang w:bidi="he-IL"/>
        </w:rPr>
        <w:t>:</w:t>
      </w:r>
    </w:p>
    <w:p>
      <w:pPr>
        <w:pStyle w:val="Normal"/>
        <w:numPr>
          <w:ilvl w:val="1"/>
          <w:numId w:val="1"/>
        </w:numPr>
        <w:rPr>
          <w:lang w:bidi="he-IL"/>
        </w:rPr>
      </w:pPr>
      <w:r>
        <w:rPr>
          <w:rtl w:val="true"/>
          <w:lang w:bidi="he-IL"/>
        </w:rPr>
        <w:t>רבי מאיר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פטור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לו תהיה לאשה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ואין קטנה מהווה 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1"/>
        </w:numPr>
        <w:rPr>
          <w:lang w:bidi="he-IL"/>
        </w:rPr>
      </w:pPr>
      <w:r>
        <w:rPr>
          <w:rtl w:val="true"/>
          <w:lang w:bidi="he-IL"/>
        </w:rPr>
        <w:t>רבנן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חייב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נערה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כ’ בלי 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1"/>
        </w:numPr>
        <w:rPr>
          <w:lang w:bidi="he-IL"/>
        </w:rPr>
      </w:pPr>
      <w:r>
        <w:rPr>
          <w:rtl w:val="true"/>
          <w:lang w:bidi="he-IL"/>
        </w:rPr>
        <w:t>בוגרת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אין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נערה</w:t>
      </w:r>
      <w:r>
        <w:rPr>
          <w:rtl w:val="true"/>
          <w:lang w:bidi="he-IL"/>
        </w:rPr>
        <w:t>.”</w:t>
      </w:r>
    </w:p>
    <w:p>
      <w:pPr>
        <w:pStyle w:val="Normal"/>
        <w:numPr>
          <w:ilvl w:val="0"/>
          <w:numId w:val="1"/>
        </w:numPr>
        <w:rPr>
          <w:lang w:bidi="he-IL"/>
        </w:rPr>
      </w:pPr>
      <w:r>
        <w:rPr>
          <w:rtl w:val="true"/>
          <w:lang w:bidi="he-IL"/>
        </w:rPr>
        <w:t>בעולה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אין 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בתולה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מצאנו שלש מיני ראיות לזה</w:t>
      </w:r>
      <w:r>
        <w:rPr>
          <w:rtl w:val="true"/>
          <w:lang w:bidi="he-IL"/>
        </w:rPr>
        <w:t>:</w:t>
      </w:r>
    </w:p>
    <w:p>
      <w:pPr>
        <w:pStyle w:val="Normal"/>
        <w:numPr>
          <w:ilvl w:val="1"/>
          <w:numId w:val="1"/>
        </w:numPr>
        <w:rPr>
          <w:lang w:bidi="he-IL"/>
        </w:rPr>
      </w:pPr>
      <w:r>
        <w:rPr>
          <w:rtl w:val="true"/>
          <w:lang w:bidi="he-IL"/>
        </w:rPr>
        <w:t>עדים על ביאה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1"/>
        </w:numPr>
        <w:rPr>
          <w:lang w:bidi="he-IL"/>
        </w:rPr>
      </w:pPr>
      <w:r>
        <w:rPr>
          <w:rtl w:val="true"/>
          <w:lang w:bidi="he-IL"/>
        </w:rPr>
        <w:t>עדים שהיתה נשואה</w:t>
      </w:r>
      <w:r>
        <w:rPr>
          <w:rtl w:val="true"/>
          <w:lang w:bidi="he-IL"/>
        </w:rPr>
        <w:t>.</w:t>
      </w:r>
    </w:p>
    <w:p>
      <w:pPr>
        <w:pStyle w:val="Normal"/>
        <w:numPr>
          <w:ilvl w:val="1"/>
          <w:numId w:val="1"/>
        </w:numPr>
        <w:spacing w:before="283" w:after="283"/>
        <w:rPr>
          <w:lang w:bidi="he-IL"/>
        </w:rPr>
      </w:pPr>
      <w:r>
        <w:rPr>
          <w:rtl w:val="true"/>
          <w:lang w:bidi="he-IL"/>
        </w:rPr>
        <w:t>עדים שמעידים ששאלה להם לזנות עמה</w:t>
      </w:r>
      <w:r>
        <w:rPr>
          <w:rtl w:val="true"/>
          <w:lang w:bidi="he-IL"/>
        </w:rPr>
        <w:t>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1440" w:top="2605" w:footer="1440" w:bottom="260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auto"/>
    <w:pitch w:val="default"/>
  </w:font>
  <w:font w:name="SBL Hebrew">
    <w:charset w:val="01"/>
    <w:family w:val="auto"/>
    <w:pitch w:val="default"/>
  </w:font>
  <w:font w:name="Calibri Light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Courier New">
    <w:charset w:val="01"/>
    <w:family w:val="auto"/>
    <w:pitch w:val="default"/>
  </w:font>
  <w:font w:name="Calibri">
    <w:charset w:val="01"/>
    <w:family w:val="auto"/>
    <w:pitch w:val="default"/>
  </w:font>
  <w:font w:name="Arial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283" w:after="283"/>
      <w:jc w:val="center"/>
      <w:rPr/>
    </w:pPr>
    <w:r>
      <w:rPr>
        <w:rFonts w:ascii="SBL Hebrew" w:hAnsi="SBL Hebrew"/>
        <w:rtl w:val="true"/>
        <w:lang w:bidi="he-IL"/>
      </w:rPr>
      <w:t>חרב אל הבדים</w:t>
    </w:r>
    <w:r>
      <w:rPr>
        <w:rtl w:val="true"/>
        <w:lang w:bidi="he-IL"/>
      </w:rPr>
      <w:t xml:space="preserve">- </w:t>
    </w:r>
    <w:r>
      <w:rPr>
        <w:rFonts w:ascii="SBL Hebrew" w:hAnsi="SBL Hebrew"/>
        <w:rtl w:val="true"/>
        <w:lang w:bidi="he-IL"/>
      </w:rPr>
      <w:t>אלו נערות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83" w:after="283"/>
      <w:jc w:val="center"/>
      <w:rPr>
        <w:lang w:bidi="he-IL"/>
      </w:rPr>
    </w:pPr>
    <w:r>
      <w:rPr>
        <w:rtl w:val="true"/>
        <w:lang w:bidi="he-IL"/>
      </w:rPr>
      <w:t>סיכום כללי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59" w:before="283" w:after="283"/>
      <w:jc w:val="left"/>
    </w:pPr>
    <w:rPr>
      <w:rFonts w:ascii="SBL Hebrew" w:hAnsi="SBL Hebrew" w:eastAsia="Calibri" w:cs="SBL Hebrew" w:eastAsia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ind w:left="283" w:hanging="0"/>
      <w:outlineLvl w:val="0"/>
    </w:pPr>
    <w:rPr>
      <w:rFonts w:ascii="Calibri Light" w:hAnsi="Calibri Light" w:eastAsia="SimSun"/>
      <w:bCs/>
      <w:color w:val="000000"/>
      <w:sz w:val="32"/>
      <w:lang w:bidi="he-IL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ind w:left="567" w:hanging="0"/>
      <w:outlineLvl w:val="1"/>
    </w:pPr>
    <w:rPr>
      <w:rFonts w:ascii="Calibri Light" w:hAnsi="Calibri Light" w:eastAsia="SimSun"/>
      <w:bCs/>
      <w:color w:val="000000"/>
      <w:sz w:val="26"/>
      <w:lang w:bidi="he-IL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ind w:left="850" w:hanging="0"/>
      <w:outlineLvl w:val="2"/>
    </w:pPr>
    <w:rPr>
      <w:rFonts w:ascii="Calibri Light" w:hAnsi="Calibri Light" w:eastAsia="SimSun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ind w:left="1134" w:hanging="0"/>
      <w:outlineLvl w:val="3"/>
    </w:pPr>
    <w:rPr>
      <w:rFonts w:ascii="Calibri Light" w:hAnsi="Calibri Light" w:eastAsia="SimSun"/>
      <w:bCs/>
      <w:i/>
      <w:color w:val="000000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ind w:left="1417" w:hanging="0"/>
      <w:outlineLvl w:val="4"/>
    </w:pPr>
    <w:rPr>
      <w:rFonts w:ascii="Calibri Light" w:hAnsi="Calibri Light" w:eastAsia="SimSun"/>
      <w:bCs/>
      <w:color w:val="000000"/>
    </w:rPr>
  </w:style>
  <w:style w:type="paragraph" w:styleId="Heading6">
    <w:name w:val="Heading 6"/>
    <w:basedOn w:val="Normal"/>
    <w:next w:val="Normal"/>
    <w:qFormat/>
    <w:pPr>
      <w:keepNext w:val="true"/>
      <w:keepLines/>
      <w:spacing w:lineRule="auto" w:line="12"/>
      <w:ind w:left="1701" w:hanging="0"/>
      <w:outlineLvl w:val="5"/>
    </w:pPr>
    <w:rPr>
      <w:b/>
      <w:bCs/>
      <w:color w:val="000000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qFormat/>
    <w:rPr/>
  </w:style>
  <w:style w:type="character" w:styleId="Style8" w:customStyle="1">
    <w:name w:val="תווי הערת סיום"/>
    <w:qFormat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Style9" w:customStyle="1">
    <w:name w:val="תווי הערת שוליים"/>
    <w:qFormat/>
    <w:rPr>
      <w:vertAlign w:val="superscript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rPr>
      <w:color w:val="000080"/>
      <w:u w:val="single"/>
    </w:rPr>
  </w:style>
  <w:style w:type="character" w:styleId="Strong">
    <w:name w:val="Strong"/>
    <w:qFormat/>
    <w:rPr>
      <w:b/>
    </w:rPr>
  </w:style>
  <w:style w:type="character" w:styleId="Heading1Char" w:customStyle="1">
    <w:name w:val="Heading 1 Char"/>
    <w:basedOn w:val="DefaultParagraphFont"/>
    <w:link w:val="Heading1"/>
    <w:qFormat/>
    <w:rPr>
      <w:rFonts w:ascii="Calibri Light" w:hAnsi="Calibri Light" w:eastAsia="SimSun" w:cs="DengXian Light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qFormat/>
    <w:rPr>
      <w:rFonts w:ascii="Calibri Light" w:hAnsi="Calibri Light" w:eastAsia="SimSun" w:cs="DengXian Light"/>
      <w:color w:val="2F5496"/>
      <w:sz w:val="26"/>
      <w:szCs w:val="26"/>
    </w:rPr>
  </w:style>
  <w:style w:type="character" w:styleId="FootnoteTextChar" w:customStyle="1">
    <w:name w:val="Footnote Text Char"/>
    <w:basedOn w:val="DefaultParagraphFont"/>
    <w:link w:val="Footnote"/>
    <w:qFormat/>
    <w:rPr>
      <w:sz w:val="20"/>
      <w:szCs w:val="20"/>
    </w:rPr>
  </w:style>
  <w:style w:type="character" w:styleId="Heading3Char" w:customStyle="1">
    <w:name w:val="Heading 3 Char"/>
    <w:basedOn w:val="DefaultParagraphFont"/>
    <w:link w:val="Heading3"/>
    <w:qFormat/>
    <w:rPr>
      <w:rFonts w:ascii="Calibri Light" w:hAnsi="Calibri Light" w:eastAsia="SimSun" w:cs="DengXian Light"/>
      <w:color w:val="1F3864"/>
      <w:sz w:val="24"/>
      <w:szCs w:val="24"/>
    </w:rPr>
  </w:style>
  <w:style w:type="character" w:styleId="Heading4Char" w:customStyle="1">
    <w:name w:val="Heading 4 Char"/>
    <w:basedOn w:val="DefaultParagraphFont"/>
    <w:link w:val="Heading4"/>
    <w:qFormat/>
    <w:rPr>
      <w:rFonts w:ascii="Calibri Light" w:hAnsi="Calibri Light" w:eastAsia="SimSun" w:cs="DengXian Light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qFormat/>
    <w:rPr>
      <w:rFonts w:ascii="Calibri Light" w:hAnsi="Calibri Light" w:eastAsia="SimSun" w:cs="DengXian Light"/>
      <w:color w:val="2F5496"/>
    </w:rPr>
  </w:style>
  <w:style w:type="character" w:styleId="Style10" w:customStyle="1">
    <w:name w:val="סמלי מספור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CITE" w:customStyle="1">
    <w:name w:val="CITE"/>
    <w:qFormat/>
    <w:rPr>
      <w:i/>
    </w:rPr>
  </w:style>
  <w:style w:type="character" w:styleId="CODE" w:customStyle="1">
    <w:name w:val="CODE"/>
    <w:qFormat/>
    <w:rPr>
      <w:rFonts w:ascii="Courier New" w:hAnsi="Courier New"/>
      <w:sz w:val="20"/>
    </w:rPr>
  </w:style>
  <w:style w:type="character" w:styleId="Keyboard" w:customStyle="1">
    <w:name w:val="Keyboard"/>
    <w:qFormat/>
    <w:rPr>
      <w:rFonts w:ascii="Courier New" w:hAnsi="Courier New"/>
      <w:b/>
      <w:sz w:val="20"/>
    </w:rPr>
  </w:style>
  <w:style w:type="character" w:styleId="Sample" w:customStyle="1">
    <w:name w:val="Sample"/>
    <w:qFormat/>
    <w:rPr>
      <w:rFonts w:ascii="Courier New" w:hAnsi="Courier New"/>
    </w:rPr>
  </w:style>
  <w:style w:type="character" w:styleId="Typewriter" w:customStyle="1">
    <w:name w:val="Typewriter"/>
    <w:qFormat/>
    <w:rPr>
      <w:rFonts w:ascii="Courier New" w:hAnsi="Courier New"/>
      <w:sz w:val="20"/>
    </w:rPr>
  </w:style>
  <w:style w:type="character" w:styleId="HTMLMarkup" w:customStyle="1">
    <w:name w:val="HTML Markup"/>
    <w:qFormat/>
    <w:rPr>
      <w:vanish/>
      <w:color w:val="FF0000"/>
    </w:rPr>
  </w:style>
  <w:style w:type="character" w:styleId="Comment" w:customStyle="1">
    <w:name w:val="Comment"/>
    <w:qFormat/>
    <w:rPr>
      <w:vanish/>
    </w:rPr>
  </w:style>
  <w:style w:type="character" w:styleId="BodyTextChar" w:customStyle="1">
    <w:name w:val="Body Text Char"/>
    <w:basedOn w:val="DefaultParagraphFont"/>
    <w:qFormat/>
    <w:rPr>
      <w:rFonts w:ascii="Calibri" w:hAnsi="Calibri" w:eastAsia="Calibri"/>
      <w:sz w:val="22"/>
      <w:szCs w:val="22"/>
      <w:lang w:val="en-US" w:eastAsia="en-US" w:bidi="ar-SA"/>
    </w:rPr>
  </w:style>
  <w:style w:type="character" w:styleId="NumberingSymbols" w:customStyle="1">
    <w:name w:val="Numbering Symbols"/>
    <w:qFormat/>
    <w:rPr/>
  </w:style>
  <w:style w:type="character" w:styleId="FootnoteTextChar1" w:customStyle="1">
    <w:name w:val="Footnote Text Char1"/>
    <w:basedOn w:val="DefaultParagraphFont"/>
    <w:qFormat/>
    <w:rPr>
      <w:sz w:val="24"/>
      <w:szCs w:val="24"/>
    </w:rPr>
  </w:style>
  <w:style w:type="character" w:styleId="LineNumbering">
    <w:name w:val="Line Number"/>
    <w:rPr/>
  </w:style>
  <w:style w:type="character" w:styleId="FooterChar">
    <w:name w:val="Footer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Heading9Char">
    <w:name w:val="Heading 9 Char"/>
    <w:qFormat/>
    <w:rPr>
      <w:rFonts w:ascii="Calibri Light" w:hAnsi="Calibri Light" w:eastAsia="等线 Light" w:cs="Noto Rashi Hebrew Light"/>
      <w:bCs/>
      <w:i/>
      <w:color w:val="000000"/>
      <w:sz w:val="21"/>
      <w:szCs w:val="20"/>
    </w:rPr>
  </w:style>
  <w:style w:type="character" w:styleId="Char">
    <w:name w:val="אגב Char"/>
    <w:qFormat/>
    <w:rPr>
      <w:rFonts w:ascii="Arial" w:hAnsi="Arial" w:eastAsia="Times New Roman" w:cs="Noto Rashi Hebrew Light"/>
      <w:color w:val="000000"/>
      <w:sz w:val="24"/>
      <w:szCs w:val="20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link w:val="BodyTextChar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SBL Hebrew" w:hAnsi="SBL Hebrew"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next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Style11" w:customStyle="1">
    <w:name w:val="Style1"/>
    <w:basedOn w:val="Normal"/>
    <w:qFormat/>
    <w:rsid w:val="008664aa"/>
    <w:pPr>
      <w:spacing w:lineRule="auto" w:line="240" w:before="0" w:after="0"/>
      <w:contextualSpacing/>
    </w:pPr>
    <w:rPr>
      <w:rFonts w:cs="Shofar"/>
    </w:rPr>
  </w:style>
  <w:style w:type="paragraph" w:styleId="Style21" w:customStyle="1">
    <w:name w:val="Style2"/>
    <w:basedOn w:val="Style11"/>
    <w:qFormat/>
    <w:rsid w:val="008664aa"/>
    <w:pPr/>
    <w:rPr>
      <w:rFonts w:cs="BenOr Rashi"/>
    </w:rPr>
  </w:style>
  <w:style w:type="paragraph" w:styleId="Style12" w:customStyle="1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3" w:customStyle="1">
    <w:name w:val="מפתחות"/>
    <w:basedOn w:val="Normal"/>
    <w:qFormat/>
    <w:pPr>
      <w:suppressLineNumbers/>
    </w:pPr>
    <w:rPr>
      <w:rFonts w:cs="Narkisim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/>
    <w:rPr/>
  </w:style>
  <w:style w:type="paragraph" w:styleId="Footnote">
    <w:name w:val="Footnote Text"/>
    <w:basedOn w:val="Normal"/>
    <w:link w:val="FootnoteTextChar"/>
    <w:pPr>
      <w:spacing w:lineRule="auto" w:line="240"/>
      <w:ind w:left="340" w:hanging="340"/>
    </w:pPr>
    <w:rPr>
      <w:rFonts w:cs="Guttman Rashi"/>
      <w:sz w:val="20"/>
      <w:szCs w:val="20"/>
    </w:rPr>
  </w:style>
  <w:style w:type="paragraph" w:styleId="NormalWeb">
    <w:name w:val="Normal (Web)"/>
    <w:qFormat/>
    <w:pPr>
      <w:widowControl w:val="false"/>
      <w:suppressAutoHyphens w:val="true"/>
      <w:bidi w:val="1"/>
      <w:spacing w:lineRule="auto" w:line="259" w:before="280" w:after="280"/>
      <w:jc w:val="righ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bidi="ar-SA" w:eastAsia="zh-CN"/>
    </w:rPr>
  </w:style>
  <w:style w:type="paragraph" w:styleId="DefinitionTerm" w:customStyle="1">
    <w:name w:val="Definition Term"/>
    <w:basedOn w:val="Normal"/>
    <w:qFormat/>
    <w:pPr/>
    <w:rPr/>
  </w:style>
  <w:style w:type="paragraph" w:styleId="DefinitionList" w:customStyle="1">
    <w:name w:val="Definition List"/>
    <w:basedOn w:val="Normal"/>
    <w:next w:val="DefinitionTerm"/>
    <w:qFormat/>
    <w:pPr>
      <w:ind w:left="360" w:hanging="0"/>
    </w:pPr>
    <w:rPr/>
  </w:style>
  <w:style w:type="paragraph" w:styleId="H1" w:customStyle="1">
    <w:name w:val="H1"/>
    <w:basedOn w:val="Normal"/>
    <w:next w:val="Normal"/>
    <w:qFormat/>
    <w:pPr>
      <w:keepNext w:val="true"/>
      <w:spacing w:before="100" w:after="100"/>
      <w:outlineLvl w:val="1"/>
    </w:pPr>
    <w:rPr>
      <w:b/>
      <w:kern w:val="2"/>
      <w:sz w:val="48"/>
    </w:rPr>
  </w:style>
  <w:style w:type="paragraph" w:styleId="H2" w:customStyle="1">
    <w:name w:val="H2"/>
    <w:basedOn w:val="Normal"/>
    <w:next w:val="Normal"/>
    <w:qFormat/>
    <w:pPr>
      <w:keepNext w:val="true"/>
      <w:spacing w:before="100" w:after="100"/>
      <w:outlineLvl w:val="2"/>
    </w:pPr>
    <w:rPr>
      <w:b/>
      <w:sz w:val="36"/>
    </w:rPr>
  </w:style>
  <w:style w:type="paragraph" w:styleId="H3" w:customStyle="1">
    <w:name w:val="H3"/>
    <w:basedOn w:val="Normal"/>
    <w:next w:val="Normal"/>
    <w:qFormat/>
    <w:pPr>
      <w:keepNext w:val="true"/>
      <w:spacing w:before="100" w:after="100"/>
      <w:outlineLvl w:val="3"/>
    </w:pPr>
    <w:rPr>
      <w:b/>
      <w:sz w:val="28"/>
    </w:rPr>
  </w:style>
  <w:style w:type="paragraph" w:styleId="H4" w:customStyle="1">
    <w:name w:val="H4"/>
    <w:basedOn w:val="Normal"/>
    <w:next w:val="Normal"/>
    <w:qFormat/>
    <w:pPr>
      <w:keepNext w:val="true"/>
      <w:spacing w:before="100" w:after="100"/>
      <w:outlineLvl w:val="4"/>
    </w:pPr>
    <w:rPr>
      <w:b/>
      <w:sz w:val="24"/>
    </w:rPr>
  </w:style>
  <w:style w:type="paragraph" w:styleId="H5" w:customStyle="1">
    <w:name w:val="H5"/>
    <w:basedOn w:val="Normal"/>
    <w:next w:val="Normal"/>
    <w:qFormat/>
    <w:pPr>
      <w:keepNext w:val="true"/>
      <w:spacing w:before="100" w:after="100"/>
      <w:outlineLvl w:val="5"/>
    </w:pPr>
    <w:rPr>
      <w:b/>
      <w:sz w:val="20"/>
    </w:rPr>
  </w:style>
  <w:style w:type="paragraph" w:styleId="H6" w:customStyle="1">
    <w:name w:val="H6"/>
    <w:basedOn w:val="Normal"/>
    <w:next w:val="Normal"/>
    <w:qFormat/>
    <w:pPr>
      <w:keepNext w:val="true"/>
      <w:spacing w:before="100" w:after="100"/>
      <w:outlineLvl w:val="6"/>
    </w:pPr>
    <w:rPr>
      <w:b/>
      <w:sz w:val="16"/>
    </w:rPr>
  </w:style>
  <w:style w:type="paragraph" w:styleId="Address" w:customStyle="1">
    <w:name w:val="Address"/>
    <w:basedOn w:val="Normal"/>
    <w:next w:val="Normal"/>
    <w:qFormat/>
    <w:pPr/>
    <w:rPr>
      <w:i/>
    </w:rPr>
  </w:style>
  <w:style w:type="paragraph" w:styleId="Blockquote" w:customStyle="1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Preformatted" w:customStyle="1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Z-BottomofForm1" w:customStyle="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bidi w:val="0"/>
      <w:spacing w:lineRule="auto" w:line="259"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bidi="hi-IN" w:val="en-GB" w:eastAsia="zh-CN"/>
    </w:rPr>
  </w:style>
  <w:style w:type="paragraph" w:styleId="Z-TopofForm1" w:customStyle="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bidi w:val="0"/>
      <w:spacing w:lineRule="auto" w:line="259"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bidi="hi-IN" w:val="en-GB" w:eastAsia="zh-CN"/>
    </w:rPr>
  </w:style>
  <w:style w:type="paragraph" w:styleId="ComplimentaryClose">
    <w:name w:val="Salutation"/>
    <w:basedOn w:val="Normal"/>
    <w:pPr>
      <w:suppressLineNumbers/>
    </w:pPr>
    <w:rPr/>
  </w:style>
  <w:style w:type="paragraph" w:styleId="TableNormal1" w:customStyle="1">
    <w:name w:val="Table 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en-GB" w:eastAsia="zh-CN" w:bidi="he-IL"/>
    </w:rPr>
  </w:style>
  <w:style w:type="paragraph" w:styleId="ListParagraph">
    <w:name w:val="List Paragraph"/>
    <w:basedOn w:val="Normal"/>
    <w:qFormat/>
    <w:pPr>
      <w:ind w:left="720" w:right="720" w:hanging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Times New Roman" w:hAnsi="Times New Roman" w:eastAsia="SimSun" w:cs="Times New Roman"/>
      <w:color w:val="auto"/>
      <w:kern w:val="2"/>
      <w:sz w:val="20"/>
      <w:szCs w:val="20"/>
      <w:lang w:val="en-GB" w:eastAsia="zh-CN" w:bidi="he-IL"/>
    </w:rPr>
  </w:style>
  <w:style w:type="paragraph" w:styleId="Style14">
    <w:name w:val="אגב"/>
    <w:basedOn w:val="Normal"/>
    <w:qFormat/>
    <w:pPr/>
    <w:rPr>
      <w:rFonts w:ascii="Arial" w:hAnsi="Arial" w:cs="Noto Rashi Hebrew Light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Application>LibreOffice/7.5.3.2$Windows_X86_64 LibreOffice_project/9f56dff12ba03b9acd7730a5a481eea045e468f3</Application>
  <AppVersion>15.0000</AppVersion>
  <Pages>4</Pages>
  <Words>602</Words>
  <Characters>2430</Characters>
  <CharactersWithSpaces>2927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dc:language>en-US</dc:language>
  <cp:lastModifiedBy/>
  <dcterms:modified xsi:type="dcterms:W3CDTF">2024-07-22T20:49:13Z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