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אחד מן הדרכים לדרוש דין הוא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צד השווה נאמר כשמצאנו דין בשני מקומות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ובכל אחד מהם יש פירכא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להם אותו פירכא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כשזה קורה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ללמוד משניהם כאחד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ההסבר הוא כך</w:t>
      </w:r>
      <w:r>
        <w:rPr>
          <w:rFonts w:eastAsia="Times New Roman"/>
          <w:b w:val="false"/>
          <w:i w:val="false"/>
          <w:sz w:val="24"/>
          <w:rtl w:val="true"/>
        </w:rPr>
        <w:t xml:space="preserve">: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מצינו הוא שיש ראיה לדין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שהרי הוא נוהג במקום א’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ואין חילוק בין מקום א’ למקום ב’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פירכא דוחה את הראיה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אומר שיש חילוק בין מקום א’ למקום ב’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ואולי מפני חילוק זה יהיה חילוק בדין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כשמצאנו מקום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אומר שאי אפשר שדין הנידון צריך דין שיש בא’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שהרי דין הנידון גם שייך בג’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שאין לו דין הנידון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מסתבר לגמ’ שצריך או דין הנמצא בא’ או דין הנמצא בג’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שאין דבר שמאחד אותם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2"/>
      </w:r>
      <w:r>
        <w:rPr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3"/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יש להעיר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ואולי זה יהיה חשוב לקמן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שנראה שיכול להיות שלש מינים של דיחויים שיוצאים מפירכות</w:t>
      </w:r>
      <w:r>
        <w:rPr>
          <w:rFonts w:eastAsia="Times New Roman"/>
          <w:b w:val="false"/>
          <w:i w:val="false"/>
          <w:sz w:val="24"/>
          <w:rtl w:val="true"/>
        </w:rPr>
        <w:t>: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left="720" w:hanging="36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לפעמים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ידחה שדין זה ינהג בא’ ולא בב’ כיון שא’ יותר חמור מב’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left="720" w:hanging="36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לפעמים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ידחה שדין זה ינהג בא’ ולא בב’ כיון שא’ יותר חמור מב’ באופן אחד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left="720" w:hanging="36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לפעמים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ידחה שדין זה ינהג בא’ ולא בב’ כיון שרוצה ה’ שחומרות ינהגו בא’ יותר מב’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ind w:firstLine="36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בכל פירכא שנמצא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נוכל לדון מהו הדיחוי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תמיד יהיה פשוט</w:t>
      </w:r>
      <w:r>
        <w:rPr>
          <w:rFonts w:eastAsia="Times New Roman"/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4"/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הדרך לדחות צד השווה הוא לומר שיש צד אחד שמיחד את 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 אפשר ללמוד מא’ או מג’ כיון שנוכל לומר שלא’ יש דין זה מפני שיש לו דין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ולג’ יש לו דין זה מפני שיש לו אותו דין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פירכא על הלימוד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פירכא על כל מה מצינו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לפעמים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שגמ’ יאמר צד השווה מחודש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שיאמר שהצד השווה ביניהם שגורם לאותו דין הנידון הוא שיש להם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בע”ה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נביא ארבע גמרות שיש בהם אותו דיחוי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ונבאר אותם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הפעם הראשונה שמצאנו אותו הוא בפסחים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עז</w:t>
      </w:r>
      <w:r>
        <w:rPr>
          <w:rFonts w:eastAsia="Times New Roman"/>
          <w:b w:val="false"/>
          <w:i w:val="false"/>
          <w:sz w:val="24"/>
          <w:rtl w:val="true"/>
        </w:rPr>
        <w:t xml:space="preserve">.).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משנה מונה קרבנות שדוחים שבת וטומאה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ומביאים פסוק להם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מקשה גמ’ למה לא לומדים מפסח ותמיד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שכבר יש פסוק שאומר שדוחים שבת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תי’ שאי אפשר ללמוד מתמיד כיון שהוא תדיר וכליל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ואי אפשר ללמוד מפסח כיון שיש חיוב כרת אם לא מביא אותו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 אפשר ללמוד צד השווה משניהם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שיש צד שמייחד את 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שיש להם 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ומפרש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תמיד תדיר וכליל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ופסח יש בו עונש כרת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מגמ’ זה יוצא שלפעמים צריכים פסוק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לומדים מצד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שיש צד אחד שהוא שווה בין שני המקומות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מה שיש להם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שרק רואים מזה שזה יכול להיות סיבה שנצטרך לקרא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יכולים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עדיין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לדרוש את הצד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הרי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מצאנו מושג שאומרים בקל וחומר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ור”ן כ’ שגם אומרים אותו בגזרה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שלפעמים אף שיש מקור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טרח ה’ לכתוב אותו בקרא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עיין בתוס’ בשבת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קלא</w:t>
      </w:r>
      <w:r>
        <w:rPr>
          <w:rFonts w:eastAsia="Times New Roman"/>
          <w:b w:val="false"/>
          <w:i w:val="false"/>
          <w:sz w:val="24"/>
          <w:rtl w:val="true"/>
        </w:rPr>
        <w:t xml:space="preserve">:),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שנראה שמחלקת בין שני צדדי תוס’ אם אומרים כן בצד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נאמר שאומרים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גמ’ מפרש למה אומרים כן בצה”ש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ואומר שהוא מפני שיכולים לפרוך כן</w:t>
      </w:r>
      <w:r>
        <w:rPr>
          <w:rFonts w:eastAsia="Times New Roman"/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5"/>
      </w:r>
      <w:r>
        <w:rPr>
          <w:b w:val="false"/>
          <w:i w:val="false"/>
          <w:sz w:val="24"/>
          <w:rtl w:val="true"/>
        </w:rPr>
        <w:t xml:space="preserve">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אם אין אומרים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בדרך כלל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שטרח וכ’ אותו קרא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כאן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שיש לו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אומרים כן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 צריך לומר שיש צד השווה שאין לו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עיין לקמן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בע”ה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הפעם השנית שמצאנו זה הוא בכתובות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לב</w:t>
      </w:r>
      <w:r>
        <w:rPr>
          <w:rFonts w:eastAsia="Times New Roman"/>
          <w:b w:val="false"/>
          <w:i w:val="false"/>
          <w:sz w:val="24"/>
          <w:rtl w:val="true"/>
        </w:rPr>
        <w:t xml:space="preserve">.).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מנסה למצוא מקור לעולא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שאומר שבמקום שיש סיבה לחייב מלקות וממון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העונש שבוחרים לחייב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שדורשים שא”א לחייב 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הוא מלקות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אותו הדין בחובל בחברו ובעדים זוממים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שלא ידוע לגמ’ אם חיוב ממון ופטור מלקות הוא קולא או חומרא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למצוא שני פירכות לכל לימוד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לא אפשר ללמוד מחובל בחבירו כיון שיש לו חומרא של חיוב חמש תשלומים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נזק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צער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ריפוי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שבת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ובושת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וקולא שהותר מכללו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בבית דין</w:t>
      </w:r>
      <w:r>
        <w:rPr>
          <w:rFonts w:eastAsia="Times New Roman"/>
          <w:b w:val="false"/>
          <w:i w:val="false"/>
          <w:sz w:val="24"/>
          <w:rtl w:val="true"/>
        </w:rPr>
        <w:t xml:space="preserve">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אפשר ללמוד מעדים זוממים שיש בו חומרא של עונש בלי התראה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וקולא של עונש בלי מעשה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אפשר ללמוד משניהם כיון שיש להם חומרא של צד חמור וקולא של צד הקל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מגמ’ זה יוצא שלפעמים צריכים פסוק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לומדים מצד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שיש צד אחד שוהא שווה בין 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מה שיש להם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שנראה שזה מוסיף על הגמ’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מתרצים לקושיה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למה צריכים פסוק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כאן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מקשים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שמנסים למצוא מקור לשיטת עולא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כאן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לא נרצה לומר שידע גמ’ את המסקנא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נצטרך לומר שאי אפשר לדרוש מפני 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רק שטרח וכ’ אותו קרא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שזה המקום המיוחד שמצאנו צד קל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מן הסברה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ממה שיש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היה פשוט לומר שיש צד קל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לא מצאנו כן במקום אחר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הפעם השלישית שמצאנו את זה הוא בסוטה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כט</w:t>
      </w:r>
      <w:r>
        <w:rPr>
          <w:rFonts w:eastAsia="Times New Roman"/>
          <w:b w:val="false"/>
          <w:i w:val="false"/>
          <w:sz w:val="24"/>
          <w:rtl w:val="true"/>
        </w:rPr>
        <w:t xml:space="preserve">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שם 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הגמ’ מחפש מקור שתרומה שנעשה שלישי נפסל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מנסה ללמוד אותו מקל וחומר מטבול יום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שפוסל בתרומה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ומותר בחולין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שני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שאסור בחולין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בוודאי פוסל תרומה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הקל וחומר אינו כל כך קל להבין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זהו הקל וחומר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פורך שטבול יום הוא אב הטומאה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6"/>
      </w:r>
      <w:r>
        <w:rPr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ושני אינו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מנסה ללמוד מטבול יום של שרץ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תחילת טומאתו בא מנגיעת שרץ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שעשה אותו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היה אב הטומאה מעולם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למה לא פורך שהוא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פורך שיש במינו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שאילו היה נוגע במת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במקום שרץ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היה נעשה אב הטומאה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כמובן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קשה להבין את הדיחוי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מנסה ללמוד מכלי חרש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שתמיד אינו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מטמא את התרומה כשהוא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דוחה שכלי חרס מטמא מאויר שלו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צריך נגיעה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מנסה ללמוד צד השווה משניהם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מטבול יום ומכלי חרס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מבאר שיש שטענו שאינו נכון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מפני שפרכו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שלשניהם יש צד חמור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רשי פי’ שהצד החמור הוא ש”טבול יום יש במינו אב הטומאה וכלי חרש מטמא מאוירו</w:t>
      </w:r>
      <w:r>
        <w:rPr>
          <w:rFonts w:eastAsia="Times New Roman"/>
          <w:b w:val="false"/>
          <w:i w:val="false"/>
          <w:sz w:val="24"/>
          <w:rtl w:val="true"/>
        </w:rPr>
        <w:t xml:space="preserve">.”)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רבן יוחנן בן זכאי דורש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שצד חמור לא פורך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בביאור למה לא פורך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רשי במכות כ’ שהוא “הואיל וחומרו של זה אינו חומרו של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אין טעם </w:t>
      </w:r>
      <w:r>
        <w:rPr>
          <w:rFonts w:eastAsia="Times New Roman"/>
          <w:b w:val="false"/>
          <w:i w:val="false"/>
          <w:sz w:val="24"/>
          <w:rtl w:val="true"/>
        </w:rPr>
        <w:t>[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הדין</w:t>
      </w:r>
      <w:r>
        <w:rPr>
          <w:rFonts w:eastAsia="Times New Roman"/>
          <w:b w:val="false"/>
          <w:i w:val="false"/>
          <w:sz w:val="24"/>
          <w:rtl w:val="true"/>
        </w:rPr>
        <w:t xml:space="preserve">]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תלוי בו</w:t>
      </w:r>
      <w:r>
        <w:rPr>
          <w:rFonts w:eastAsia="Times New Roman"/>
          <w:b w:val="false"/>
          <w:i w:val="false"/>
          <w:sz w:val="24"/>
          <w:rtl w:val="true"/>
        </w:rPr>
        <w:t>.”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נמצא שיש מחלקת תנאים אם פורכים צד השווה לומר שיש להם צד חמור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נבאר כאן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קצת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מי הם שלא דורשים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המשנה שלפני כן מביא מקור לאותו דין מקרא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ורבי יהושע טען שנשתנו דברים מימי רבי יוחנן בן זכאי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בימי רבי יוחנן בן זכאי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היה להם שום מקור חוץ מקל וחומר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עד כדי שדור אחר יבוא ויטענו על הדין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ועכשיו מביאים קרא למקור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ריב”ז לא סובר כאותו דור אחרון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אומר שמסתבר שיהיה דור סובר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הייתי אומר שמה שרואים מגמ’ זה הוא שאין פורכים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היה מסתבר לרבי יוחנן שיבואו רבנים שיפרכו כן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יודעים אם אלו הפורכים יהיו תלמידי חכמים בכלל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מגמ’ זה יוצא שיש מחלקת תנאים אם דוחים דין מפני 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 יוחנן בן זכאי סובר שלא דוחים דין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דורשים אותו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שיש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דור אחר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היו דור שבאמת  חיו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ריב”ז סבר שאולי דור יאמר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יודעים אם הם ת”ח בכלל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אומר שכיון שיש צד השווה במה שיש לשניהם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דורשים אותו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רק אומרים שצריך להיות קרא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אומרים שאין הדין נכון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כן נראה מן המשנה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הפעם הרביעית שמצאנו את זה הוא במכות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</w:t>
      </w:r>
      <w:r>
        <w:rPr>
          <w:rFonts w:eastAsia="Times New Roman"/>
          <w:b w:val="false"/>
          <w:i w:val="false"/>
          <w:sz w:val="24"/>
          <w:rtl w:val="true"/>
        </w:rPr>
        <w:t xml:space="preserve">:).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מבאר המקור לשיטת רבי יהודה שלוקים על לאו שאין בו מלקות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הרי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עונש של מלקות כתוב בתורה קרוב ללאו של חסימה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מזה דורשים רבנן שכל לאו צריך להיות כלאו של חסימה בהרבה דרכים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אחד מהם הוא שצריך לעבור בלאו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קשה למה לא ידרוש רבי יהודה כן</w:t>
      </w:r>
      <w:r>
        <w:rPr>
          <w:rFonts w:eastAsia="Times New Roman"/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7"/>
      </w:r>
      <w:r>
        <w:rPr>
          <w:b w:val="false"/>
          <w:i w:val="false"/>
          <w:sz w:val="24"/>
          <w:rtl w:val="true"/>
        </w:rPr>
        <w:t xml:space="preserve">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מבאר שלומד אותו מדינים אחרים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מתחיל שלומד אותו ממוציא שם רע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ששם רק מדבר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לטעון שלא מצא בתולים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וחייב מלקות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דוחה גמ’ שמצאנו שם 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ששם חייב ממון ומלקות ביחד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ללמוד למקומות אחרים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ששם לא יכול להתחייב ממון ומלקות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מנסה ללמוד מעדים זוממים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שלוקים אף שאין בהם מעשה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8"/>
      </w:r>
      <w:r>
        <w:rPr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דוחה ששם מצאנו חומר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מה שאין צריכים התראה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במקומות אחרים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שצריכים התראה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לא לוקים על לאו שאין בו מעשה</w:t>
      </w:r>
      <w:r>
        <w:rPr>
          <w:rFonts w:eastAsia="Times New Roman"/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9"/>
      </w:r>
      <w:r>
        <w:rPr>
          <w:b w:val="false"/>
          <w:i w:val="false"/>
          <w:sz w:val="24"/>
          <w:rtl w:val="true"/>
        </w:rPr>
        <w:t xml:space="preserve">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מסיק שלומד מצד השווה מעדים זוממים ומוציא שם רע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מקשה שיש צד השווה במה שבשניהם הם קנס ותי’ שר”י סובר שאין ע”ז קנס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</w:t>
      </w:r>
      <w:r>
        <w:rPr>
          <w:rFonts w:ascii="Times New Roman" w:hAnsi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 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10"/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עונש רגיל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מקשה שעדיין יש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במה שיש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ומתרץ שרבי יהודה לא פריך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רואים מזה שיש תנא שלא פריך צד חמור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גם רואים מכאן שיש תנא שפורך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שהרי רבנן לא לומדים משם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לדון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שאולי רבנן סוברים שלימוד מחסימה יותר חזק מכל 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אפשר שסוברים שעדים זוממים קנס</w:t>
      </w:r>
      <w:r>
        <w:rPr>
          <w:rFonts w:eastAsia="Times New Roman"/>
          <w:b w:val="false"/>
          <w:i w:val="false"/>
          <w:sz w:val="24"/>
          <w:rtl w:val="true"/>
        </w:rPr>
        <w:t>.)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להעיר שיש שגורסים שהחולק על רבי יהודה במלקות בלאו שאין בו מעשה הוא רבי עקיבא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שסובר שעדים זוממים קנס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מגמ’ זה יוצא שרבי יהודה סובר שלא פורכים צד השווה לומר שלשניהם יש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רבנן דוחים כן</w:t>
      </w:r>
      <w:r>
        <w:rPr>
          <w:rFonts w:eastAsia="Times New Roman"/>
          <w:b w:val="false"/>
          <w:i w:val="false"/>
          <w:sz w:val="24"/>
          <w:rtl w:val="true"/>
        </w:rPr>
        <w:t>.</w:t>
        <w:tab/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היה אפשר לומר שיש עוד מקום שיש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גמ’ בשבת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קלא</w:t>
      </w:r>
      <w:r>
        <w:rPr>
          <w:rFonts w:eastAsia="Times New Roman"/>
          <w:b w:val="false"/>
          <w:i w:val="false"/>
          <w:sz w:val="24"/>
          <w:rtl w:val="true"/>
        </w:rPr>
        <w:t xml:space="preserve">:)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דן בשיטת רבי אליעזר שהרבה פעמים מלאכות שהיו יכולים להיעשות בע”ש מותרים בשבת לצורך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מביא מקור לכל המקומות שאומר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ומנסה ללמוד מהם למילה 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רוצה ללמוד “מכולהו</w:t>
      </w:r>
      <w:r>
        <w:rPr>
          <w:rFonts w:eastAsia="Times New Roman"/>
          <w:b w:val="false"/>
          <w:i w:val="false"/>
          <w:sz w:val="24"/>
          <w:rtl w:val="true"/>
        </w:rPr>
        <w:t xml:space="preserve">.”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איך לפרש “מכולהו”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רצה לומר</w:t>
      </w:r>
      <w:r>
        <w:rPr>
          <w:rFonts w:eastAsia="Times New Roman"/>
          <w:b w:val="false"/>
          <w:i w:val="false"/>
          <w:sz w:val="24"/>
          <w:rtl w:val="true"/>
        </w:rPr>
        <w:t>, “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מאחד מהם” או “מכולם</w:t>
      </w:r>
      <w:r>
        <w:rPr>
          <w:rFonts w:eastAsia="Times New Roman"/>
          <w:b w:val="false"/>
          <w:i w:val="false"/>
          <w:sz w:val="24"/>
          <w:rtl w:val="true"/>
        </w:rPr>
        <w:t xml:space="preserve">.”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לשני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צד השווה הוא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דוחה שלכל אחד יש חומרא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נאמר שדן אם לדרוש קל וחומר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פורך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אחר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חוזר ואומר צד אחר השווה בכולם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אזכיר כאן את הלימודים והדחיות</w:t>
      </w:r>
      <w:r>
        <w:rPr>
          <w:rFonts w:eastAsia="Times New Roman"/>
          <w:b w:val="false"/>
          <w:i w:val="false"/>
          <w:sz w:val="24"/>
          <w:rtl w:val="true"/>
        </w:rPr>
        <w:t>: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235" w:leader="none"/>
          <w:tab w:val="left" w:pos="720" w:leader="none"/>
        </w:tabs>
        <w:bidi w:val="1"/>
        <w:spacing w:before="120" w:after="120"/>
        <w:ind w:left="720" w:hanging="50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מלולב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לומדים כיון שצריך עמו ארבע מינים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235" w:leader="none"/>
          <w:tab w:val="left" w:pos="720" w:leader="none"/>
        </w:tabs>
        <w:bidi w:val="1"/>
        <w:spacing w:before="120" w:after="120"/>
        <w:ind w:left="720" w:hanging="50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מסוכה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לומדים כיון שנוהג ביום ובלילה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235" w:leader="none"/>
          <w:tab w:val="left" w:pos="720" w:leader="none"/>
        </w:tabs>
        <w:bidi w:val="1"/>
        <w:spacing w:before="120" w:after="120"/>
        <w:ind w:left="720" w:hanging="50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ממצה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לומדים כיון שנוהג בנשים כבאנשים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235" w:leader="none"/>
          <w:tab w:val="left" w:pos="720" w:leader="none"/>
        </w:tabs>
        <w:bidi w:val="1"/>
        <w:spacing w:before="120" w:after="120"/>
        <w:ind w:left="720" w:hanging="50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משופר</w:t>
      </w:r>
      <w:r>
        <w:rPr>
          <w:rFonts w:eastAsia="Times New Roman"/>
          <w:b w:val="false"/>
          <w:i w:val="false"/>
          <w:sz w:val="24"/>
          <w:rtl w:val="true"/>
        </w:rPr>
        <w:t>-</w:t>
      </w:r>
    </w:p>
    <w:p>
      <w:pPr>
        <w:pStyle w:val="Normal"/>
        <w:numPr>
          <w:ilvl w:val="1"/>
          <w:numId w:val="3"/>
        </w:numPr>
        <w:tabs>
          <w:tab w:val="clear" w:pos="709"/>
          <w:tab w:val="left" w:pos="955" w:leader="none"/>
          <w:tab w:val="left" w:pos="1440" w:leader="none"/>
        </w:tabs>
        <w:bidi w:val="1"/>
        <w:spacing w:before="120" w:after="120"/>
        <w:ind w:left="1440" w:hanging="50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 ראש השנה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לומדים כיון שמכניס את זכרון בנ”י לפני ה’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numPr>
          <w:ilvl w:val="1"/>
          <w:numId w:val="3"/>
        </w:numPr>
        <w:tabs>
          <w:tab w:val="clear" w:pos="709"/>
          <w:tab w:val="left" w:pos="955" w:leader="none"/>
          <w:tab w:val="left" w:pos="1440" w:leader="none"/>
        </w:tabs>
        <w:bidi w:val="1"/>
        <w:spacing w:before="120" w:after="120"/>
        <w:ind w:left="1440" w:hanging="50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 יה”כ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לומדים כיון שגורם חירות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בד”ה אי מכולהו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רשי מפרש</w:t>
      </w:r>
      <w:r>
        <w:rPr>
          <w:rFonts w:eastAsia="Times New Roman"/>
          <w:b w:val="false"/>
          <w:i w:val="false"/>
          <w:sz w:val="24"/>
          <w:rtl w:val="true"/>
        </w:rPr>
        <w:t>, “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אחד מכולהו</w:t>
      </w:r>
      <w:r>
        <w:rPr>
          <w:rFonts w:eastAsia="Times New Roman"/>
          <w:b w:val="false"/>
          <w:i w:val="false"/>
          <w:sz w:val="24"/>
          <w:rtl w:val="true"/>
        </w:rPr>
        <w:t xml:space="preserve">,”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שמשמע שרק מנסה ללמוד מאחד מהם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מצד השווה מכולם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הפירכא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שיש בהם כל אלו צדדים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ויש לדון למה לא מפרש רשי שמנסה ללמוד מכולם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שקשה למה לא ינסה ללמוד מכולם</w:t>
      </w:r>
      <w:r>
        <w:rPr>
          <w:rFonts w:eastAsia="Times New Roman"/>
          <w:b w:val="false"/>
          <w:i w:val="false"/>
          <w:sz w:val="24"/>
          <w:rtl w:val="true"/>
        </w:rPr>
        <w:t>).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>
          <w:rFonts w:ascii="Times New Roman" w:hAnsi="Times New Roman" w:eastAsia="Times New Roman"/>
          <w:b w:val="false"/>
          <w:i w:val="false"/>
          <w:i w:val="false"/>
          <w:sz w:val="24"/>
        </w:rPr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לדחות שגם בלימוד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באמת רק לומד מאחד מהם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ושאר מבארים שאין הדיחוי דיחוי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זה כל כך נכון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שבאמת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כל מקור הוא תמיד הוכחה שדין א’ לא תלוי במה שלא נמצא בב’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כל אחד ממעט כל הדברים שאין לו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אם נאמר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דחוק לפרש כן ברש”י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שהיה לו לומר שהוא צד השווה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 שלא לומר כלום</w:t>
      </w:r>
      <w:r>
        <w:rPr>
          <w:rFonts w:eastAsia="Times New Roman"/>
          <w:b w:val="false"/>
          <w:i w:val="false"/>
          <w:sz w:val="24"/>
          <w:rtl w:val="true"/>
        </w:rPr>
        <w:t>).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שני מקומות שיש בהם דבר הדומה לצד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שכתבנו לעיל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לפעמים גמ’ דורש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לימוד משני דברים אל דבר שלישי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פירכא שמונע לימוד מכל דבר אחד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אין פירכא של מלמד ראשון שווה לפירכא של מלמד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דורשים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פעמים שדוחים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 מנסים לדחות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צד השווה לומר שיש צד החמור בשניהם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עכשיו נבאר שמצאנו דיחויים הדומים לזה</w:t>
      </w:r>
      <w:r>
        <w:rPr>
          <w:rFonts w:eastAsia="Times New Roman"/>
          <w:b w:val="false"/>
          <w:i w:val="false"/>
          <w:sz w:val="24"/>
          <w:rtl w:val="true"/>
        </w:rPr>
        <w:t>: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פעם ראשונה שמצאנו כעין זה הוא בקידושין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עז</w:t>
      </w:r>
      <w:r>
        <w:rPr>
          <w:rFonts w:eastAsia="Times New Roman"/>
          <w:b w:val="false"/>
          <w:i w:val="false"/>
          <w:sz w:val="24"/>
          <w:rtl w:val="true"/>
        </w:rPr>
        <w:t xml:space="preserve">.).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מבאר פסולים לכהנים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 יהודה אומר שכהן לא נושא בת גר זכר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 אליעזר בן יעקב חולק ואומר שרק פסולה אם גר נשא גיורת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גמ’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עח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מביא מקור לדברי רבי יהודה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לומד אותו מקל וחומר מבת חלל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שהרי חלל בא מטפה כשרה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ובתו פסולה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וגר בא מטפה פסולה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ובוודאי תהיה בתו פסולה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דוחה גמ’ שיצירת חלל בעבירה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לומד מכהן גדול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כשבא על אלמנה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כהן גדול בא מטיפה כשרה שלא בעבירה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ואפ”ה בתו פסולה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דוחה גמ’ ששם הבת נולדה בעבירה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לומדים משם כלל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והוא שכל מי שאינו ברוב קהל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רצה לומר שיש בו קרקטריסטי”ק שאינו מצוי ברוב קהל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פסול את הבת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מקשה גמ’ שיש צד השווה אחרת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שיש בהם צד עבירה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לומד ממצרי ראשון שבא על מצרית ראשונה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שכהן לא נושא את בתם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דוחה שמצרי ראשון לא כשר לבוא בכל הקהל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רק בכהנים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על זה אומר שחלל מוכיח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ולומדים צד השווה משניהם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רשי מפרש למה לא רוצה ראב”י ללמוד משם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וכ’ שהוא מפני שלפי רבי יהודה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הוא נמצא בכל אדם שאינו כרוב קהל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שכל האנשים הנזכרים אינם משונים באופן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הוא כעין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וסובר שצד חמור לא פריך</w:t>
      </w:r>
      <w:r>
        <w:rPr>
          <w:rFonts w:eastAsia="Times New Roman"/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11"/>
      </w:r>
      <w:r>
        <w:rPr>
          <w:b w:val="false"/>
          <w:i w:val="false"/>
          <w:sz w:val="24"/>
          <w:rtl w:val="true"/>
        </w:rPr>
        <w:t xml:space="preserve">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מעניין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בדרך כלל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אומרים שצד חמור לא פריך כדי ללמד דבר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כאן אומרים אותו כדי שלא ללמד דבר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ההסבר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שלא מסתבר שתלה תורה דין על מה שיש לו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שבדרך כלל כשדוחים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לומר שאז מסתבר לומר שתלה התורה את הדין על קרק’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יכולים ללמד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כאן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לא מלמדים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פושטים על מה תלה התורה את הדין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ותחשב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להסביר קצת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אבאר שאם צד חמור לא פריך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רואים שמאד יותר טוב לתלות בקרק’ פרטית מלתלות בצד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אין לדרוש שיתקיים דין רק כשיש צד חמור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 רק כשהוא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שאין זה כל כך טוב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ואינו יותר טוב מלתלות אותו על קרק’ בודוות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זהו ההסבר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עדיין אינם ממש תלויים זה בזה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פעם שנית שמצאנו כעין זה הוא בסנהדרין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סו</w:t>
      </w:r>
      <w:r>
        <w:rPr>
          <w:rFonts w:eastAsia="Times New Roman"/>
          <w:b w:val="false"/>
          <w:i w:val="false"/>
          <w:sz w:val="24"/>
          <w:rtl w:val="true"/>
        </w:rPr>
        <w:t xml:space="preserve">.).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דן באיסור מקלל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איסור זה במקלל נשיא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מקלל דיין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ומקלל חרש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מנסה למצוא מקור לאסור מקלל כל אדם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מתחיל לדון צד השווה ממקלל דיין ומקלל נשיא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דוחה שיש צד השווה בין 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שהם גדולים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על זה אומר שחרש יוכיח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נלמד צד השווה מכולם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דוחה שיש להם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במה שהם משונים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הרי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משונים הם באופנים שונים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שניהם לטוב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ואחד לרע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ועדיין זה נחשב פירכא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כעין צד חמור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מביא גמ’ קרא אחר למקור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בכמה מקומות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מפרש ענין של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הקושיה הפשוטה הוא שאם צד חמור דוחה דרשת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כן אין שום צד השווה שיכול ללמד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שתמיד יהיה להם צד השווה של מה שיש לכל אחד מהם פירכא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יודעים שדורשים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יהיה מוכרח שלא פורכים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נביא את דבריהם</w:t>
      </w:r>
      <w:r>
        <w:rPr>
          <w:rFonts w:eastAsia="Times New Roman"/>
          <w:b w:val="false"/>
          <w:i w:val="false"/>
          <w:sz w:val="24"/>
          <w:rtl w:val="true"/>
        </w:rPr>
        <w:t>: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רבינו תם מפרש שצד החמור הוא שהם לפני הדיבור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פסח מפורש בתורה שהוא לפני הדיבור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ותמיד הוא לפני הדיבור לפי מד”א שעולא שהקריבו בני ישראל במדבר היה תמיד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נמצא שרבינו תם פי’ ש”צד חמור” רצה לומר שיש צד אחד שהוא שווה בין 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ואינו רק שהוא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הוא יותר פרטי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נצטרך לפרש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למה לא מבאר הגמ’ מהו הצד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צריך לבאר איך יש מי שסובר שלא פורכים צד חמור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לומר שזה מדבר בצד חמור שאינו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לא משמע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שאומר אותם מילים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רבינו תם לא גורס בגמ’ פסחים כגי’ שלנו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גי’ שלנו אומר</w:t>
      </w:r>
      <w:r>
        <w:rPr>
          <w:rFonts w:eastAsia="Times New Roman"/>
          <w:b w:val="false"/>
          <w:i w:val="false"/>
          <w:sz w:val="24"/>
          <w:rtl w:val="true"/>
        </w:rPr>
        <w:t>, “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בהן צד חמור תמיד תדיר וכליל פסח שהוא ענוש כרת…</w:t>
      </w:r>
      <w:r>
        <w:rPr>
          <w:rFonts w:eastAsia="Times New Roman"/>
          <w:b w:val="false"/>
          <w:i w:val="false"/>
          <w:sz w:val="24"/>
          <w:rtl w:val="true"/>
        </w:rPr>
        <w:t xml:space="preserve">.”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אומר שצד החמור הוא מה שיש לכל אחד מהם חומרא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מה ששניהם היו קודם הדיבור</w:t>
      </w:r>
      <w:r>
        <w:rPr>
          <w:rFonts w:eastAsia="Times New Roman"/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12"/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בע”ה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נחזר לשיטת רבינו תם לבאר כל הגמרות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ר”י מפרש שרצה לומר שיש לו צד חמור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אם רצה לומר שיש לו חומרא שאינו מצוי או שיש לו דבר שהוא מאד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לשונו משמע כראשון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ואם תאמר מה לנו שהוא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לומר שאין צריכים 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צריכים רק לומר שהוא חלוק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שאומר גמ’ בחולין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שהוא חלוק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להיות ששינוי קרק’ הוא הסיבה לשינוי הדין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שכיון שהגענו לזה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קצת צריך ביאור למה צריך להיות שיש לו חומרא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ולמה לא מספיק לומר שיש לו דין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אין הכי נמי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ורק בא לבאר שאינו קולא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שאם היה קולא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היינו עושים קל וחומר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מביא כעין זה מגמ’ שני שהבאנו כשהבאנו גמרות שהם דומים לזה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הגמ’ מסיק עם פירכא שהמלמדים הם משונים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נמצא שמה שדבר משונה הוא סיבה שלא ללמוד ממנו בצד השווה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שיש חילוק גדול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נתייחדו בתוך קרק’ אחד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מה שהם משונים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נכון הוא ששינוי שלהם אינו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כולם הם משונים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וזה קרק’ אחד שהוא חשוב לענין אותו הדין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כאן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שיש להם חומרה משונה אינו קרק’ חשוב לענין אותו הדין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הקרק’ החשוב הוא שיש להם חומר מיוחד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במילים אחרים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רואה אני למה יתלה התורה את דין מקלל במה שהם משונים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איני רואה למה יתלה אותו התורה על מה שיש לו חומרה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יתלה אותו על מה שיש לו חומרה פרטית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שתוס’ לא מניח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וסובר שלא יתלה אותו תורה על מה שהם משונים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על מה שהם משונים באופן מיוחד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ביאור איך זה תי’ את הקושיה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ולמה יכולים לתלות אותו על מה שהוא חמור באופן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שתולה בזה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נוכל לומר שגם תולה במה שיש לו או דין זה או דין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שבין כך ובין כך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שיש לו חומר משונה אינו מסתבר להיות הסיבה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שהקמ”ל של הגמ’ הוא שבכל מה שיכול לכלל אותו לתוך דבר אחד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יכול להיות שאותו דבר אחד הוא הסיבה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שלא מסתבר כן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למה אין “יש לו חומר ‘ או חומר ב’” אינו כלל אחד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יותר מזה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ביאור למה אין “יש לו חומר” נחשב כלל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ממשיך תוס’ לבאר למה הצד חמור הוא משונה כאן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כשמבאר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מדבר עוד על שינוי שלו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על חומרה יתירה שלו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שכתבנו לעיל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אם זה יוכיח שכל הזמן “חומרה משונה” היה מכוון לומר “חומרה יתירה” או שמה שהוא משונה בחומר זו האו כמה חמור הוא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לצד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קשה למה לא נאמר שמה שמשונה בו הוא שלא בא הרבה פעמים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שצריכים קרק’ יותר חשוב כדי להבדיל אותו משאר חומרות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במילים אחרים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שאין זה תדיר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הוא בתוך כלל של חומרות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והם תדירים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רק אם נאמר שהוא יותר חמור מהם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נוכל לחשב עם מה שלא בא תדיר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דחוק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צד חמור של חובל בחברו הוא חמור ביותר בחיוב חמשה דברים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אינו פשוט למה זה מאד חמור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אינו קשה למה זה מאד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אינו פשוט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להוסיף שאולי הוא מפני שיש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כמעט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חמש עונשים ביחד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שכל אחד הוא נחשב חיוב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ותחשב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לדון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שלא מצאנו חיוב ממון שפוטר חיוב ממון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אינו קשה שיהיה חמש חיובים ביחד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צד קל של חובל בחברו הוא שהותר מכללו בבית דין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זה לא פשוט למה הוא מאד קל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להוסיף שכיון שרעת חובל בחברו הוא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שאינו פייר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ועיקר תכלית של בית דין הוא לשמור שדברים יהיו פיי”ר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מחודש שיש להם כוח לעשות 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אילו לא היו משגיחים כל כך על פיירניס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היה כל כך קשה שיש להם כוח לעשות מה שאינו פייר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שהם משגיחים על פיירנס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מוזר שלא ישמרו על עצמם להיות פייר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שאז הענין הוא שהותר מכללו בבית דין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רק שהותר מכללו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צד חמור של עדים זוממים הוא שלא צריכים התראה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זה לא פשוט למה הוא מאד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זה כולל שחייב גם על שוגג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יותר קל לי להבין למה הוא חמור ביותר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צד קל של עדים זוממים הוא שאין בו מעשה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על זה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13"/>
      </w:r>
      <w:r>
        <w:rPr>
          <w:rFonts w:ascii="Times New Roman" w:hAnsi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מעורר שיש שיטה שאומר שיש בדיבור מעשה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עדיין אין מעשה בעדים זוממים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שהם עוברים בראייה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14"/>
      </w:r>
      <w:r>
        <w:rPr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אחרי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הולך תוס’ לגמ’ בסוטה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ומבאר אותו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שכלי חרס מטמא מאויר שלו הוא צד חמור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ומה שטבול יום הוא אב הטומאה הוא חומרה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מעורר שלא פשוט למה זה חומרה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שהרי יש הרבה דברים שהם אבות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פי’ שהחידוש הוא שנעשה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שלא יצא כלום מבשרו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על ידי נגיעה נעשה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רק קורה בטומאת מת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בשאר טומאות</w:t>
      </w:r>
      <w:r>
        <w:rPr>
          <w:rFonts w:eastAsia="Times New Roman"/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15"/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כותב תוס’ שיש לפרש אותו גמ’ בסוטה בענין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שאומר שאותו חומר של טבול יום נוהג בכלי חרס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שאף הוא יש במינו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הרי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הוא מין של כלי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כלי שיכול להיות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ללמד לאוכלים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שאי אפשר שאוכלים יהיו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כשיטת רבינו תם שהוזכר בתוס’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יודעים איך מפרש את הגמ’ בסוטה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מתוס’ כאן יוצא שיכול להיות שלפעמים אומר גמ’ “צד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ומכוון לומר כרבינו תם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ולפעמים אומר גמ’ כן ומפרש לומר כר”י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על שני פירושים אלו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מקשה רשב”א למה לא מביאים אוכל שני להוכיח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הרי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בו חומרא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הוא מוכיח לפי צד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במינו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הוא מוכיח לפי צד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שהוא עושה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נאמר לזה שטבול יום יוכיח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מבאר שאין לומר שהוא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שהרי אינו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אם ההו”א הוא שדינו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מחודש לשינוי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 שהציור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וזה יהיה צד השווה כמו בסנהדרין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פי’ שיש צד חמור במה שכולם נגעו באב הטומאה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אם כוונת תוס’ לומר שזהו הצד החמור שם או שזה יהיה הצד השווה לחומרא שינקוט גמ’ אילו היינו מקשים מזה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הצד לומר הראשון האו שבלי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קצת קשה למה לא מקשה הגמ’ מזה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ולמה לא דן בזה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על כל פנים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נראה שהוא גם כעין רבינו תם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שיש פירכא להם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ואינו מה שמזכיר גמ’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שגמ’ לא הזכיר אלא שיש לשניהם חד שהוא חמור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מביא שיטת רבינו תם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שבארנו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כאן כבר אמר כמעט כרבינו תם בביאור גמ’ 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כאן אומר אותו בביאור גמ’ 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ששניהם יש להם אותו חומר של תשלומים חמשה דברים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שלפעמים גם עדים זוממים משלמים חמשה דברים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נמצא שפורכים ממין אחד של עדים זוממים למין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לא כל כך פשוט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הייתי אומר שהם חלוקים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ואין פורכים מאחד לחברו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וא”ת למה לא פורכים ממה שלפעמים שי בו חיוב מיתה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לומר שהיינו יכולים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שזה לא נמצא בחובל בחברו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לדון למה לא אומר אותו לפירכא ראשונה שנדחה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מפרש שלשניהם יש קולא אחת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שאין להם חיוב כרת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שאין כן בבא על אחותו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שיש לה חיוב כרת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שיש עדים זוממים שיש לו חיוב כרת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עדיין יש שאין לו חיוב כרת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שאין כן באחותו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שתמיד יש בו חיוב כרת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לדון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שהרי יש גם שוגג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לומר שאין מזיד שאין לו חיוב כרת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שאין כן בעדים זוממים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יותר מזה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ציור שממנו לומדים אין לו חיוב כרת בע”ז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ויש לו חיוב כרת באחותו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שלא מחלק בגמ’ בין שוגג למזיד</w:t>
      </w:r>
      <w:r>
        <w:rPr>
          <w:rFonts w:eastAsia="Times New Roman"/>
          <w:b w:val="false"/>
          <w:i w:val="false"/>
          <w:sz w:val="24"/>
          <w:rtl w:val="true"/>
        </w:rPr>
        <w:t>).)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מבאר שכמו כן יכולים לפרש גמ’ במכות לשניהם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מפרש איך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ופ’ שגמ’ בפסחים יש בו איזה פירכא אחרת שלא חש לפרש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כוונתו הוא למה שאמר רבינו תם שם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הרי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רבינו תם אמר כעין זה כאן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וכולי עלמא אמרו כן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על כל פנים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בצד אחד שלו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בגמ’ בסוטה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וקצת קשה למה לא התשמש בלשון זה </w:t>
      </w:r>
      <w:r>
        <w:rPr>
          <w:rFonts w:eastAsia="Times New Roman"/>
          <w:b w:val="false"/>
          <w:i w:val="false"/>
          <w:sz w:val="24"/>
          <w:rtl w:val="true"/>
        </w:rPr>
        <w:t>(“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בטעם מועט מסתלק…”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רק בנוגע גמ’ בפסחים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לפרש ככה</w:t>
      </w:r>
      <w:r>
        <w:rPr>
          <w:rFonts w:eastAsia="Times New Roman"/>
          <w:b w:val="false"/>
          <w:i w:val="false"/>
          <w:sz w:val="24"/>
          <w:rtl w:val="true"/>
        </w:rPr>
        <w:t xml:space="preserve">: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שני חידושים ברבינו תם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אחד הוא שאין הצד השווה מה שיש דבר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והשני הוא ביאור לשון הגמ’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יש חילוק בענין חידוש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בשאר ציורים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רק אמר ששל אחד נוגע לשל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“צד חמור” רצה לומר “צד החמור שאמרנו</w:t>
      </w:r>
      <w:r>
        <w:rPr>
          <w:rFonts w:eastAsia="Times New Roman"/>
          <w:b w:val="false"/>
          <w:i w:val="false"/>
          <w:sz w:val="24"/>
          <w:rtl w:val="true"/>
        </w:rPr>
        <w:t xml:space="preserve">.”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הוא קולא שבעונשים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קל לקרוא לו “צד קל” שעונשים הם סימנים טובים לקולא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וקולא סתם יכול לכוון להם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בפסחים אי אפשר לומר ש”צד חמור” מכוון למה שהיו באים קודם מתן תורה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וצריך לומר שכוונת “צד חמור” הוא לומר שהפירכא הוא מה שיש לשניהם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רק הו”א שקל לדחות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וגמ’ מכוון לומר דבר יותר חזק מזה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זהו החידוש שמצאנו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ותחשב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תוס’ מדבר בזה בסוטה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יש שם תוס’ שאנ”ץ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מתחיל ומפרש שצד חמור הוא שטבול יום יש במינו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וכלי חרס מטמא מאוירו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מקשה איזה פירכא יש בזה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שנקשה על כל דין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רואים שבא ליישב לבעיה של תוס’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מביא שם גמ’ 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וגם מקשה כן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איני יודע למה לא מביא גמ’ אחרות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פי’ בשם ר”י שרק פורכים כן במקום שהצד החמור הוא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הוא כן בסוטה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לא מפרש למה הוא כן בטבול יום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שזה הנקודה שתוס’ שלנו סבר שהוא קצת קשה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פי’ שהוא כן בכלי חרס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שלא מצאנו שום דבר אחר שיש לו דין 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חומרת ע”ז הוא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שלא מצאנו אותו בשום דין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וכמו כן בחומרת חובל בחברו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מפרש כמה משונה הם הקולות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פי’ שהוא כן גם במכות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ופי’ שגמ’ בסנהדרין שהבאנו האו ג”כ כן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במכות מדבר על 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קושייה שלו הוא קצת חלוק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מקשה שאין זה פירכא השווה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הענין הוא שווה לשאר קושיות שלו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כדי להקשות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לפרש שאין פירכא זו שווה לשאר פירכות ושלא מקשים ממנו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הסיבה שהוא חלוק משאר פירכות הוא שאינה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שאין בכולם אותו קרק’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והמקור שלא דנים פירכא כזה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אומרים שתורה תלה אותו במה שיש לו או דין זה או דין זה הוא שאם לא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מצאנו שום צד השווה שעומד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מביא פי’ 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שהם משונים בחומרתם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ומביא פשט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שהוא דומה לסגנון של רבינו תם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שהוא ששניהם לוקים על דיבור שלהם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בלי מעשה</w:t>
      </w:r>
      <w:r>
        <w:rPr>
          <w:rFonts w:eastAsia="Times New Roman"/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16"/>
      </w:r>
      <w:r>
        <w:rPr>
          <w:b w:val="false"/>
          <w:i w:val="false"/>
          <w:sz w:val="24"/>
          <w:rtl w:val="true"/>
        </w:rPr>
        <w:t xml:space="preserve">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מוסיף לבאר מהו כוונת הגמ’ כשאומר שרבי יהודה לא פריך צד 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לפירוש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שהוא שסובר שיש מעשה בעדים זוממים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שבדיבור שלהם עושים מעשה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יש לדון אם רצה לומר שעקימת פה נחשב מעשה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ודלא כבבלי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 שיש חשיבות לדיבור שלהם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כיון שגרם פסק בית דין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כעין זה מצאנו בסוגיה של אתי דיבור ומוציא מידי דיבור</w:t>
      </w:r>
      <w:r>
        <w:rPr>
          <w:rFonts w:eastAsia="Times New Roman"/>
          <w:b w:val="false"/>
          <w:i w:val="false"/>
          <w:sz w:val="24"/>
          <w:rtl w:val="true"/>
        </w:rPr>
        <w:t>).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עכשיו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נדון בכל גמ’ וגמ’ ונחפש למצוא ביאור של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שני דיבורים של תוס’ בפי’ על 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בפסחים פי’ שהצד החמור הוא מה ששניהם נצטוו קודם נתינת התורה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תוס’ בכתובות פי’ שיש לו איזה פירכא אחרת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חוץ מצד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שלא חש לפרש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עיין לעיל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שבארנו כוונה של תוס’ 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אם יש חילוק ביניהם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עיין במה שבארנו לעיל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שאולי סתימות לשון רבינו תם משמע שאינו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משמע שמפרש ש”צד חמור” רצה לומר שיש בשניהם חומרא אחת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שלא מפרש מהו החומר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שאין כן תוס’ 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שבאר ש”צד חמור” רצה לומר שיש להם דמיון רק במה שלשניהם יש 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זה לא מסקנת הגמ’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כן נראה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מדיבור המתחיל של תוס’ 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שקאי על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מקשה איך קם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מיד פי’ ר”ת כן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משמע שרבינו תם בא לפרש מהו ה”צד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שרק לפי תוס’ בכתובות נוכל לפרש את הגי’ שבו גמ’ מבאר מהו הצד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נאמר שרבינו תם חולק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שלא גורס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נראה שלכן תוס’ בכתובות חולק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שגורס כן</w:t>
      </w:r>
      <w:r>
        <w:rPr>
          <w:rFonts w:eastAsia="Times New Roman"/>
          <w:b w:val="false"/>
          <w:i w:val="false"/>
          <w:sz w:val="24"/>
          <w:rtl w:val="true"/>
        </w:rPr>
        <w:t xml:space="preserve">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צ”ל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שיכול להיות שחולק כיון שסובר שמילים של “צד חמור” לא משמעים שרצה לומר שהחילוק ביניהם הוא שיש חומרא אחת לשניהם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שאז היה לו לומר את החומרא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אם נוכל לפרש את זה כמו שמפרש הר”י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קודם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צריכים להעיר שאין הכרח שצריכים לכך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ר”י נחית לומר ש”צד חמור” אומר שלשניהם יש חומרא אחת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שמפרש בפשטו השני בגמ’ בסוטה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שאולי רק נחית לומר ש”צד חמור” רצה לומר שיש לשניהם צד חמור שהזכרנו של אחד מהם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לא יכול להיות משמע שיש לשניהם צד חמור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עדיין מה שתוס’ לא מפרש גמ’ זה לפי ר”י משמע שלא קשה לו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נוסיף שאף לרבינו תם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זה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סיבה לחשוב שביאור של תוס’ הוא יותר קל לרבינו מלר”י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נצטרך לומר שיש חומרא משונה לתמיד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במה שהוא תמיד וכליל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שהוא כליל אינו כל כך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שהוא כן בכל עולה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שהוא תמיד אולי הוא משונה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אולי החומר שבא ממה שיש שניהם הוא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שיש חיוב כרת על קרבן פסח הוא חומרה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נראה שלא קשה לפרש כר”י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קצת איני מבין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למה לא מפרש תוס’ כן בכתובות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רשי לא אומר כלום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משמע שסובר שאין גמ’ אומר פירכא אמיתי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שהיה לו לומר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משמע שגמ’ אומר פירכא אמיתי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נפרש ש”צד חמור” תמיד אומר אותו דבר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נצטרך לפרש כמו ר”י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שכך מפרש רשי בסוטה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לא צ”ל אותו דבר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יש להעיר שמצאנו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בגמ’ לקמן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שיטות שחולקים ולא אומרים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קשה למה לא חולקים על הגמ’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אם נאמר שכשאומרים שצד חמור לא פריך לא אומר אותו דבר בכל זמן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שאולי צד חמור יכול לכוון לצד חמור פרטי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 אין זה קושיה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שכאן צד חמור פורכים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נאמר שמכוון למה שיש חומרא בשניהם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 קשה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שלכאו’ צריך לחלוק בכל מקום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לומר שסובר כר”ת שאין זה פירכא האמיתי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קשה למה לא העיר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וי”ל שזה פירכא האמיתי למי שפורך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שהערנו</w:t>
      </w:r>
      <w:r>
        <w:rPr>
          <w:rFonts w:eastAsia="Times New Roman"/>
          <w:b w:val="false"/>
          <w:i w:val="false"/>
          <w:sz w:val="24"/>
          <w:rtl w:val="true"/>
        </w:rPr>
        <w:t>,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פשוט שמצאנו תנא שפורך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יש לומר ששם גמ’ לא מקשה מצד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מפרש שצריכים קרא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קל לומר שהוא סיבה שטרח וכ’ אותו קרא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שני דיבורים של תוס’ שמבארים את 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בכתובות מביא שני פירושים בגמ’ שלנו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פי’ ראשון הוא פי’ 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שכוונת “צד חמור” הוא לומר שיש צד שהוא חמור באופן משונה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דנינו אם הכוונה הוא שמאד חמור הוא או שחומרתו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אומר שאי אפשר ללמוד משניהם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שלשניהם יש דין שהוא חמור משונה וקל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פי’ שני הוא פי’ רבינו תם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רבינו תם פי’ שכוונת גמ’ הוא שיש לשניהם אותו חומר או אותו קולא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לשניהם חומרא של חמשה דברים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שלפעמים גם עדים זוממים חייבים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הקולא הוא שלשניהם אין חיוב כרת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וא”ת איך זה נשמע ממילים של צד הקל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שאין לומר שהוא צד הקל שהזכרנו כבר לאחד מהם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לומר שהוא המוכיח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בדרך כלל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לקולא ולחומרא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ולכן נקרא קלות בסתם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דחוק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יש לומר שאין הכי נמי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וצריך לומר כמה שמפרש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לשונו לא משמע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לפרש שאינו בעיה לומר צד קל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ושלא לפרש מהו הצד קל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היינו אומרים כעין זה גם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שגורסים שם מהו 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שיש חומרא לכל אחד מהם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מוכרח שאין הגמ’ מכוון לומר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לדחות במשהו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ותחשב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שתוס’ גרס כגירסא שלנו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שאנ”ץ בסוטה מביא פי’ הר”י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שצד חמור וצד קל הוא שיש חומרא משונה ויש קולא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מלשונו שם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בביאור למה הוא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משמע שענין שינוי הוא כמה משונה הוא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כמה חמור הוא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מוכרח כן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שמצאנו חולקים שלא מקשים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מקשה אם נצטרך להוקים עולא לסבור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אפשר שכאן לא יסברו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שכתבנו גבי גמ’ בפסחים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בסוטה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שני דיבורים בזה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בכתובות מאריך בזה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מבאר שלש פשטים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מהו 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שני צדדים הראשונים באים מן הר”י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פי’ ראשון של הר”י הוא שחומרות שלהם הם משונות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שפי’ בגמ’ 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לזה</w:t>
      </w:r>
      <w:r>
        <w:rPr>
          <w:rFonts w:eastAsia="Times New Roman"/>
          <w:b w:val="false"/>
          <w:i w:val="false"/>
          <w:sz w:val="24"/>
          <w:rtl w:val="true"/>
        </w:rPr>
        <w:t>,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17"/>
      </w:r>
      <w:r>
        <w:rPr>
          <w:b w:val="false"/>
          <w:i w:val="false"/>
          <w:sz w:val="24"/>
          <w:rtl w:val="true"/>
        </w:rPr>
        <w:t xml:space="preserve">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רבן יוחנן בן זכאי חולק כיון שסובר שלא מסתבר שתורה תלתה במה שיש לו חומרא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שהחומר לא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פי’ שני של ר”ת הוא שיש לשניהם אותו 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מה ששניהם יש במינם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נאמר שריב”ז חולק על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 ההסבר יהיה שסובר שאינו כל כך במינם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לומר שאינו כל כך במין של טבול יום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שאז היה לומד רק מזה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שאינו כל כך במין של כלי חרס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שאין כל כלים מין אחד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יש לומר שכיון שאינו במינם באופן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שאולי נחדש שכלי לשאר כלים אינו כטבול יום לטבול יום של מת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זה פירכא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שיש מעליותא לזה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נאמר כפשט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הוכחה שרבן יוחנן בן זכאי חולק על שום פירכת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צריכים לפרש שאר הגמרות כמותו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לאידך גיסא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עם עלייה זו באה ירידה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שלשון גמ’ ש”צד חמור לא פריך</w:t>
      </w:r>
      <w:r>
        <w:rPr>
          <w:rFonts w:eastAsia="Times New Roman"/>
          <w:b w:val="false"/>
          <w:i w:val="false"/>
          <w:sz w:val="24"/>
          <w:rtl w:val="true"/>
        </w:rPr>
        <w:t xml:space="preserve">,”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שלא מפרש מהו הצד החמור כדי לפרש למה לא פורך בו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קצת משמע שצד חמור הוא שיש בו איזה חומרא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יותר מכן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שכופל את המילה כשמזכיר אותו לרבי יוחנן בן זכאי משמע שהוא כלל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 יוחנן בן זכאי לא פורך עם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משמע שהוא קיים במקומות אחרים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ותחשב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שאנ”ץ בסוטה מפ’ אותו גם כן כפשט ראשון של ר”י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מקשה בכתובות למה לא מוכיחים מאוכל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מהו תי’ שלו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הוא שאילו עשה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היה גמ’ דוחה שיש צד השווה בכולם במה שנגעו באב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וא”ת איך רבי יוחנן ידחה את 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שיאמר שאין פירכא כזה פירכא טובה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שאין זה חילוק כל כך חשוב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יש להוסיף על זה שאף הנידון שלנו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אוכל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יש במינו מה שקבל טומאה באב הטומאה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אוכל ראשון</w:t>
      </w:r>
      <w:r>
        <w:rPr>
          <w:rFonts w:eastAsia="Times New Roman"/>
          <w:b w:val="false"/>
          <w:i w:val="false"/>
          <w:sz w:val="24"/>
          <w:rtl w:val="true"/>
        </w:rPr>
        <w:t>).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אוי מה שהם שלש עושה שיותר קל לומר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כמו שנראה מגמ’ בחולין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קטז</w:t>
      </w:r>
      <w:r>
        <w:rPr>
          <w:rFonts w:eastAsia="Times New Roman"/>
          <w:b w:val="false"/>
          <w:i w:val="false"/>
          <w:sz w:val="24"/>
          <w:rtl w:val="true"/>
        </w:rPr>
        <w:t xml:space="preserve">.).)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אפשר שהוא שכך פי’ של הגמ’ כשאומר שצד חמור יש בשניהם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יותר קשה לסמוך על גמ’ בחולין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שהיה לו לגמ’ להביא גמ’ בחולין כיון שצריך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לדון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שבין כך ובין כך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מביא חלק ממה שצריך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עיין שם ברשי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שפי’ שהצד חמור הוא ש”טבול יום יש במינו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כלי חרש מטמא מאוירו</w:t>
      </w:r>
      <w:r>
        <w:rPr>
          <w:rFonts w:eastAsia="Times New Roman"/>
          <w:b w:val="false"/>
          <w:i w:val="false"/>
          <w:sz w:val="24"/>
          <w:rtl w:val="true"/>
        </w:rPr>
        <w:t xml:space="preserve">.”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שפי’ כר”י בפי’ ראשון שלו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לפרש שרשי מפרש כמש”כ תוס’ בפי’ גמ’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אבל לא משמע ן מרשי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שחסר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ולא ממשע כן מגמ’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שהיה לו להביא את הפירכא האמיתי ולדחות אותו</w:t>
      </w:r>
      <w:r>
        <w:rPr>
          <w:rFonts w:eastAsia="Times New Roman"/>
          <w:b w:val="false"/>
          <w:i w:val="false"/>
          <w:sz w:val="24"/>
          <w:rtl w:val="true"/>
        </w:rPr>
        <w:t>).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במכות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שני דיבורים על גמ’ 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בכתובות פי’ שרצה לומר שחומרא אחת נוגעת בשניהם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מה שאין בו מעשה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ואף על פי כן לוקים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עיין 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שמביא פי’ ר”ת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ואומר שגם במכות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לפ’ כמו גמ’ זה לר”י ור”ת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אם רצה לומר שיש מה שדומה למה שאמר ר”ת ויש מה שדומה למה שאמר 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מביא שניהם כגמ’ במכות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 שרצה לומר שיש מה שיפרש בין לר”י בין לר”ת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שיש לומר שם כמה שמביא מרבינו תם במכות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קשה איך נאמר ש”צד חמור” משמע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לומר שמפ’ כמו שפי’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לשונו לא משמע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לומר שרק פי’ כן בפסחים מפני המשך הגמ’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אפשר לומר שכיון שמצאנו תלייה בין מעשה לעונש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פשוט שזה נחשב 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עד כדי שזה נקרא בשם של 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ביאור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במכות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מביא שני פי’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פי’ שהביא 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ופי’ כפי’ הר”י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שהוא שיש חומרא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לפי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 יהודה חולק כיון שלא מחשיב את זה לחומרא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תוס’ מביא שאולי סובר שיש בו מעשה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לעיל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כתבנו שני צדדים בביאור זה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גם אפשר שסובר שאין זה חומרא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כיון שיצא בקולא שלו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שאין בו מעשה</w:t>
      </w:r>
      <w:r>
        <w:rPr>
          <w:rFonts w:eastAsia="Times New Roman"/>
          <w:b w:val="false"/>
          <w:i w:val="false"/>
          <w:sz w:val="24"/>
          <w:rtl w:val="true"/>
        </w:rPr>
        <w:t xml:space="preserve">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שלא צריך חומרא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אלא חילוק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שאומר גמ’ בחולין</w:t>
      </w:r>
      <w:r>
        <w:rPr>
          <w:rFonts w:eastAsia="Times New Roman"/>
          <w:b w:val="false"/>
          <w:i w:val="false"/>
          <w:sz w:val="24"/>
          <w:rtl w:val="true"/>
        </w:rPr>
        <w:t xml:space="preserve">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ותחשב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לפי 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 יהודה חולק כיון שאין החומר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כן פי’ רשי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נמצא שרש”י מפרש כר”י כאן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להוסיף הסבר לכל זה על פי מה שהקדמנו בנוגע מה עושה פירכא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אם פירכא הוא ממין ראשון שבארנו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שאז הם דומים במה שהם חמורים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אומר צד חמור בכעין שני ושלישי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ששם יש לומר שהם חמורים באופן אחר או שה’ רצה חומרות לסיבה אחרת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ותחשב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על פי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לת’ בת’ חלוק מכל שאר התי’ שאמרנו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לומר שרק עושה כן אם מסתבר שהפירכא הוא ממין א’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שמה שאומר ר”י הוא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באמת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סיבה לזה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רק אפשר אם נאמר שחומרה משונה רצה לומר חומרה יתירה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גם יכול להיות הסבר לציורים פרטים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למה לא חולק רבי יוחנן בן זכאי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נוכל לומר שרבי יוחנן בן זכאי חולק רק כשאינו כמין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שם מודה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כן הוא בפסחים ובכתובות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דע שדחוק לומר כזה 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ששם טוען שהוא חמור וקל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קשה לומר כזה אם הוא סוג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ונראה ששם צריך לומר שאינו מין סוג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ותחשב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עכשיו נבאר שלש גמרות שאינם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היה אפשר לומר בהם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 הם כעין צד חמור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הראשון שנבאר הוא הגמ’ בשבת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כל כך קשה למה לא אומר שם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שאולי הוא כמד”א שלא אומרים צד חמור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נראה שזה רק אפשר אם יש מד”א כזה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נראה שרש”י סובר שיש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לא קשה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לפי ר”ת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קל לומר ששם יש רק חומר אחד לכולם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ואומר אותו במילים שלו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צריך לומר שאין זה פי’ של 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לפי 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לומר שאין החומרות שלהם משונים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השני שנבאר הוא גמ’ בקידושין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מובן למה הוא כעין צד חמור ולמה ר”א לא ידרוש אותו לפי 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נראה שהוא מובן לפי ר”ת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שרש”י סובר כר”י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הרי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במקומות שמצאנו שאין פורכים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רש”י סובר כר”י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שר”ת סובר שאין זה ממש דומה לצד חמור או שסובר שיכולים ללמוד מצד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ורק לא פורכים ממנו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שמוכרח שלפי רש”י לא מוכרח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שהרי רבי יהודה דורש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הסובר במכות שאין פורכים מצד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שאינו מוכרח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השלישי הוא גמ’ בסנהדרין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 מצאנו צד חמור כעין הר”י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צריך לומר שר”ת סובר שזה לא ממש דומה למה שיש צד חמור של ר”י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שהוא יותר פרטי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ולכן מזה פורכים ולא פורכים מצד חמור של ר”י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ודע שיכול להיות שהם כמעט שווים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ששניהם אומרים שיש לו קרק’ באופן אחת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לא באופן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שלכל צד השווה יהיה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מוכרח שגבי חומרא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צריכים להיות שווים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אם נלמד מזה לקרק’ אחרים</w:t>
      </w:r>
      <w:r>
        <w:rPr>
          <w:rFonts w:eastAsia="Times New Roman"/>
          <w:b w:val="false"/>
          <w:i w:val="false"/>
          <w:sz w:val="24"/>
          <w:rtl w:val="true"/>
        </w:rPr>
        <w:t>.)</w:t>
      </w:r>
      <w:r>
        <w:rPr>
          <w:rStyle w:val="EndnoteAnchor"/>
          <w:rFonts w:eastAsia="Times New Roman"/>
          <w:b w:val="false"/>
          <w:i w:val="false"/>
          <w:sz w:val="24"/>
          <w:rtl w:val="true"/>
        </w:rPr>
        <w:endnoteReference w:id="2"/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>
          <w:rFonts w:ascii="Times New Roman" w:hAnsi="Times New Roman"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תשאל לי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כוונת הגמ’ כשאומר “צד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הייתי אומר לך שיש שני צדדים</w:t>
      </w:r>
      <w:r>
        <w:rPr>
          <w:rFonts w:eastAsia="Times New Roman"/>
          <w:b w:val="false"/>
          <w:i w:val="false"/>
          <w:sz w:val="24"/>
          <w:rtl w:val="true"/>
        </w:rPr>
        <w:t>: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235" w:leader="none"/>
          <w:tab w:val="left" w:pos="720" w:leader="none"/>
        </w:tabs>
        <w:bidi w:val="1"/>
        <w:ind w:left="720" w:hanging="50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לשניהם חומרה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שאין כוונת גמ’ לומר זה לפירכה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רק להו”א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פירכה אחרת שלא מזכיר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235" w:leader="none"/>
          <w:tab w:val="left" w:pos="720" w:leader="none"/>
        </w:tabs>
        <w:bidi w:val="1"/>
        <w:ind w:left="720" w:hanging="50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לשניהם חומרה אחד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צריך להיות חומרה שכבר הזכרנו או חומרה בסיסי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ind w:firstLine="36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יכול להיות שפעמים הוא זה ולפעמים הוא זה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>
          <w:rFonts w:ascii="Times New Roman" w:hAnsi="Times New Roman" w:eastAsia="Times New Roman"/>
          <w:b w:val="false"/>
          <w:i w:val="false"/>
          <w:i w:val="false"/>
          <w:sz w:val="24"/>
        </w:rPr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ממילא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קשה למה לא פורכים כל צד השווה בפירכת צד חמור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sectPr>
      <w:headerReference w:type="default" r:id="rId2"/>
      <w:footerReference w:type="default" r:id="rId3"/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1134" w:top="1637" w:footer="1134" w:bottom="1637"/>
      <w:pgNumType w:fmt="decimal"/>
      <w:formProt w:val="false"/>
      <w:textDirection w:val="lrTb"/>
      <w:docGrid w:type="default" w:linePitch="312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"/>
        <w:bidi w:val="1"/>
        <w:jc w:val="left"/>
        <w:rPr>
          <w:lang w:bidi="he-IL"/>
        </w:rPr>
      </w:pPr>
      <w:r>
        <w:rPr>
          <w:rStyle w:val="EndnoteCharacters"/>
        </w:rPr>
        <w:endnoteRef/>
      </w:r>
      <w:r>
        <w:rPr>
          <w:rtl w:val="true"/>
          <w:lang w:bidi="he-IL"/>
        </w:rPr>
        <w:tab/>
        <w:t>אחר כל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הבנתי שאולי לפי רבינו תם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אינו רק שמבין גמ’ שהוא בתוך חומרא אחת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שאינם כל כך בתוך אותו חומרא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למשל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לע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 כל כך חמשה דברים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להוסיף שאולי פי’ צד חמור הוא שיש להם אותו חומרא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רק צד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שאין להם את כל הדין שלו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לפי זה גם מובן למה נאמר שתנא אחד סובר שצד חמור לא פריך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כעין מה שפי’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להעיר שלפי זה אולי מובן למה אי אפשר לפרש גמ’ בספחים כזה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שאם כן רצה לומר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אינם באופן צדדי בתוך אותו פי’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שניהם הם באותו הפירכא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  <w:tab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auto"/>
    <w:pitch w:val="default"/>
  </w:font>
  <w:font w:name="Calibri">
    <w:charset w:val="01"/>
    <w:family w:val="auto"/>
    <w:pitch w:val="default"/>
  </w:font>
  <w:font w:name="Courier New">
    <w:charset w:val="01"/>
    <w:family w:val="auto"/>
    <w:pitch w:val="default"/>
  </w:font>
  <w:font w:name="Calibri Light">
    <w:charset w:val="01"/>
    <w:family w:val="auto"/>
    <w:pitch w:val="default"/>
  </w:font>
  <w:font w:name="Arial">
    <w:charset w:val="01"/>
    <w:family w:val="auto"/>
    <w:pitch w:val="default"/>
  </w:font>
  <w:font w:name="SBL Hebrew">
    <w:charset w:val="01"/>
    <w:family w:val="auto"/>
    <w:pitch w:val="default"/>
  </w:font>
  <w:font w:name="Sitka Text">
    <w:charset w:val="01"/>
    <w:family w:val="auto"/>
    <w:pitch w:val="default"/>
  </w:font>
  <w:font w:name="Sitka Small">
    <w:charset w:val="01"/>
    <w:family w:val="auto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1"/>
      <w:jc w:val="center"/>
      <w:rPr/>
    </w:pPr>
    <w:r>
      <w:rPr>
        <w:rFonts w:ascii="SBL Hebrew" w:hAnsi="SBL Hebrew"/>
        <w:rtl w:val="true"/>
        <w:lang w:bidi="he-IL"/>
      </w:rPr>
      <w:t>חרב אל הבדים</w:t>
    </w:r>
    <w:r>
      <w:rPr>
        <w:rFonts w:ascii="SBL Hebrew" w:hAnsi="SBL Hebrew"/>
        <w:rtl w:val="true"/>
        <w:lang w:bidi="he-IL"/>
      </w:rPr>
      <w:t xml:space="preserve">- </w:t>
    </w:r>
    <w:r>
      <w:rPr>
        <w:rFonts w:ascii="SBL Hebrew" w:hAnsi="SBL Hebrew"/>
        <w:rtl w:val="true"/>
        <w:lang w:bidi="he-IL"/>
      </w:rPr>
      <w:t>אלו נערות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פשוט למה מסתבר כן לנו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אפשר שהוא מסברה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ואפשר שהוא ממקור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אפשר שיש לנו מקור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_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מסתמא הלכה למשה מסיני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שאומר לנו לדרוש צד השווה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אז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מוכרח שלא תלה אותו קרא באחד משני קרק’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או שלא עשה כן באופן שיגרום טעות בדין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).</w:t>
      </w:r>
    </w:p>
  </w:footnote>
  <w:footnote w:id="3">
    <w:p>
      <w:pPr>
        <w:pStyle w:val="Footnote"/>
        <w:rPr>
          <w:rFonts w:ascii="Sitka Text" w:hAnsi="Sitka Text"/>
        </w:rPr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אגב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יש להעיר שיש להקשות למה לא דוחים כל קל וחומר שבעולם על פי מה שמצאנו בגמ’ בב”מ וברכות שדבר שכ’ בפירוש יש לו יותר כוח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אז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נדחה שהדין שלומדים יש לו יותר כוח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ואז רואים שהוא יותר חמור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נראה שיש שלש דרכים פשוטים לתרץ לקושיה זו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הראשון הוא שיש הל”מ שאומר לדרוש קל וחומר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ואז צריך לומר שדורשים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ואף שיש פירכה זו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השני הוא שאין זה מוכיח שאחד יותר חמור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אולי עשתה ךתורה כן כיון שלא רצתה לרבות בפסוקים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אז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נמצא שאין לנו עוד ראיה שזה יותר חמור מזה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שהרי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היה צריך אחד לכותבו בו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וכמו שלא נניח חילוק אם לא מצאנו חילוק בדין אחר ביניהם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גם כאן לא נניח חילוק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השלישי הוא שזה מורה חילוק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ורואים שא’ יותר חמור מב’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מנסים ללמוד שיהיה א’ חמור כב’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אלא ללמוד שיהיה ב’ כמעט חמור כ’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זאת אומרת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לומדים לתת את הדין הנידון לב’ כמו שניתן לא’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שהרי לא’ כתוב בפי’ ולב’ לא ייכתב בפירוש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כיון שלא מצאנו חילוק בניהם כי אם 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מה שבאחד יש דין הכ’ בפי’ ובמה שבאחד אין דין הכ’ בפי’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מסתבר להניח שהוא רק קצת יותר חמור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ואז נוכל ללמוד כן ממנו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ותחשב על 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וצריך לעיין במקומות שפורכים כן</w:t>
      </w:r>
      <w:r>
        <w:rPr>
          <w:rtl w:val="true"/>
        </w:rPr>
        <w:t xml:space="preserve">, </w:t>
      </w:r>
      <w:r>
        <w:rPr>
          <w:rtl w:val="true"/>
        </w:rPr>
        <w:t>ולראות אם יהיה קשה מחמת מה שכתבנו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4">
    <w:p>
      <w:pPr>
        <w:pStyle w:val="Footnote"/>
        <w:rPr>
          <w:rFonts w:ascii="Sitka Text" w:hAnsi="Sitka Text"/>
        </w:rPr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רק לא תמיד יהיה פשוט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אלא תמיד לא יהיה פשוט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אזכיר כאן מה שראיתי מאביו של י</w:t>
      </w:r>
      <w:r>
        <w:rPr>
          <w:rtl w:val="true"/>
        </w:rPr>
        <w:t>.</w:t>
      </w:r>
      <w:r>
        <w:rPr>
          <w:rtl w:val="true"/>
        </w:rPr>
        <w:t>ר</w:t>
      </w:r>
      <w:r>
        <w:rPr>
          <w:rtl w:val="true"/>
        </w:rPr>
        <w:t xml:space="preserve">., </w:t>
      </w:r>
      <w:r>
        <w:rPr>
          <w:rtl w:val="true"/>
        </w:rPr>
        <w:t>והוא ש”הוא פשוט שאינו פשוט</w:t>
      </w:r>
      <w:r>
        <w:rPr>
          <w:rtl w:val="true"/>
        </w:rPr>
        <w:t xml:space="preserve">. </w:t>
      </w:r>
      <w:r>
        <w:rPr>
          <w:rtl w:val="true"/>
        </w:rPr>
        <w:t>זה הדבר היחידי שהוא תמיד פשפוט</w:t>
      </w:r>
      <w:r>
        <w:rPr>
          <w:rtl w:val="true"/>
        </w:rPr>
        <w:t>.”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יש לדון אם כל כך מסתבר הוא שיגיד דין זה כאן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שהוא כלל שבכל התורה כולה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ולא צריך לפרש “צד חמור” פה בגמ’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ויש לדון בזה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6">
    <w:p>
      <w:pPr>
        <w:pStyle w:val="Footnote"/>
        <w:rPr>
          <w:rFonts w:ascii="Sitka Text" w:hAnsi="Sitka Text"/>
        </w:rPr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לכאו’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רצה לומר שסיבת טומאתו הוא מה שהוציא דבר מגופו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ולא מה שנגע בדבר טמא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אין זה כל כך פשוט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לכאו’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שניהם עשו מעשה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ובשניהם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אותו מעשה הוא סיבה לטמא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נראה שבאחד מהם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המעשה היה סיבה ליחס לדבר טומא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ובאחד הסיבה היה סיבה להביא טומאה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כיון שעשה סיבה להביא טומאה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חמור הוא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</w:p>
    <w:p>
      <w:pPr>
        <w:pStyle w:val="Footnote"/>
        <w:rPr/>
      </w:pPr>
      <w:r>
        <w:rPr>
          <w:rFonts w:eastAsia="Sitka Small" w:ascii="Sitka Small" w:hAnsi="Sitka Small"/>
          <w:b w:val="false"/>
          <w:i w:val="false"/>
          <w:sz w:val="20"/>
          <w:rtl w:val="true"/>
        </w:rPr>
        <w:tab/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גם אפשר להיות שהענין הוא שאין כל כך חילוק בין אדם שטבל לאדם שלא טבל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אז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אם רואים שנהפך לטבול יום ממצב של אב הטומאה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צריך לומר שטבול יום הוא דבר חמור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דחוק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שקשה למה לא נניח שיש חילוק ושינוי גדול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יש לדון אם מקשה מסברה למה לא ידרוש כן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שנראה כדרשה טובה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או מהוכחה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שהרי דורש שאר דינים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שמודה גבי לאו הניתק לעשה וכדומה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ותחשב על 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שני פעמים שהם לוקים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כשהעידו שאחד חייב מלקות וכשהם מעידים על אדם שהוא ב”ג או שחייב גלות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וא”ת אי אפשר שדן בראשון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ששם אינו נענש מלקות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כאשר זמם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ונמצא שזה מכות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עיין במה שכתבנו בביאורים שלנו על הגמ’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שזה לא מוכרח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שיש לומר שעונש שלו הוא מלקות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כן משמע מן הגמ’ שם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יש להעיר שאם לא לומדים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אינו נכון לומר שאין צריכים התראה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שבין כך ובין כך אין לוקים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אלא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רצה לומר שאף אם היינו לומדים זה מזה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היה חילוק ביניהם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שמוכרח שלא ללמד דין התראה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שהרי פסוק אומר שצריך התראה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ומסתבר שהקרא מדבר על כל ציור שאינו מפורש להיפך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וכיון שבין כך ובין כך מוכרח שלא שווים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אין סיבה להניח שהם דומים ככל היכול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ותחשב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10">
    <w:p>
      <w:pPr>
        <w:pStyle w:val="Footnote"/>
        <w:rPr>
          <w:rFonts w:ascii="Sitka Text" w:hAnsi="Sitka Text"/>
        </w:rPr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שקלא וטריא זה לא פשוט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ולכן בחרנו שלא לבאר אותו למעלה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לכאו’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צריך ביאור מהו הדיחוי שקנס הוא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לכאו’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הוא שהענוש של מלקות הוא קנס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ואינו עונש רגיל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  <w:p>
      <w:pPr>
        <w:pStyle w:val="Footnote"/>
        <w:rPr/>
      </w:pPr>
      <w:r>
        <w:rPr>
          <w:rFonts w:eastAsia="Sitka Small" w:ascii="Sitka Small" w:hAnsi="Sitka Small"/>
          <w:b w:val="false"/>
          <w:i w:val="false"/>
          <w:sz w:val="20"/>
          <w:rtl w:val="true"/>
        </w:rPr>
        <w:tab/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אז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נמצא שיש שני מיני עונש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-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עונש וקנס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 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יותר קל לומר כן בממון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שבממון יכולים לדבר על פיי”רנס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ולחלק לככה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כאן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כל כך קל לחלק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.)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גם שומעים שיש שסוברים שעדים זוממים קנס הוא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רק רואים שיש שסוברים שע”ז אין בו חיוב ממון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אלא כשמשלם ממון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קנס הוא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מצאנו שהוא מין עונש של קנס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אולי המקור לזה הוא שממון שלו הוא קנס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ומסתמא שאר חיובים שלו דומה לחיוב ממון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גם אפשר שכמו שקשה איך ישלם ממון אם הצליח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כך קשה איך יתחייב אם לא מצליח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ולכן צריך לומר שהוא מין אחר של עונש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-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הוא קנס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ותחשב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יש להעיר שרבי יהודה עצמו סובר שצד חמור לא פריך במכות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צריך לומר אחד משני דברים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-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או אפשר לחלק בין זה לצד חמור או אפשר לחלק בין לימוד מצד חמור ופירכא מצד חמור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ותחשב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יש לדחות את זה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אולי לקמן לא יכול דיחוי זה לקום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אפשר לומר שרבינו תם בא לבאר מה מאחד את שני החומרות לעשות שמסתבר שהדין תלוי בהם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והוא ששניהם באים ממה שהיו קודם הדיבור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כיון שתקן אותם ה’ להיות קיים לפני הדיבור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נתן בהם חומרות אלו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כיון שלחומרות אלו יש סיבה אחת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יש לומר שה’ רק נתן עוד חומרא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מה שדוחה שבת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למה שיש לו חומרא כעין 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 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עדיין מה שהוא לפני הדיבור לא מספיק לפני עצמו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דחוק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שנ”ל שמצאנו מקומות בגמ’ שמספיק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צריך לומר ששם יש חומרא אחר שלא מזכיר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דחוק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.)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עדיין לא משמע שכן מכוון לומר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ותחשב על 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תוס’ מעורר קושיה 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והיה אפשר לטעון שמעורר אותו על הגמ’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מקומו בתוך התוס’ לא משמע כן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יותר נראה שכוונתו לומר ככה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-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אפשר להיות שעקימת שפתים הוא מעשה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אינו מעשה כביאה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אז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קשה שייחשב חומרה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בוודאי אינו חומרא גדולה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כיון שסוף סוף מעשה הוא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כך אומר גמ’ בסנהדרין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וכריתות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פשוט מהו התי’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שהרי לא ראו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והאיסור הוא שמשקרים לבית דין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ותחשב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בכמה מקומות מצאנו כעין 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והוא שמזכיר מה שיש לו דין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אף שיש לו סיבה שלא יהיה לו הדין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מעניין שזה נחשב חומרא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שהייתי אומר שאף שרואים גודל כוח אחד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במה שבא לו דין אף בלי טומאה שיוצא מגופו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רואים מיעוט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במה שטומאה לא בא מגופו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אפשר שהענין הוא שרואים מכאן שיש חומרא שאין אנו מבינים כל כך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שאנו היינו אומרים שלא יכול להיות כל כך חמור בלי היות הטומאה יוצא מגופו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אז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נדע שאינו חמור באופן משונה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ואז לא נוכל ללמוד ממנו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דחוק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כמו שהערנו לעיל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נמצא שיש קולא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במה שאין בו עמשה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ונמצא שיש חומרא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במה שלא צריך מעשה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לכאו’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הענין הוא שמוכיח שיש דבר אחר שהוא מאד חמור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כדי להלקות אף שאין בו מעשה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אז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יש בו קולא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במה שאין בו מעשה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ויש בו חומרא אחרת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שמוכיחים ממה שמבקל מלקות אף בלי דיבור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ותחשב על 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יש להעיר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והוא קצת פשוט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שצריך להיות שרבי יוחנן בן זכאי לא מודה לפירכא של איזה צד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שאם מודה אף לאחד מהם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אין לו לימוד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הדיון הוא רק איזה פירכא מביא הגמ’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מה סוברים דור אחרון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שעליו אומר שרבי יוחנן בן זכאי לא דורש אותו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ותו”ת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lang w:bidi="he-IL"/>
      </w:rPr>
    </w:pPr>
    <w:r>
      <w:rPr>
        <w:rtl w:val="true"/>
        <w:lang w:bidi="he-IL"/>
      </w:rPr>
      <w:t>צד חמור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3035" w:hanging="2107"/>
      </w:pPr>
      <w:rPr>
        <w:rFonts w:ascii="Times New Roman" w:hAnsi="Times New Roman" w:cs="Times New Roman" w:hint="default"/>
        <w:sz w:val="24"/>
        <w:i w:val="false"/>
        <w:b w:val="fals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1707" w:hanging="1185"/>
      </w:pPr>
      <w:rPr>
        <w:rFonts w:ascii="Times New Roman" w:hAnsi="Times New Roman" w:cs="Times New Roman" w:hint="default"/>
        <w:sz w:val="24"/>
        <w:i w:val="false"/>
        <w:b w:val="false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3413" w:hanging="1185"/>
      </w:pPr>
      <w:rPr>
        <w:rFonts w:ascii="Times New Roman" w:hAnsi="Times New Roman" w:cs="Times New Roman" w:hint="default"/>
        <w:sz w:val="24"/>
        <w:i w:val="false"/>
        <w:b w:val="false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960" w:hanging="667"/>
      </w:pPr>
      <w:rPr>
        <w:sz w:val="24"/>
        <w:i w:val="false"/>
        <w:b w:val="false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Narkisim"/>
      <w:color w:val="auto"/>
      <w:kern w:val="2"/>
      <w:sz w:val="24"/>
      <w:szCs w:val="22"/>
      <w:lang w:val="en-GB" w:eastAsia="zh-CN" w:bidi="hi-IN"/>
    </w:rPr>
  </w:style>
  <w:style w:type="character" w:styleId="LineNumbering">
    <w:name w:val="Line Number"/>
    <w:rPr/>
  </w:style>
  <w:style w:type="character" w:styleId="EndnoteCharacters">
    <w:name w:val="Endnote Characters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FooterChar">
    <w:name w:val="Footer Char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BodyTextChar">
    <w:name w:val="Body Text Char"/>
    <w:qFormat/>
    <w:rPr>
      <w:rFonts w:ascii="Calibri" w:hAnsi="Calibri" w:eastAsia="Calibri" w:cs="Times New Roman"/>
      <w:color w:val="000000"/>
      <w:sz w:val="22"/>
    </w:rPr>
  </w:style>
  <w:style w:type="character" w:styleId="Comment">
    <w:name w:val="Comment"/>
    <w:qFormat/>
    <w:rPr>
      <w:vanish/>
    </w:rPr>
  </w:style>
  <w:style w:type="character" w:styleId="HTMLMarkup">
    <w:name w:val="HTML Markup"/>
    <w:qFormat/>
    <w:rPr>
      <w:vanish/>
      <w:color w:val="FF0000"/>
    </w:rPr>
  </w:style>
  <w:style w:type="character" w:styleId="Typewriter">
    <w:name w:val="Typewriter"/>
    <w:qFormat/>
    <w:rPr>
      <w:rFonts w:ascii="Courier New" w:hAnsi="Courier New"/>
      <w:sz w:val="20"/>
    </w:rPr>
  </w:style>
  <w:style w:type="character" w:styleId="Sample">
    <w:name w:val="Sample"/>
    <w:qFormat/>
    <w:rPr>
      <w:rFonts w:ascii="Courier New" w:hAnsi="Courier New"/>
    </w:rPr>
  </w:style>
  <w:style w:type="character" w:styleId="Keyboard">
    <w:name w:val="Keyboard"/>
    <w:qFormat/>
    <w:rPr>
      <w:rFonts w:ascii="Courier New" w:hAnsi="Courier New"/>
      <w:b/>
      <w:sz w:val="20"/>
    </w:rPr>
  </w:style>
  <w:style w:type="character" w:styleId="CODE">
    <w:name w:val="CODE"/>
    <w:qFormat/>
    <w:rPr>
      <w:rFonts w:ascii="Courier New" w:hAnsi="Courier New"/>
      <w:sz w:val="20"/>
    </w:rPr>
  </w:style>
  <w:style w:type="character" w:styleId="CITE">
    <w:name w:val="CITE"/>
    <w:qFormat/>
    <w:rPr>
      <w:i/>
    </w:rPr>
  </w:style>
  <w:style w:type="character" w:styleId="Style14">
    <w:name w:val="סמלי מספור"/>
    <w:qFormat/>
    <w:rPr/>
  </w:style>
  <w:style w:type="character" w:styleId="Strong">
    <w:name w:val="Strong"/>
    <w:qFormat/>
    <w:rPr>
      <w:b/>
    </w:rPr>
  </w:style>
  <w:style w:type="character" w:styleId="Style15">
    <w:name w:val="תווי הערת שוליים"/>
    <w:qFormat/>
    <w:rPr>
      <w:vertAlign w:val="superscript"/>
    </w:rPr>
  </w:style>
  <w:style w:type="character" w:styleId="Style16">
    <w:name w:val="תווי הערת סיום"/>
    <w:qFormat/>
    <w:rPr>
      <w:vertAlign w:val="superscript"/>
    </w:rPr>
  </w:style>
  <w:style w:type="character" w:styleId="Heading9Char">
    <w:name w:val="Heading 9 Char"/>
    <w:qFormat/>
    <w:rPr>
      <w:rFonts w:ascii="Calibri Light" w:hAnsi="Calibri Light" w:eastAsia="等线 Light" w:cs="Noto Rashi Hebrew Light"/>
      <w:bCs/>
      <w:i/>
      <w:color w:val="000000"/>
      <w:sz w:val="21"/>
      <w:szCs w:val="20"/>
    </w:rPr>
  </w:style>
  <w:style w:type="character" w:styleId="Heading5Char">
    <w:name w:val="Heading 5 Char"/>
    <w:qFormat/>
    <w:rPr>
      <w:rFonts w:ascii="Calibri Light" w:hAnsi="Calibri Light" w:eastAsia="SimSun" w:cs="DengXian Light"/>
      <w:color w:val="2F5496"/>
      <w:sz w:val="24"/>
      <w:szCs w:val="24"/>
    </w:rPr>
  </w:style>
  <w:style w:type="character" w:styleId="Heading4Char">
    <w:name w:val="Heading 4 Char"/>
    <w:qFormat/>
    <w:rPr>
      <w:rFonts w:ascii="Calibri Light" w:hAnsi="Calibri Light" w:eastAsia="SimSun" w:cs="DengXian Light"/>
      <w:i/>
      <w:iCs/>
      <w:color w:val="2F5496"/>
      <w:sz w:val="24"/>
      <w:szCs w:val="24"/>
    </w:rPr>
  </w:style>
  <w:style w:type="character" w:styleId="Heading3Char">
    <w:name w:val="Heading 3 Char"/>
    <w:qFormat/>
    <w:rPr>
      <w:rFonts w:ascii="Calibri Light" w:hAnsi="Calibri Light" w:eastAsia="SimSun" w:cs="DengXian Light"/>
      <w:color w:val="1F3864"/>
      <w:szCs w:val="24"/>
    </w:rPr>
  </w:style>
  <w:style w:type="character" w:styleId="Heading2Char">
    <w:name w:val="Heading 2 Char"/>
    <w:qFormat/>
    <w:rPr>
      <w:rFonts w:ascii="Calibri Light" w:hAnsi="Calibri Light" w:eastAsia="SimSun" w:cs="DengXian Light"/>
      <w:color w:val="2F5496"/>
      <w:sz w:val="26"/>
      <w:szCs w:val="26"/>
    </w:rPr>
  </w:style>
  <w:style w:type="character" w:styleId="Heading1Char">
    <w:name w:val="Heading 1 Char"/>
    <w:qFormat/>
    <w:rPr>
      <w:rFonts w:ascii="Calibri Light" w:hAnsi="Calibri Light" w:eastAsia="SimSun" w:cs="DengXian Light"/>
      <w:color w:val="2F5496"/>
      <w:sz w:val="32"/>
      <w:szCs w:val="32"/>
    </w:rPr>
  </w:style>
  <w:style w:type="character" w:styleId="Char">
    <w:name w:val="אגב Char"/>
    <w:qFormat/>
    <w:rPr>
      <w:rFonts w:ascii="Arial" w:hAnsi="Arial" w:eastAsia="Times New Roman" w:cs="Noto Rashi Hebrew Light"/>
      <w:color w:val="000000"/>
      <w:sz w:val="24"/>
      <w:szCs w:val="20"/>
    </w:rPr>
  </w:style>
  <w:style w:type="character" w:styleId="FootnoteTextChar">
    <w:name w:val="Footnote Text Char"/>
    <w:qFormat/>
    <w:rPr>
      <w:rFonts w:eastAsia="Calibri" w:cs="Guttman Rashi"/>
      <w:color w:val="000000"/>
      <w:sz w:val="24"/>
      <w:szCs w:val="24"/>
    </w:rPr>
  </w:style>
  <w:style w:type="character" w:styleId="Linenumber">
    <w:name w:val="line number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</w:rPr>
  </w:style>
  <w:style w:type="paragraph" w:styleId="Footnote">
    <w:name w:val="Footnote Text"/>
    <w:basedOn w:val="Normal"/>
    <w:pPr>
      <w:tabs>
        <w:tab w:val="clear" w:pos="709"/>
      </w:tabs>
      <w:bidi w:val="1"/>
      <w:ind w:left="340" w:right="0" w:hanging="340"/>
      <w:jc w:val="left"/>
    </w:pPr>
    <w:rPr>
      <w:szCs w:val="20"/>
    </w:rPr>
  </w:style>
  <w:style w:type="paragraph" w:styleId="Endnote">
    <w:name w:val="Endnote Text"/>
    <w:basedOn w:val="Normal"/>
    <w:pPr>
      <w:suppressLineNumbers/>
      <w:ind w:left="340" w:hanging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NormalTable">
    <w:name w:val="Normal Table"/>
    <w:qFormat/>
    <w:pPr>
      <w:widowControl/>
      <w:suppressAutoHyphens w:val="true"/>
      <w:bidi w:val="0"/>
      <w:spacing w:before="0" w:after="0"/>
      <w:jc w:val="left"/>
      <w:textAlignment w:val="auto"/>
    </w:pPr>
    <w:rPr>
      <w:rFonts w:ascii="Times New Roman" w:hAnsi="Times New Roman" w:eastAsia="SimSun" w:cs="Times New Roman"/>
      <w:color w:val="auto"/>
      <w:kern w:val="2"/>
      <w:sz w:val="20"/>
      <w:szCs w:val="20"/>
      <w:lang w:val="en-GB" w:eastAsia="zh-CN" w:bidi="he-IL"/>
    </w:rPr>
  </w:style>
  <w:style w:type="paragraph" w:styleId="Z-TopofForm1">
    <w:name w:val="z-Top of Form1"/>
    <w:next w:val="Normal"/>
    <w:qFormat/>
    <w:pPr>
      <w:widowControl/>
      <w:pBdr>
        <w:bottom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  <w:style w:type="paragraph" w:styleId="Z-BottomofForm1">
    <w:name w:val="z-Bottom of Form1"/>
    <w:next w:val="Normal"/>
    <w:qFormat/>
    <w:pPr>
      <w:widowControl/>
      <w:pBdr>
        <w:top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  <w:style w:type="paragraph" w:styleId="Preformatted">
    <w:name w:val="Preformatted"/>
    <w:basedOn w:val="Normal"/>
    <w:qFormat/>
    <w:pPr>
      <w:tabs>
        <w:tab w:val="clear" w:pos="709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Blockquote">
    <w:name w:val="Blockquote"/>
    <w:basedOn w:val="Normal"/>
    <w:qFormat/>
    <w:pPr>
      <w:spacing w:before="100" w:after="100"/>
      <w:ind w:left="360" w:right="360" w:hanging="0"/>
    </w:pPr>
    <w:rPr/>
  </w:style>
  <w:style w:type="paragraph" w:styleId="Address">
    <w:name w:val="Address"/>
    <w:basedOn w:val="Normal"/>
    <w:next w:val="Normal"/>
    <w:qFormat/>
    <w:pPr/>
    <w:rPr>
      <w:i/>
    </w:rPr>
  </w:style>
  <w:style w:type="paragraph" w:styleId="H6">
    <w:name w:val="H6"/>
    <w:basedOn w:val="Normal"/>
    <w:next w:val="Normal"/>
    <w:qFormat/>
    <w:pPr>
      <w:keepNext w:val="true"/>
      <w:spacing w:before="100" w:after="100"/>
    </w:pPr>
    <w:rPr>
      <w:b/>
      <w:sz w:val="16"/>
    </w:rPr>
  </w:style>
  <w:style w:type="paragraph" w:styleId="H5">
    <w:name w:val="H5"/>
    <w:basedOn w:val="Normal"/>
    <w:next w:val="Normal"/>
    <w:qFormat/>
    <w:pPr>
      <w:keepNext w:val="true"/>
      <w:spacing w:before="100" w:after="100"/>
    </w:pPr>
    <w:rPr>
      <w:b/>
      <w:sz w:val="20"/>
    </w:rPr>
  </w:style>
  <w:style w:type="paragraph" w:styleId="H4">
    <w:name w:val="H4"/>
    <w:basedOn w:val="Normal"/>
    <w:next w:val="Normal"/>
    <w:qFormat/>
    <w:pPr>
      <w:keepNext w:val="true"/>
      <w:spacing w:before="100" w:after="100"/>
    </w:pPr>
    <w:rPr>
      <w:b/>
    </w:rPr>
  </w:style>
  <w:style w:type="paragraph" w:styleId="H3">
    <w:name w:val="H3"/>
    <w:basedOn w:val="Normal"/>
    <w:next w:val="Normal"/>
    <w:qFormat/>
    <w:pPr>
      <w:keepNext w:val="true"/>
      <w:spacing w:before="100" w:after="100"/>
    </w:pPr>
    <w:rPr>
      <w:b/>
      <w:sz w:val="28"/>
    </w:rPr>
  </w:style>
  <w:style w:type="paragraph" w:styleId="H2">
    <w:name w:val="H2"/>
    <w:basedOn w:val="Normal"/>
    <w:next w:val="Normal"/>
    <w:qFormat/>
    <w:pPr>
      <w:keepNext w:val="true"/>
      <w:spacing w:before="100" w:after="100"/>
    </w:pPr>
    <w:rPr>
      <w:b/>
      <w:sz w:val="36"/>
    </w:rPr>
  </w:style>
  <w:style w:type="paragraph" w:styleId="H1">
    <w:name w:val="H1"/>
    <w:basedOn w:val="Normal"/>
    <w:next w:val="Normal"/>
    <w:qFormat/>
    <w:pPr>
      <w:keepNext w:val="true"/>
      <w:spacing w:before="100" w:after="100"/>
    </w:pPr>
    <w:rPr>
      <w:b/>
      <w:sz w:val="48"/>
    </w:rPr>
  </w:style>
  <w:style w:type="paragraph" w:styleId="DefinitionList">
    <w:name w:val="Definition List"/>
    <w:basedOn w:val="Normal"/>
    <w:qFormat/>
    <w:pPr>
      <w:ind w:left="360" w:hanging="0"/>
    </w:pPr>
    <w:rPr/>
  </w:style>
  <w:style w:type="paragraph" w:styleId="DefinitionTerm">
    <w:name w:val="Definition Term"/>
    <w:basedOn w:val="Normal"/>
    <w:qFormat/>
    <w:pPr/>
    <w:rPr/>
  </w:style>
  <w:style w:type="paragraph" w:styleId="Style21">
    <w:name w:val="Style2"/>
    <w:qFormat/>
    <w:pPr>
      <w:widowControl/>
      <w:bidi w:val="0"/>
      <w:spacing w:lineRule="exact" w:line="240" w:before="0" w:after="0"/>
      <w:contextualSpacing/>
      <w:jc w:val="left"/>
    </w:pPr>
    <w:rPr>
      <w:rFonts w:cs="BenOr Rashi" w:ascii="Times New Roman" w:hAnsi="Times New Roman" w:eastAsia="NSimSun"/>
      <w:color w:val="auto"/>
      <w:kern w:val="2"/>
      <w:sz w:val="24"/>
      <w:szCs w:val="22"/>
      <w:lang w:val="en-GB" w:eastAsia="zh-CN" w:bidi="hi-IN"/>
    </w:rPr>
  </w:style>
  <w:style w:type="paragraph" w:styleId="Style17">
    <w:name w:val="Style1"/>
    <w:basedOn w:val="Normal"/>
    <w:qFormat/>
    <w:pPr>
      <w:spacing w:lineRule="exact" w:line="240" w:before="0" w:after="0"/>
      <w:contextualSpacing/>
    </w:pPr>
    <w:rPr>
      <w:rFonts w:cs="Shofar"/>
    </w:rPr>
  </w:style>
  <w:style w:type="paragraph" w:styleId="Style18">
    <w:name w:val="מפתחות"/>
    <w:basedOn w:val="Normal"/>
    <w:qFormat/>
    <w:pPr/>
    <w:rPr>
      <w:rFonts w:cs="Narkisim"/>
    </w:rPr>
  </w:style>
  <w:style w:type="paragraph" w:styleId="Style19">
    <w:name w:val="שורת כותרת"/>
    <w:basedOn w:val="Normal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Style20">
    <w:name w:val="אגב"/>
    <w:basedOn w:val="Normal"/>
    <w:qFormat/>
    <w:pPr/>
    <w:rPr>
      <w:rFonts w:ascii="Arial" w:hAnsi="Arial" w:cs="Noto Rashi Hebrew Light"/>
      <w:szCs w:val="20"/>
    </w:rPr>
  </w:style>
  <w:style w:type="paragraph" w:styleId="NormalWeb">
    <w:name w:val="Normal (Web)"/>
    <w:qFormat/>
    <w:pPr>
      <w:widowControl w:val="false"/>
      <w:suppressAutoHyphens w:val="true"/>
      <w:bidi w:val="1"/>
      <w:spacing w:before="280" w:after="280"/>
      <w:jc w:val="right"/>
    </w:pPr>
    <w:rPr>
      <w:rFonts w:ascii="SBL Hebrew" w:hAnsi="SBL Hebrew" w:eastAsia="0" w:cs="SBL Hebrew"/>
      <w:color w:val="auto"/>
      <w:kern w:val="2"/>
      <w:sz w:val="24"/>
      <w:szCs w:val="24"/>
      <w:lang w:val="en-US" w:eastAsia="zh-CN" w:bidi="ar-SA"/>
    </w:rPr>
  </w:style>
  <w:style w:type="paragraph" w:styleId="Caption1">
    <w:name w:val="caption"/>
    <w:basedOn w:val="Normal"/>
    <w:next w:val="Normal"/>
    <w:qFormat/>
    <w:pPr>
      <w:spacing w:before="120" w:after="120"/>
    </w:pPr>
    <w:rPr>
      <w:rFonts w:cs="Narkisim"/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LibreOffice/7.5.3.2$Windows_X86_64 LibreOffice_project/9f56dff12ba03b9acd7730a5a481eea045e468f3</Application>
  <AppVersion>15.0000</AppVersion>
  <Pages>9</Pages>
  <Words>6880</Words>
  <Characters>27431</Characters>
  <CharactersWithSpaces>34228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2024-07-22T20:49:42Z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