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704" w:rsidRDefault="00467EBF" w:rsidP="00E24704">
      <w:pPr>
        <w:rPr>
          <w:rtl/>
        </w:rPr>
      </w:pPr>
      <w:r>
        <w:rPr>
          <w:rFonts w:hint="cs"/>
          <w:rtl/>
        </w:rPr>
        <w:t>בתוך חיבור זה, יש שלשה חלקים</w:t>
      </w:r>
      <w:bookmarkStart w:id="0" w:name="_GoBack"/>
      <w:bookmarkEnd w:id="0"/>
      <w:r>
        <w:rPr>
          <w:rFonts w:hint="cs"/>
          <w:rtl/>
        </w:rPr>
        <w:t>:</w:t>
      </w:r>
    </w:p>
    <w:p w:rsidR="00467EBF" w:rsidRDefault="00467EBF" w:rsidP="00E24704">
      <w:pPr>
        <w:ind w:firstLine="720"/>
        <w:rPr>
          <w:rFonts w:hint="cs"/>
          <w:rtl/>
        </w:rPr>
      </w:pPr>
      <w:r w:rsidRPr="00E24704">
        <w:rPr>
          <w:rFonts w:hint="cs"/>
          <w:b/>
          <w:bCs/>
          <w:rtl/>
        </w:rPr>
        <w:t>הקדמה</w:t>
      </w:r>
      <w:r>
        <w:rPr>
          <w:rFonts w:hint="cs"/>
          <w:rtl/>
        </w:rPr>
        <w:t>- יש הקדמה לפרק. הקדמה מבאר סברות של עיקרי הדינים של קנס אונס ומפתה.</w:t>
      </w:r>
    </w:p>
    <w:p w:rsidR="00467EBF" w:rsidRDefault="00467EBF" w:rsidP="00E24704">
      <w:pPr>
        <w:ind w:firstLine="720"/>
        <w:rPr>
          <w:rFonts w:hint="cs"/>
          <w:rtl/>
        </w:rPr>
      </w:pPr>
      <w:r w:rsidRPr="00E24704">
        <w:rPr>
          <w:rFonts w:hint="cs"/>
          <w:b/>
          <w:bCs/>
          <w:rtl/>
        </w:rPr>
        <w:t>הערות</w:t>
      </w:r>
      <w:r>
        <w:rPr>
          <w:rFonts w:hint="cs"/>
          <w:rtl/>
        </w:rPr>
        <w:t>- אלו הם הערות על גמ' רש"י ותוס', שאינם כל כך נוגעים לשקלא וטריא של גמ'.</w:t>
      </w:r>
    </w:p>
    <w:p w:rsidR="00467EBF" w:rsidRDefault="00467EBF" w:rsidP="00E24704">
      <w:pPr>
        <w:ind w:firstLine="720"/>
        <w:rPr>
          <w:rtl/>
        </w:rPr>
      </w:pPr>
      <w:r w:rsidRPr="00E24704">
        <w:rPr>
          <w:rFonts w:hint="cs"/>
          <w:b/>
          <w:bCs/>
          <w:rtl/>
        </w:rPr>
        <w:t>ביאורים</w:t>
      </w:r>
      <w:r>
        <w:rPr>
          <w:rFonts w:hint="cs"/>
          <w:rtl/>
        </w:rPr>
        <w:t>- זה ביאור שקלא וטריא של גמ' רש"י ותוס'. יש שלשה חלקים:</w:t>
      </w:r>
    </w:p>
    <w:p w:rsidR="00467EBF" w:rsidRDefault="00467EBF" w:rsidP="00E24704">
      <w:pPr>
        <w:ind w:left="720" w:firstLine="720"/>
        <w:rPr>
          <w:rFonts w:hint="cs"/>
          <w:rtl/>
        </w:rPr>
      </w:pPr>
      <w:r w:rsidRPr="00E24704">
        <w:rPr>
          <w:rFonts w:hint="cs"/>
          <w:b/>
          <w:bCs/>
          <w:rtl/>
        </w:rPr>
        <w:t>ביאורי</w:t>
      </w:r>
      <w:r>
        <w:rPr>
          <w:rFonts w:hint="cs"/>
          <w:rtl/>
        </w:rPr>
        <w:t xml:space="preserve"> </w:t>
      </w:r>
      <w:r w:rsidRPr="00E24704">
        <w:rPr>
          <w:rFonts w:hint="cs"/>
          <w:b/>
          <w:bCs/>
          <w:rtl/>
        </w:rPr>
        <w:t>גמ'</w:t>
      </w:r>
      <w:r>
        <w:rPr>
          <w:rFonts w:hint="cs"/>
          <w:rtl/>
        </w:rPr>
        <w:t>- זה ביאור שקלא וטריא של גמ' ורש"י עם הערות נצרכות.</w:t>
      </w:r>
    </w:p>
    <w:p w:rsidR="00467EBF" w:rsidRDefault="00467EBF" w:rsidP="00E24704">
      <w:pPr>
        <w:ind w:left="720" w:firstLine="720"/>
        <w:rPr>
          <w:rFonts w:hint="cs"/>
          <w:rtl/>
        </w:rPr>
      </w:pPr>
      <w:r w:rsidRPr="00E24704">
        <w:rPr>
          <w:rFonts w:hint="cs"/>
          <w:b/>
          <w:bCs/>
          <w:rtl/>
        </w:rPr>
        <w:t>ביאורי</w:t>
      </w:r>
      <w:r>
        <w:rPr>
          <w:rFonts w:hint="cs"/>
          <w:rtl/>
        </w:rPr>
        <w:t xml:space="preserve"> </w:t>
      </w:r>
      <w:r w:rsidRPr="00E24704">
        <w:rPr>
          <w:rFonts w:hint="cs"/>
          <w:b/>
          <w:bCs/>
          <w:rtl/>
        </w:rPr>
        <w:t>תוס'</w:t>
      </w:r>
      <w:r>
        <w:rPr>
          <w:rFonts w:hint="cs"/>
          <w:rtl/>
        </w:rPr>
        <w:t>- זה ביאור שקלא וטריא של תוס' עם הערות נצרכות.</w:t>
      </w:r>
    </w:p>
    <w:p w:rsidR="00467EBF" w:rsidRDefault="00467EBF" w:rsidP="00E24704">
      <w:pPr>
        <w:ind w:left="720" w:firstLine="720"/>
      </w:pPr>
      <w:r w:rsidRPr="00E24704">
        <w:rPr>
          <w:rFonts w:hint="cs"/>
          <w:b/>
          <w:bCs/>
          <w:rtl/>
        </w:rPr>
        <w:t>ביאור</w:t>
      </w:r>
      <w:r>
        <w:rPr>
          <w:rFonts w:hint="cs"/>
          <w:rtl/>
        </w:rPr>
        <w:t xml:space="preserve"> </w:t>
      </w:r>
      <w:r w:rsidRPr="00E24704">
        <w:rPr>
          <w:rFonts w:hint="cs"/>
          <w:b/>
          <w:bCs/>
          <w:rtl/>
        </w:rPr>
        <w:t>כללי</w:t>
      </w:r>
      <w:r>
        <w:rPr>
          <w:rFonts w:hint="cs"/>
          <w:rtl/>
        </w:rPr>
        <w:t>- זה ביאור שקלא וטריא של גמ' רש"י ותוס', בלי הערות.</w:t>
      </w:r>
    </w:p>
    <w:sectPr w:rsidR="00467EB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Noto Rashi Hebrew Light">
    <w:panose1 w:val="00000000000000000000"/>
    <w:charset w:val="B1"/>
    <w:family w:val="auto"/>
    <w:pitch w:val="variable"/>
    <w:sig w:usb0="00000803" w:usb1="00000000" w:usb2="00000000" w:usb3="00000000" w:csb0="0000002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860"/>
    <w:rsid w:val="00467EBF"/>
    <w:rsid w:val="00642A59"/>
    <w:rsid w:val="0064404D"/>
    <w:rsid w:val="006B4025"/>
    <w:rsid w:val="007C48D9"/>
    <w:rsid w:val="00B8516A"/>
    <w:rsid w:val="00BA7BEC"/>
    <w:rsid w:val="00BB6594"/>
    <w:rsid w:val="00DC77D7"/>
    <w:rsid w:val="00E16B96"/>
    <w:rsid w:val="00E24704"/>
    <w:rsid w:val="00E8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BACB"/>
  <w15:chartTrackingRefBased/>
  <w15:docId w15:val="{499CD4B6-F04A-41F6-855B-0F960F03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404D"/>
    <w:pPr>
      <w:spacing w:before="120" w:after="12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4404D"/>
    <w:pPr>
      <w:keepNext/>
      <w:keepLines/>
      <w:outlineLvl w:val="0"/>
    </w:pPr>
    <w:rPr>
      <w:rFonts w:asciiTheme="majorHAnsi" w:eastAsiaTheme="majorEastAsia" w:hAnsiTheme="majorHAnsi" w:cs="Shofar"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04D"/>
    <w:pPr>
      <w:keepNext/>
      <w:keepLines/>
      <w:ind w:left="288"/>
      <w:outlineLvl w:val="1"/>
    </w:pPr>
    <w:rPr>
      <w:rFonts w:asciiTheme="majorHAnsi" w:eastAsiaTheme="majorEastAsia" w:hAnsiTheme="majorHAnsi" w:cs="Shofar"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04D"/>
    <w:pPr>
      <w:keepNext/>
      <w:keepLines/>
      <w:ind w:left="720"/>
      <w:outlineLvl w:val="2"/>
    </w:pPr>
    <w:rPr>
      <w:rFonts w:asciiTheme="majorHAnsi" w:eastAsiaTheme="majorEastAsia" w:hAnsiTheme="majorHAnsi" w:cs="Shofar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404D"/>
    <w:pPr>
      <w:keepNext/>
      <w:keepLines/>
      <w:ind w:left="864"/>
      <w:outlineLvl w:val="3"/>
    </w:pPr>
    <w:rPr>
      <w:rFonts w:asciiTheme="majorHAnsi" w:eastAsiaTheme="majorEastAsia" w:hAnsiTheme="majorHAnsi" w:cs="Shofar"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404D"/>
    <w:pPr>
      <w:keepNext/>
      <w:keepLines/>
      <w:ind w:left="1008"/>
      <w:outlineLvl w:val="4"/>
    </w:pPr>
    <w:rPr>
      <w:rFonts w:asciiTheme="majorHAnsi" w:eastAsiaTheme="majorEastAsia" w:hAnsiTheme="majorHAnsi" w:cs="Shofar"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4404D"/>
    <w:pPr>
      <w:keepNext/>
      <w:keepLines/>
      <w:ind w:left="864"/>
      <w:outlineLvl w:val="8"/>
    </w:pPr>
    <w:rPr>
      <w:rFonts w:asciiTheme="majorHAnsi" w:eastAsiaTheme="majorEastAsia" w:hAnsiTheme="majorHAnsi" w:cs="Noto Rashi Hebrew Light"/>
      <w:bCs/>
      <w:i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אגב"/>
    <w:basedOn w:val="Normal"/>
    <w:link w:val="Char"/>
    <w:qFormat/>
    <w:rsid w:val="0064404D"/>
    <w:rPr>
      <w:rFonts w:asciiTheme="minorBidi" w:hAnsiTheme="minorBidi" w:cs="Noto Rashi Hebrew Light"/>
      <w:szCs w:val="20"/>
    </w:rPr>
  </w:style>
  <w:style w:type="character" w:customStyle="1" w:styleId="Char">
    <w:name w:val="אגב Char"/>
    <w:basedOn w:val="DefaultParagraphFont"/>
    <w:link w:val="a"/>
    <w:rsid w:val="0064404D"/>
    <w:rPr>
      <w:rFonts w:asciiTheme="minorBidi" w:hAnsiTheme="minorBidi" w:cs="Noto Rashi Hebrew Light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4404D"/>
    <w:rPr>
      <w:rFonts w:asciiTheme="majorHAnsi" w:eastAsiaTheme="majorEastAsia" w:hAnsiTheme="majorHAnsi" w:cs="Shofar"/>
      <w:bCs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404D"/>
    <w:rPr>
      <w:rFonts w:asciiTheme="majorHAnsi" w:eastAsiaTheme="majorEastAsia" w:hAnsiTheme="majorHAnsi" w:cs="Shofar"/>
      <w:bCs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404D"/>
    <w:rPr>
      <w:rFonts w:asciiTheme="majorHAnsi" w:eastAsiaTheme="majorEastAsia" w:hAnsiTheme="majorHAnsi" w:cs="Shofar"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4404D"/>
    <w:rPr>
      <w:rFonts w:asciiTheme="majorHAnsi" w:eastAsiaTheme="majorEastAsia" w:hAnsiTheme="majorHAnsi" w:cs="Shofar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64404D"/>
    <w:rPr>
      <w:rFonts w:asciiTheme="majorHAnsi" w:eastAsiaTheme="majorEastAsia" w:hAnsiTheme="majorHAnsi" w:cs="Shofar"/>
      <w:bCs/>
    </w:rPr>
  </w:style>
  <w:style w:type="character" w:customStyle="1" w:styleId="Heading9Char">
    <w:name w:val="Heading 9 Char"/>
    <w:basedOn w:val="DefaultParagraphFont"/>
    <w:link w:val="Heading9"/>
    <w:uiPriority w:val="9"/>
    <w:rsid w:val="0064404D"/>
    <w:rPr>
      <w:rFonts w:asciiTheme="majorHAnsi" w:eastAsiaTheme="majorEastAsia" w:hAnsiTheme="majorHAnsi" w:cs="Noto Rashi Hebrew Light"/>
      <w:bCs/>
      <w:i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 הכהן</dc:creator>
  <cp:keywords/>
  <dc:description/>
  <cp:lastModifiedBy>שי הכהן</cp:lastModifiedBy>
  <cp:revision>3</cp:revision>
  <dcterms:created xsi:type="dcterms:W3CDTF">2023-12-28T15:45:00Z</dcterms:created>
  <dcterms:modified xsi:type="dcterms:W3CDTF">2023-12-28T15:48:00Z</dcterms:modified>
</cp:coreProperties>
</file>