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שלש מיני מיתה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  <w:r>
        <w:rPr>
          <w:sz w:val="22"/>
          <w:sz w:val="22"/>
          <w:szCs w:val="22"/>
          <w:rtl w:val="true"/>
        </w:rPr>
        <w:t>מיתה בידי אדם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יש ארבע מינים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סקילה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שריפה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הרג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וחנק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בכולם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שלוחי בית דין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 xml:space="preserve">גואל הדם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אם יש</w:t>
      </w:r>
      <w:r>
        <w:rPr>
          <w:sz w:val="22"/>
          <w:szCs w:val="22"/>
          <w:rtl w:val="true"/>
        </w:rPr>
        <w:t xml:space="preserve">), </w:t>
      </w:r>
      <w:r>
        <w:rPr>
          <w:sz w:val="22"/>
          <w:sz w:val="22"/>
          <w:szCs w:val="22"/>
          <w:rtl w:val="true"/>
        </w:rPr>
        <w:t>או עדים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או שליח אחר</w:t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הורגים מיד אחר גמר הדין את מי שחייב מיתה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צריך כדי לחייב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צריך שבית דין יפסקו שהוא חייב מיתה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פסק בית דין הולך אחר הרב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עם שני יוצאים מן הכלל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היוצא הראשון הוא כשכל הבית דין מחייבים אותו מאותו טעם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שאז הוא פטור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היוצא השני הוא אם המחייבים הם מרובים על הפוטרים רק באחד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שאז הוא פטור</w:t>
      </w:r>
      <w:r>
        <w:rPr>
          <w:sz w:val="22"/>
          <w:szCs w:val="22"/>
          <w:rtl w:val="true"/>
        </w:rPr>
        <w:t xml:space="preserve">.) </w:t>
      </w:r>
      <w:r>
        <w:rPr>
          <w:sz w:val="22"/>
          <w:sz w:val="22"/>
          <w:szCs w:val="22"/>
          <w:rtl w:val="true"/>
        </w:rPr>
        <w:t>כדי שבית דין יפסקו שהוא חייב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צריך להיות שני עדים כשרים שעבר עבירה שמחייב כן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ושהתרו לו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באופן שזכר בשעת עבירה</w:t>
      </w:r>
      <w:r>
        <w:rPr>
          <w:rStyle w:val="FootnoteAnchor"/>
          <w:sz w:val="22"/>
          <w:sz w:val="22"/>
          <w:szCs w:val="22"/>
          <w:rtl w:val="true"/>
        </w:rPr>
        <w:footnoteReference w:id="2"/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וקבל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ושהודיעו לו העונש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מסתמא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אף זה צריך להיות באופן שזכר בשעת עבירה</w:t>
      </w:r>
      <w:r>
        <w:rPr>
          <w:rStyle w:val="FootnoteAnchor"/>
          <w:sz w:val="22"/>
          <w:sz w:val="22"/>
          <w:szCs w:val="22"/>
          <w:rtl w:val="true"/>
        </w:rPr>
        <w:footnoteReference w:id="3"/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וקבל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פוטר אותו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חזרת בית דין פוטר אותו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אין ד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א פוטר אותו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יש מין אחר של זה שנקרא מיתה בידי שמים של מיתה בידי אדם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הוא במקום שהיה ראוי לו לבית דין לחייב אותו מיתה בידי אדם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אלא שלא יכולים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4"/>
      </w:r>
      <w:r>
        <w:rPr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דין מיתה זה הוא שה’ ממית אותו באופן הדומה למיתת בית דין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לא מבאר בן כמה הוא מת</w:t>
      </w:r>
      <w:r>
        <w:rPr>
          <w:rStyle w:val="FootnoteAnchor"/>
          <w:sz w:val="22"/>
          <w:sz w:val="22"/>
          <w:szCs w:val="22"/>
          <w:rtl w:val="true"/>
        </w:rPr>
        <w:footnoteReference w:id="5"/>
      </w:r>
      <w:r>
        <w:rPr>
          <w:sz w:val="22"/>
          <w:szCs w:val="22"/>
          <w:rtl w:val="true"/>
        </w:rPr>
        <w:t xml:space="preserve">.) </w:t>
      </w:r>
      <w:r>
        <w:rPr>
          <w:sz w:val="22"/>
          <w:sz w:val="22"/>
          <w:szCs w:val="22"/>
          <w:rtl w:val="true"/>
        </w:rPr>
        <w:t>לא מבאר גמ’ מה פוטר אותו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אבל תוס’ כ’ שתשובה ומעשים טובים פוטרים אותו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  <w:r>
        <w:rPr>
          <w:sz w:val="22"/>
          <w:sz w:val="22"/>
          <w:szCs w:val="22"/>
          <w:rtl w:val="true"/>
        </w:rPr>
        <w:t>כרת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יש שני חלקים לכרת</w:t>
      </w:r>
      <w:r>
        <w:rPr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מיתה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כרת עושה שאדם מת קודם זמנו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 xml:space="preserve">במו“ק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כח</w:t>
      </w:r>
      <w:r>
        <w:rPr>
          <w:sz w:val="22"/>
          <w:szCs w:val="22"/>
          <w:rtl w:val="true"/>
        </w:rPr>
        <w:t xml:space="preserve">.) </w:t>
      </w:r>
      <w:r>
        <w:rPr>
          <w:sz w:val="22"/>
          <w:sz w:val="22"/>
          <w:szCs w:val="22"/>
          <w:rtl w:val="true"/>
        </w:rPr>
        <w:t>אומר שמיתת כרת הוא בחמישים שנה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לכאו’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יש שלש דרכים לבאר את זה</w:t>
      </w:r>
      <w:r>
        <w:rPr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 רק באותו שנה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6"/>
      </w:r>
    </w:p>
    <w:p>
      <w:pPr>
        <w:pStyle w:val="Normal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 לפני אותו שנה עד אותו שנה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יש לדון מאימתי מתחיל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 xml:space="preserve">אולי מתחיל בכל זמן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מזמן עבירתו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איזה זמן שיהיה</w:t>
      </w:r>
      <w:r>
        <w:rPr>
          <w:sz w:val="22"/>
          <w:szCs w:val="22"/>
          <w:rtl w:val="true"/>
        </w:rPr>
        <w:t xml:space="preserve">).) </w:t>
      </w:r>
      <w:r>
        <w:rPr>
          <w:sz w:val="22"/>
          <w:sz w:val="22"/>
          <w:szCs w:val="22"/>
          <w:rtl w:val="true"/>
        </w:rPr>
        <w:t xml:space="preserve">כן נראה מירושלמי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 xml:space="preserve">בכורות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ב</w:t>
      </w:r>
      <w:r>
        <w:rPr>
          <w:sz w:val="22"/>
          <w:szCs w:val="22"/>
          <w:rtl w:val="true"/>
        </w:rPr>
        <w:t>-</w:t>
      </w:r>
      <w:r>
        <w:rPr>
          <w:sz w:val="22"/>
          <w:sz w:val="22"/>
          <w:szCs w:val="22"/>
          <w:rtl w:val="true"/>
        </w:rPr>
        <w:t>א</w:t>
      </w:r>
      <w:r>
        <w:rPr>
          <w:sz w:val="22"/>
          <w:szCs w:val="22"/>
          <w:rtl w:val="true"/>
        </w:rPr>
        <w:t xml:space="preserve">)), </w:t>
      </w:r>
      <w:r>
        <w:rPr>
          <w:sz w:val="22"/>
          <w:sz w:val="22"/>
          <w:szCs w:val="22"/>
          <w:rtl w:val="true"/>
        </w:rPr>
        <w:t>שדורש כן משני מקורות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ממה שאומר קרא שלויים לא יחללו עבודתם כדי שלא יכרתו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והרי רק עבדו עד שעה חמישים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וממה שימים שאדם ראוי לעונש הם רק חמישים שנה</w:t>
      </w:r>
      <w:r>
        <w:rPr>
          <w:rStyle w:val="FootnoteAnchor"/>
          <w:sz w:val="22"/>
          <w:sz w:val="22"/>
          <w:szCs w:val="22"/>
          <w:rtl w:val="true"/>
        </w:rPr>
        <w:footnoteReference w:id="7"/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לשני המקורות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יהיה כל שנה עד אותו שנה</w:t>
      </w:r>
      <w:r>
        <w:rPr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 אחר אותו שנה עד זמן מסויים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כן פי’ הבבלי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ואומר שהוא עד שהוא חמישים ותשע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8"/>
      </w:r>
    </w:p>
    <w:p>
      <w:pPr>
        <w:pStyle w:val="Normal"/>
        <w:numPr>
          <w:ilvl w:val="0"/>
          <w:numId w:val="0"/>
        </w:numPr>
        <w:ind w:left="796" w:hanging="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לא מבאר חז“ל איך מת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ולכן נראה שאפשר שימות באיזה אופן שרוצה ה’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9"/>
      </w:r>
    </w:p>
    <w:p>
      <w:pPr>
        <w:pStyle w:val="Normal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מת בלי בנים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חולקים ראשונים בזה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סובר שכל מי שחייב כרת מת בלי בנים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תוס’ מוסיף שזה רק נוגע לבנים קטנים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שנענשים בעוון אביהם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0"/>
      </w:r>
      <w:r>
        <w:rPr>
          <w:sz w:val="22"/>
          <w:szCs w:val="22"/>
          <w:rtl w:val="true"/>
        </w:rPr>
        <w:t xml:space="preserve">). </w:t>
      </w:r>
      <w:r>
        <w:rPr>
          <w:sz w:val="22"/>
          <w:sz w:val="22"/>
          <w:szCs w:val="22"/>
          <w:rtl w:val="true"/>
        </w:rPr>
        <w:t xml:space="preserve">דורש את זה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 xml:space="preserve">בכתובות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ל</w:t>
      </w:r>
      <w:r>
        <w:rPr>
          <w:sz w:val="22"/>
          <w:szCs w:val="22"/>
          <w:rtl w:val="true"/>
        </w:rPr>
        <w:t xml:space="preserve">:)) </w:t>
      </w:r>
      <w:r>
        <w:rPr>
          <w:sz w:val="22"/>
          <w:sz w:val="22"/>
          <w:szCs w:val="22"/>
          <w:rtl w:val="true"/>
        </w:rPr>
        <w:t>ממה שבמקצת חייבי כרת כ’ שיהיה ערירי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1"/>
      </w:r>
      <w:r>
        <w:rPr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תוס’ סובר שאין חיוב זה בכל כרת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אלא רק כשכ’ שימות ערירי</w:t>
      </w:r>
      <w:r>
        <w:rPr>
          <w:rStyle w:val="FootnoteAnchor"/>
          <w:sz w:val="22"/>
          <w:sz w:val="22"/>
          <w:szCs w:val="22"/>
          <w:rtl w:val="true"/>
        </w:rPr>
        <w:footnoteReference w:id="12"/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3"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צריך כדי לחייב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צריך לעבור במזיד</w:t>
      </w:r>
      <w:r>
        <w:rPr>
          <w:rStyle w:val="FootnoteAnchor"/>
          <w:sz w:val="22"/>
          <w:sz w:val="22"/>
          <w:szCs w:val="22"/>
          <w:rtl w:val="true"/>
        </w:rPr>
        <w:footnoteReference w:id="14"/>
      </w:r>
      <w:r>
        <w:rPr>
          <w:sz w:val="22"/>
          <w:sz w:val="22"/>
          <w:szCs w:val="22"/>
          <w:rtl w:val="true"/>
        </w:rPr>
        <w:t xml:space="preserve"> עבירה שמחייב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5"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פוטר אותו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 xml:space="preserve">תשובה פוטר אותו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ע’ ביבמות כא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ובב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ב פח</w:t>
      </w:r>
      <w:r>
        <w:rPr>
          <w:sz w:val="22"/>
          <w:szCs w:val="22"/>
          <w:rtl w:val="true"/>
        </w:rPr>
        <w:t xml:space="preserve">:). </w:t>
      </w:r>
      <w:r>
        <w:rPr>
          <w:sz w:val="22"/>
          <w:sz w:val="22"/>
          <w:szCs w:val="22"/>
          <w:rtl w:val="true"/>
        </w:rPr>
        <w:t xml:space="preserve">חולקים אם מלקות פוטר אותו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ולהל’ פוטר</w:t>
      </w:r>
      <w:r>
        <w:rPr>
          <w:sz w:val="22"/>
          <w:szCs w:val="22"/>
          <w:rtl w:val="true"/>
        </w:rPr>
        <w:t>) (</w:t>
      </w:r>
      <w:r>
        <w:rPr>
          <w:sz w:val="22"/>
          <w:sz w:val="22"/>
          <w:szCs w:val="22"/>
          <w:rtl w:val="true"/>
        </w:rPr>
        <w:t>ע’ מכות כג</w:t>
      </w:r>
      <w:r>
        <w:rPr>
          <w:sz w:val="22"/>
          <w:szCs w:val="22"/>
          <w:rtl w:val="true"/>
        </w:rPr>
        <w:t>:)</w:t>
      </w:r>
      <w:r>
        <w:rPr>
          <w:rStyle w:val="FootnoteAnchor"/>
          <w:sz w:val="22"/>
          <w:szCs w:val="22"/>
          <w:rtl w:val="true"/>
        </w:rPr>
        <w:footnoteReference w:id="16"/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לא מבאר גמ’ אם מיתה פוטר אותו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לא מבאר גמ’ אם זכות אחר פוטר אותו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  <w:r>
        <w:rPr>
          <w:sz w:val="22"/>
          <w:sz w:val="22"/>
          <w:szCs w:val="22"/>
          <w:rtl w:val="true"/>
        </w:rPr>
        <w:t>מיתה בידי שמים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ה’ עושה שמת אדם קודם זמנו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גמ’ במ“ק אומר שמת בששים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אף כאן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יש שלש הצדדים שבארנו לעיל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מבבלי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מוכרח שאינו כצד שני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שזה כבר מיתת כרת</w:t>
      </w:r>
      <w:r>
        <w:rPr>
          <w:sz w:val="22"/>
          <w:szCs w:val="22"/>
          <w:rtl w:val="true"/>
        </w:rPr>
        <w:t xml:space="preserve">). </w:t>
      </w:r>
      <w:r>
        <w:rPr>
          <w:sz w:val="22"/>
          <w:sz w:val="22"/>
          <w:szCs w:val="22"/>
          <w:rtl w:val="true"/>
        </w:rPr>
        <w:t>כיון שמיתת כרת הוא כצד שלישי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מסתבר שאף הוא כצד שלישי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אבל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יל“ד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שמיתת שמואל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לכאו’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אינו כצד שלישי</w:t>
      </w:r>
      <w:r>
        <w:rPr>
          <w:rStyle w:val="FootnoteAnchor"/>
          <w:sz w:val="22"/>
          <w:sz w:val="22"/>
          <w:szCs w:val="22"/>
          <w:rtl w:val="true"/>
        </w:rPr>
        <w:footnoteReference w:id="17"/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8"/>
      </w:r>
      <w:r>
        <w:rPr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ממקור של הירושלמי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משמע שסובר כצד שני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כן טוב גם לשיטתו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שנמצא שכל הבריי’ מדבר בזה</w:t>
      </w:r>
      <w:r>
        <w:rPr>
          <w:sz w:val="22"/>
          <w:szCs w:val="22"/>
          <w:rtl w:val="true"/>
        </w:rPr>
        <w:t>.)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צריך כדי לחייב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צריך לעבור במזיד עבירה שמחייב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פוטר אותו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איני יודע אם יש מקור ששום דבר פוטר אותו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אז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יל“ד בכולם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נראה שבהכרח מה שפוטר בכרת פוטר בו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שאי לאו הכי מקורו של אביי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כתובות ל</w:t>
      </w:r>
      <w:r>
        <w:rPr>
          <w:sz w:val="22"/>
          <w:szCs w:val="22"/>
          <w:rtl w:val="true"/>
        </w:rPr>
        <w:t xml:space="preserve">:) </w:t>
      </w:r>
      <w:r>
        <w:rPr>
          <w:sz w:val="22"/>
          <w:sz w:val="22"/>
          <w:szCs w:val="22"/>
          <w:rtl w:val="true"/>
        </w:rPr>
        <w:t>לא ילמד כרת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שרק מלמד לנו מיתה בידי שמים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ויש לדון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שאפשר לומר שכמו שחש ממיתה שיבוא בידי שמים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גם חש ממיתה שיבוא מחמת חיוב כרת שיש על בנימין</w:t>
      </w:r>
      <w:r>
        <w:rPr>
          <w:sz w:val="22"/>
          <w:szCs w:val="22"/>
          <w:rtl w:val="true"/>
        </w:rPr>
        <w:t xml:space="preserve">.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ותעיין לקמן במה שנביא משי“ח ש“י בכריתות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שדן בכמה נקודות חשובות</w:t>
      </w:r>
      <w:r>
        <w:rPr>
          <w:sz w:val="22"/>
          <w:szCs w:val="22"/>
          <w:rtl w:val="true"/>
        </w:rPr>
        <w:t>:</w:t>
      </w:r>
      <w:r>
        <w:br w:type="page"/>
      </w:r>
    </w:p>
    <w:p>
      <w:pPr>
        <w:pStyle w:val="Normal"/>
        <w:keepNext w:val="false"/>
        <w:keepLines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כל</w:t>
      </w:r>
      <w:r>
        <w:rPr>
          <w:rFonts w:ascii="Mekorot-Vilna" w:hAnsi="Mekorot-Vilna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הנך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עיין במה שאומר רש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מזה יוצא שאין כרת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לולי רש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היה אפשר לומר שיש חיוב כרת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אלא שיביא קרבן ויתכפר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שיעשה תשובה ויתכפר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רש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 לא אומר כן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לדון למה נחלק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במזיד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מראה יותר שלא מקפיד לעשות מה שה’ לא רוצה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שבידים עושה נגד מה שרוצה ה’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לא מראה כן כל כך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שרק לא נזהר ואז שגג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אולי הרע שעשה הוא יותר גדול אם עבר במזיד מאם עבר בציור אחר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והוא מפני שהיה בו יותר רצון באותו מעשה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שבשוגג או לא חשב לעשותו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לא חשב שהוא רע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ונמצא שחשב שהוא מעשה קצת חלוק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זה תלוי באם עבירה על צווי ה’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זהו </w:t>
      </w:r>
      <w:r>
        <w:rPr>
          <w:rFonts w:cs="Mekorot-Vilna" w:ascii="Mekorot-Vilna" w:hAnsi="Mekorot-Vilna"/>
          <w:b w:val="false"/>
          <w:bCs w:val="false"/>
          <w:sz w:val="22"/>
          <w:szCs w:val="22"/>
        </w:rPr>
        <w:t>1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שלכאורה מה שרע לעשות נגד ציווי הוא שבציווי גילה ה’ רצונו למה יעשה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והוא עושה נגדו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 בזה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ואין זה בהיר לי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עשיית רע מחייב 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להעיר שאפשר שאין כרת כשאר עונשים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להעיר שאפשר שבעצם חייב 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אף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אלא שממילא עושה תשובה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וכמו שאומר גמרא בסוף מנחות</w:t>
      </w:r>
      <w:r>
        <w:rPr>
          <w:rStyle w:val="FootnoteAnchor"/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footnoteReference w:id="19"/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שאולי הוא מומר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אלא שלמעשה כאן לא כיוון לאותו מעשה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לא שב מידיעתו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זה קושיא טובה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הוא קושיא על אותו גמרא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והרי למעשה במקומו עומד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לומר כמותו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כל</w:t>
      </w:r>
      <w:r>
        <w:rPr>
          <w:rFonts w:ascii="Mekorot-Vilna" w:hAnsi="Mekorot-Vilna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הנך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דחמורות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לדון מה אומר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סדרם כן כיון שבענין אחר הם יותר חשובים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שהם יותר חמורות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סדרם כן כיון שיש יותר סיבה לכרת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שהם יותר חמורים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כמו שרואים ממה שבהתראה חייבים סקילה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סדרם כן כיון שיש יותר כרת באלו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והוא שהם יותר נכרתים מה’ כיון שהוא יותר חמור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שעדיין עונש של כרת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מה שהוא מת קודם זמנו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אינו יותר עליהם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גם יש לומר שסדרם כן כיון שאז יש יותר סיבה לחטאת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אולי אין יותר סיבה לכרת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יש יותר סיבה לחטאת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ואולי יש יותר סיבה לכרת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אין זה הסיבה שמנה אותם ראשון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זה תלוי במה שנדון אם משנה בא לדין כרת או לדין חטאת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גם תלוי באם יוכל חטאת להיות תלוי בדבר חוץ מכרת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וזה תלוי במה שנדון מהו היחס בין כרת לחיוב חטאת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</w:t>
      </w:r>
      <w:r>
        <w:rPr>
          <w:rStyle w:val="FootnoteAnchor"/>
          <w:rFonts w:cs="Mekorot-Vilna" w:ascii="Mekorot-Vilna" w:hAnsi="Mekorot-Vilna"/>
          <w:b w:val="false"/>
          <w:bCs w:val="false"/>
          <w:sz w:val="22"/>
          <w:szCs w:val="22"/>
          <w:rtl w:val="true"/>
        </w:rPr>
        <w:footnoteReference w:id="20"/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באמת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שני ושלישי שווים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אלא שלשני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"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אומר עונש שלו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ולשלישי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אף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אומר מה שנכרת מה’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ואולי מה שיהיה במשמעות מילת ועונש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"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תלוי בזה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אם הם שני עונשים</w:t>
      </w:r>
      <w:r>
        <w:rPr>
          <w:rStyle w:val="FootnoteAnchor"/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footnoteReference w:id="21"/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 שבאים שני סיבות במעשה אחד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מסיבה אחת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שכריתתו מה’ גורם עונש השני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גם יש להעיר על לשון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חייב 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.”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אם דנים במה שימות לפני זמנו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זה טוב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אם דנים במה שנעשה נכרת מה’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לכאורה היה לו לומר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, “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נכרת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,”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שקורה מיד ממילא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שאולי אין ה’ כורתו ממילא</w:t>
      </w:r>
      <w:r>
        <w:rPr>
          <w:rStyle w:val="FootnoteAnchor"/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footnoteReference w:id="22"/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גם 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שאולי אומר לשון זה מפני חיוב השני שבו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שמת קודם זמנו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פסח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כרת הוא שמת בלי בנים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עיין במועד קטן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כח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.)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שמבואר שגם מת קודם זמנו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ק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ק למה לא הזכיר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את זה כאן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נראה שני מהלכים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יש עונשים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תוצאות שהם ממילא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 רק מונה עונש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שהרי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אומר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קונטרס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ט עם שאר עונשים</w:t>
      </w:r>
      <w:r>
        <w:rPr>
          <w:rStyle w:val="FootnoteAnchor"/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footnoteReference w:id="23"/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החילוק בין עונש לדבר שבא ממילא הוא שעונש בא כדי ליתן לו צער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דבר שבא ממילא לא בא לצורך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בא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להעיר שגמרא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כריתות כג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:)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אומר שכרת יותר חמור ממיתה בידי שמים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יש שלש סיבות לזה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כרת ממית בחמישים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מיתה ממית בששים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כרת אף עושה שמת בלי בנים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איסור כרת אף מחייב חטאת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שהיה אפשר לדחות שחטאת לא מהני על חיוב מיתה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גם יש לומר כן בשאר הצדדים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ששם יש סיבה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חוץ מכפרה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והוא שטוב שמי שחטא ייענש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אבל כאן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בקרבן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הוא כדי שיכפר ה’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להעיר שאולי ה’ לא רוצה בכפרה לטובתו</w:t>
      </w:r>
      <w:r>
        <w:rPr>
          <w:rStyle w:val="FootnoteAnchor"/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footnoteReference w:id="24"/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 אלא לטובה בדרך כלל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אז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אין כל כך עבירות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 אם כפרה מוחק את העבירה או עושה שאין זה מיוחס לו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ונראה שאולי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הוא קצת לשיטתו בשלש רשיי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 משמע לעיל שחטאת הוא עונש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עיין ברש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ראשון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,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שמנה אותו עם עונשים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),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וסבר שאין מיתה קודם זמנו עונש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ואז מבאר למה נקט עונש לגלות על עונש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ולא זמן מיתה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שאינו עונש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עדיין לא מבואר למה לא נקט שמת בלי בנים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שהוא פרט אחר בעונש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לא היה לו לומר שעונש נתקיים בשוגג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שהוא עונש יותר גדול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ואולי כיון שזה דן בכמה רע הוא לו הוא יותר דומה למיתה קודם זמנו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ולא קל לדעת איזה יותר רע לאדם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ואיזה עונש יותר גדול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אבל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מה שעבירה טעון עונש אף בשוגג מראה שלענין עונשים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הוא עבירה יותר גדולה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ואז מסתבר שעונש מזיד שלו יותר רע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ותחשב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numPr>
          <w:ilvl w:val="0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רש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 אומר שבין כך ובין כך 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בין אם התרה בין אם לא התרה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מת קודם זמנו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שהרי בית דין ממיתים אותו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ועדיין יש לדון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שאם הוא קרוב לחמישים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וחייב כרת ומיתה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אפשר שבית דין לא ימצאו פנאי לדון בו עד שמגיע לגיל חמישים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על כל אחת ואחת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יש לדון מה יהיה הסיבה שלא יחייב על כל אחת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ר של חיוב כרת אחד דומה לס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ר של חבירו עד שלא מוסיף רע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שאם כן נצטרך לומר שבשני העלמות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שחייב שני קרבנות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הוא חלוק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ותחשב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אולי הוא מפני שמביא קרבן על מה ששגג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לא מפני 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ר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שעשה נגד ציווי ה’ כששגג מלשמור את עצמו מעבירה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עשה כן רק פעם אחת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למסקנא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יש לדון אם לא מביאים קרבן על זה או שאם מחמתו עשה כמה עבירות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מביא יותר קרבנות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שהוא יותר רע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numPr>
          <w:ilvl w:val="0"/>
          <w:numId w:val="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הוא מפני שקרבן אחד יכול לרצות לכמה עבירות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נראה שיש לדון אם עושה סיבה לכפר עבירה או לכפר לאדם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ותחשב מה זה אומר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זה תלוי בדיון זה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  <w:r>
        <w:rPr>
          <w:rStyle w:val="FootnoteAnchor"/>
          <w:rFonts w:cs="Mekorot-Vilna" w:ascii="Mekorot-Vilna" w:hAnsi="Mekorot-Vilna"/>
          <w:i w:val="false"/>
          <w:iCs w:val="false"/>
          <w:sz w:val="22"/>
          <w:szCs w:val="22"/>
          <w:rtl w:val="true"/>
        </w:rPr>
        <w:footnoteReference w:id="25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ekorot-Viln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להיות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שהתרה</w:t>
      </w:r>
      <w:r>
        <w:rPr>
          <w:rtl w:val="true"/>
        </w:rPr>
        <w:t xml:space="preserve">, </w:t>
      </w:r>
      <w:r>
        <w:rPr>
          <w:rtl w:val="true"/>
        </w:rPr>
        <w:t>או שהזכיר לו ההתראה</w:t>
      </w:r>
      <w:r>
        <w:rPr>
          <w:rtl w:val="true"/>
        </w:rPr>
        <w:t xml:space="preserve">, </w:t>
      </w:r>
      <w:r>
        <w:rPr>
          <w:rtl w:val="true"/>
        </w:rPr>
        <w:t>בתוך כדי דיבור של העבירה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אם יש מקור לזה</w:t>
      </w:r>
      <w:r>
        <w:rPr>
          <w:rtl w:val="true"/>
        </w:rPr>
        <w:t xml:space="preserve">, </w:t>
      </w:r>
      <w:r>
        <w:rPr>
          <w:rtl w:val="true"/>
        </w:rPr>
        <w:t>אבל כן נראה מסברה</w:t>
      </w:r>
      <w:r>
        <w:rPr>
          <w:rtl w:val="true"/>
        </w:rPr>
        <w:t xml:space="preserve">, </w:t>
      </w:r>
      <w:r>
        <w:rPr>
          <w:rtl w:val="true"/>
        </w:rPr>
        <w:t>שיהיה בו אותו טעם של ההתראה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לדון למה צריך קבלת העונש</w:t>
      </w:r>
      <w:r>
        <w:rPr>
          <w:rtl w:val="true"/>
        </w:rPr>
        <w:t xml:space="preserve">, </w:t>
      </w:r>
      <w:r>
        <w:rPr>
          <w:rtl w:val="true"/>
        </w:rPr>
        <w:t>שאולי אינו משנה את העבירה</w:t>
      </w:r>
      <w:r>
        <w:rPr>
          <w:rtl w:val="true"/>
        </w:rPr>
        <w:t xml:space="preserve">, </w:t>
      </w:r>
      <w:r>
        <w:rPr>
          <w:rtl w:val="true"/>
        </w:rPr>
        <w:t>אלא עושה דבר אחר</w:t>
      </w:r>
      <w:r>
        <w:rPr>
          <w:rtl w:val="true"/>
        </w:rPr>
        <w:t xml:space="preserve">, </w:t>
      </w:r>
      <w:r>
        <w:rPr>
          <w:rtl w:val="true"/>
        </w:rPr>
        <w:t>וידיעתו בשעת עבירה לא שייך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הוא גם אם יכולים אבל לא מחייבים</w:t>
      </w:r>
      <w:r>
        <w:rPr>
          <w:rtl w:val="true"/>
        </w:rPr>
        <w:t xml:space="preserve">. </w:t>
      </w:r>
      <w:r>
        <w:rPr>
          <w:rtl w:val="true"/>
        </w:rPr>
        <w:t>היה נראה מסברה שלא נחלק</w:t>
      </w:r>
      <w:r>
        <w:rPr>
          <w:rtl w:val="true"/>
        </w:rPr>
        <w:t xml:space="preserve">, </w:t>
      </w:r>
      <w:r>
        <w:rPr>
          <w:rtl w:val="true"/>
        </w:rPr>
        <w:t>אבל מה שמצאנו קרא שאז מחייב כרת</w:t>
      </w:r>
      <w:r>
        <w:rPr>
          <w:rtl w:val="true"/>
        </w:rPr>
        <w:t xml:space="preserve">, </w:t>
      </w:r>
      <w:r>
        <w:rPr>
          <w:rtl w:val="true"/>
        </w:rPr>
        <w:t>ולא מין מיתה בידי שמים זה</w:t>
      </w:r>
      <w:r>
        <w:rPr>
          <w:rtl w:val="true"/>
        </w:rPr>
        <w:t xml:space="preserve">, </w:t>
      </w:r>
      <w:r>
        <w:rPr>
          <w:rtl w:val="true"/>
        </w:rPr>
        <w:t>משמע שיש חילוק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הסתימות משמע שהוא מת מיד</w:t>
      </w:r>
      <w:r>
        <w:rPr>
          <w:rtl w:val="true"/>
        </w:rPr>
        <w:t xml:space="preserve">, </w:t>
      </w:r>
      <w:r>
        <w:rPr>
          <w:rtl w:val="true"/>
        </w:rPr>
        <w:t>כמו במיתת בית דין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ע’ בקושיית תוס’ בכתובת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:), </w:t>
      </w:r>
      <w:r>
        <w:rPr>
          <w:rtl w:val="true"/>
        </w:rPr>
        <w:t>שלשון קושייתו אינו משמע כן</w:t>
      </w:r>
      <w:r>
        <w:rPr>
          <w:rtl w:val="true"/>
        </w:rPr>
        <w:t xml:space="preserve">, </w:t>
      </w:r>
      <w:r>
        <w:rPr>
          <w:rtl w:val="true"/>
        </w:rPr>
        <w:t>אלא שמשמע שבאיזה גיל שהוא ימותו</w:t>
      </w:r>
      <w:r>
        <w:rPr>
          <w:rtl w:val="true"/>
        </w:rPr>
        <w:t xml:space="preserve">. </w:t>
      </w:r>
      <w:r>
        <w:rPr>
          <w:rtl w:val="true"/>
        </w:rPr>
        <w:t xml:space="preserve">גם היה אפשר לומר שהוא בכלל ”מיתה בידי שמים“ שמזכיר גמ’ במ“ק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.), </w:t>
      </w:r>
      <w:r>
        <w:rPr>
          <w:rtl w:val="true"/>
        </w:rPr>
        <w:t>כמו שנבאר לקמן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מכוון לומר אחר שנה חמישית או בתוך שנה חמישית</w:t>
      </w:r>
      <w:r>
        <w:rPr>
          <w:rtl w:val="true"/>
        </w:rPr>
        <w:t xml:space="preserve">. </w:t>
      </w:r>
      <w:r>
        <w:rPr>
          <w:rtl w:val="true"/>
        </w:rPr>
        <w:t>נראה שמגמ’ משמע שהוא אחר שנה חמישית</w:t>
      </w:r>
      <w:r>
        <w:rPr>
          <w:rtl w:val="true"/>
        </w:rPr>
        <w:t xml:space="preserve">, </w:t>
      </w:r>
      <w:r>
        <w:rPr>
          <w:rtl w:val="true"/>
        </w:rPr>
        <w:t>שכן הוא בשאר הדברים שבבריי’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ברור כלל מה כוונת הגמ’ במקור זה</w:t>
      </w:r>
      <w:r>
        <w:rPr>
          <w:rtl w:val="true"/>
        </w:rPr>
        <w:t xml:space="preserve">. </w:t>
      </w:r>
      <w:r>
        <w:rPr>
          <w:rtl w:val="true"/>
        </w:rPr>
        <w:t>ע’ בפני משה</w:t>
      </w:r>
      <w:r>
        <w:rPr>
          <w:rtl w:val="true"/>
        </w:rPr>
        <w:t xml:space="preserve">; </w:t>
      </w:r>
      <w:r>
        <w:rPr>
          <w:rtl w:val="true"/>
        </w:rPr>
        <w:t>וצריך ביאור</w:t>
      </w:r>
      <w:r>
        <w:rPr>
          <w:rtl w:val="true"/>
        </w:rPr>
        <w:t xml:space="preserve">. </w:t>
      </w:r>
      <w:r>
        <w:rPr>
          <w:rtl w:val="true"/>
        </w:rPr>
        <w:t>אולי נראה לומר שלא נהנה ממתנה שנתן לו ה’ של חיים בלי יכולת להיענש</w:t>
      </w:r>
      <w:r>
        <w:rPr>
          <w:rtl w:val="true"/>
        </w:rPr>
        <w:t xml:space="preserve">. </w:t>
      </w:r>
      <w:r>
        <w:rPr>
          <w:rtl w:val="true"/>
        </w:rPr>
        <w:t>זה נקרא כריתות מה’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אולי לא כולל אם מת אחר שנת חמישים ושנים </w:t>
      </w:r>
      <w:r>
        <w:rPr>
          <w:rtl w:val="true"/>
        </w:rPr>
        <w:t>(</w:t>
      </w:r>
      <w:r>
        <w:rPr>
          <w:rtl w:val="true"/>
        </w:rPr>
        <w:t>או כל גיל אחר חמישים ושנים</w:t>
      </w:r>
      <w:r>
        <w:rPr>
          <w:rtl w:val="true"/>
        </w:rPr>
        <w:t xml:space="preserve">). </w:t>
      </w:r>
      <w:r>
        <w:rPr>
          <w:rtl w:val="true"/>
        </w:rPr>
        <w:t>בריי’ אומר שזה מיתת שמואל</w:t>
      </w:r>
      <w:r>
        <w:rPr>
          <w:rtl w:val="true"/>
        </w:rPr>
        <w:t xml:space="preserve">; </w:t>
      </w:r>
      <w:r>
        <w:rPr>
          <w:rtl w:val="true"/>
        </w:rPr>
        <w:t>יש לדון אם זה רק מוסיף שאז מת שמואל או שאינו מיתת כרת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צ“ב ל</w:t>
      </w:r>
      <w:r>
        <w:rPr>
          <w:rtl w:val="true"/>
        </w:rPr>
        <w:t>"</w:t>
      </w:r>
      <w:r>
        <w:rPr>
          <w:rtl w:val="true"/>
        </w:rPr>
        <w:t>ל יהיה כרת מחייב אותו</w:t>
      </w:r>
      <w:r>
        <w:rPr>
          <w:rtl w:val="true"/>
        </w:rPr>
        <w:t xml:space="preserve">. </w:t>
      </w:r>
      <w:r>
        <w:rPr>
          <w:rtl w:val="true"/>
        </w:rPr>
        <w:t>אולי מיתת שמואל הוא סיבה</w:t>
      </w:r>
      <w:r>
        <w:rPr>
          <w:rtl w:val="true"/>
        </w:rPr>
        <w:t xml:space="preserve">, </w:t>
      </w:r>
      <w:r>
        <w:rPr>
          <w:rtl w:val="true"/>
        </w:rPr>
        <w:t>שאם ימותו בנ“א החייבים כרת אז</w:t>
      </w:r>
      <w:r>
        <w:rPr>
          <w:rtl w:val="true"/>
        </w:rPr>
        <w:t xml:space="preserve">, </w:t>
      </w:r>
      <w:r>
        <w:rPr>
          <w:rtl w:val="true"/>
        </w:rPr>
        <w:t>ירננו בנ“א אחר שמואל</w:t>
      </w:r>
      <w:r>
        <w:rPr>
          <w:rtl w:val="true"/>
        </w:rPr>
        <w:t xml:space="preserve">, </w:t>
      </w:r>
      <w:r>
        <w:rPr>
          <w:rtl w:val="true"/>
        </w:rPr>
        <w:t xml:space="preserve">כמו שכ’ בגמ’ תענית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>:).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שיש דרך אחר שאין כל כרת שווה</w:t>
      </w:r>
      <w:r>
        <w:rPr>
          <w:rtl w:val="true"/>
        </w:rPr>
        <w:t xml:space="preserve">- </w:t>
      </w:r>
      <w:r>
        <w:rPr>
          <w:rtl w:val="true"/>
        </w:rPr>
        <w:t>לא רק מתי מת</w:t>
      </w:r>
      <w:r>
        <w:rPr>
          <w:rtl w:val="true"/>
        </w:rPr>
        <w:t xml:space="preserve">, </w:t>
      </w:r>
      <w:r>
        <w:rPr>
          <w:rtl w:val="true"/>
        </w:rPr>
        <w:t>אלא גם איך מת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ימותו בנים קטנים אם יש גדולים</w:t>
      </w:r>
      <w:r>
        <w:rPr>
          <w:rtl w:val="true"/>
        </w:rPr>
        <w:t xml:space="preserve">, </w:t>
      </w:r>
      <w:r>
        <w:rPr>
          <w:rtl w:val="true"/>
        </w:rPr>
        <w:t>שאולי רק נענשים כלל אם יש תוצאה שאין לו בנים</w:t>
      </w:r>
      <w:r>
        <w:rPr>
          <w:rtl w:val="true"/>
        </w:rPr>
        <w:t xml:space="preserve">. </w:t>
      </w:r>
      <w:r>
        <w:rPr>
          <w:rtl w:val="true"/>
        </w:rPr>
        <w:t xml:space="preserve">וע’ בלשון תוס’ בשבת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 xml:space="preserve">.), </w:t>
      </w:r>
      <w:r>
        <w:rPr>
          <w:rtl w:val="true"/>
        </w:rPr>
        <w:t>שמשמע ששם ימותו הקטנים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איך לומד מזה לשאר חייבי כרת</w:t>
      </w:r>
      <w:r>
        <w:rPr>
          <w:rtl w:val="true"/>
        </w:rPr>
        <w:t xml:space="preserve">. </w:t>
      </w:r>
      <w:r>
        <w:rPr>
          <w:rtl w:val="true"/>
        </w:rPr>
        <w:t>צריך לומר שמפרש שקרא מסביר חיוב כרת</w:t>
      </w:r>
      <w:r>
        <w:rPr>
          <w:rtl w:val="true"/>
        </w:rPr>
        <w:t xml:space="preserve">, </w:t>
      </w:r>
      <w:r>
        <w:rPr>
          <w:rtl w:val="true"/>
        </w:rPr>
        <w:t>ולא מוסיף חיוב</w:t>
      </w:r>
      <w:r>
        <w:rPr>
          <w:rtl w:val="true"/>
        </w:rPr>
        <w:t>. (</w:t>
      </w:r>
      <w:r>
        <w:rPr>
          <w:rtl w:val="true"/>
        </w:rPr>
        <w:t>אולי מניח כן כיון שלא מצוי שיש שני עונשים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שזה חלק מכרת</w:t>
      </w:r>
      <w:r>
        <w:rPr>
          <w:rtl w:val="true"/>
        </w:rPr>
        <w:t xml:space="preserve">, </w:t>
      </w:r>
      <w:r>
        <w:rPr>
          <w:rtl w:val="true"/>
        </w:rPr>
        <w:t>יש לומר שאינו נחשב שני עונשים</w:t>
      </w:r>
      <w:r>
        <w:rPr>
          <w:rtl w:val="true"/>
        </w:rPr>
        <w:t xml:space="preserve">. </w:t>
      </w:r>
      <w:r>
        <w:rPr>
          <w:rtl w:val="true"/>
        </w:rPr>
        <w:t>עדיין צריך ביאור איך לא נחשב שני עונשים</w:t>
      </w:r>
      <w:r>
        <w:rPr>
          <w:rtl w:val="true"/>
        </w:rPr>
        <w:t>.)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שם הוא חלק מן הכרת</w:t>
      </w:r>
      <w:r>
        <w:rPr>
          <w:rtl w:val="true"/>
        </w:rPr>
        <w:t xml:space="preserve">- </w:t>
      </w:r>
      <w:r>
        <w:rPr>
          <w:rtl w:val="true"/>
        </w:rPr>
        <w:t>הכרת חלוק</w:t>
      </w:r>
      <w:r>
        <w:rPr>
          <w:rtl w:val="true"/>
        </w:rPr>
        <w:t xml:space="preserve">- </w:t>
      </w:r>
      <w:r>
        <w:rPr>
          <w:rtl w:val="true"/>
        </w:rPr>
        <w:t>או ששם יש שני עונשים</w:t>
      </w:r>
      <w:r>
        <w:rPr>
          <w:rtl w:val="true"/>
        </w:rPr>
        <w:t xml:space="preserve">, </w:t>
      </w:r>
      <w:r>
        <w:rPr>
          <w:rtl w:val="true"/>
        </w:rPr>
        <w:t>כרת וערירי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על לשון כריתות</w:t>
      </w:r>
      <w:r>
        <w:rPr>
          <w:rtl w:val="true"/>
        </w:rPr>
        <w:t xml:space="preserve">, </w:t>
      </w:r>
      <w:r>
        <w:rPr>
          <w:rtl w:val="true"/>
        </w:rPr>
        <w:t>שצריך לבאר ממה הוא נכרת</w:t>
      </w:r>
      <w:r>
        <w:rPr>
          <w:rtl w:val="true"/>
        </w:rPr>
        <w:t xml:space="preserve">.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יש לומר שהוא נכרת מזרע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רש</w:t>
      </w:r>
      <w:r>
        <w:rPr>
          <w:rtl w:val="true"/>
        </w:rPr>
        <w:t>"</w:t>
      </w:r>
      <w:r>
        <w:rPr>
          <w:rtl w:val="true"/>
        </w:rPr>
        <w:t>י לא לומד משם</w:t>
      </w:r>
      <w:r>
        <w:rPr>
          <w:rtl w:val="true"/>
        </w:rPr>
        <w:t xml:space="preserve">, </w:t>
      </w:r>
      <w:r>
        <w:rPr>
          <w:rtl w:val="true"/>
        </w:rPr>
        <w:t>ואז צריך לומר שאינו מוכרח כן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שהוא נכרת משאר בני ישראל </w:t>
      </w:r>
      <w:r>
        <w:rPr>
          <w:rtl w:val="true"/>
        </w:rPr>
        <w:t>(</w:t>
      </w:r>
      <w:r>
        <w:rPr>
          <w:rtl w:val="true"/>
        </w:rPr>
        <w:t>כן משמע לשון הקרא</w:t>
      </w:r>
      <w:r>
        <w:rPr>
          <w:rtl w:val="true"/>
        </w:rPr>
        <w:t xml:space="preserve">) </w:t>
      </w:r>
      <w:r>
        <w:rPr>
          <w:rtl w:val="true"/>
        </w:rPr>
        <w:t>או שהוא נכרת מה’</w:t>
      </w:r>
      <w:r>
        <w:rPr>
          <w:rtl w:val="true"/>
        </w:rPr>
        <w:t xml:space="preserve">. </w:t>
      </w:r>
      <w:r>
        <w:rPr>
          <w:rtl w:val="true"/>
        </w:rPr>
        <w:t>יש להעיר שאם נאמר כן</w:t>
      </w:r>
      <w:r>
        <w:rPr>
          <w:rtl w:val="true"/>
        </w:rPr>
        <w:t xml:space="preserve">, </w:t>
      </w:r>
      <w:r>
        <w:rPr>
          <w:rtl w:val="true"/>
        </w:rPr>
        <w:t>יש לומר ששניהם הם תוצאות של דבר אחד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איזה </w:t>
      </w:r>
      <w:r>
        <w:rPr>
          <w:rtl w:val="true"/>
        </w:rPr>
        <w:t>(</w:t>
      </w:r>
      <w:r>
        <w:rPr>
          <w:rtl w:val="true"/>
        </w:rPr>
        <w:t>אותו דבר אחד או שני תוצאות אלו</w:t>
      </w:r>
      <w:r>
        <w:rPr>
          <w:rtl w:val="true"/>
        </w:rPr>
        <w:t xml:space="preserve">) </w:t>
      </w:r>
      <w:r>
        <w:rPr>
          <w:rtl w:val="true"/>
        </w:rPr>
        <w:t>הם עיקר העונש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בסוף זה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אם מה שלא צריך התראה כדי לחייב הוא מפני איזה חילוק שיש בין כרת או מיתה </w:t>
      </w:r>
      <w:r>
        <w:rPr>
          <w:rtl w:val="true"/>
        </w:rPr>
        <w:t>(</w:t>
      </w:r>
      <w:r>
        <w:rPr>
          <w:rtl w:val="true"/>
        </w:rPr>
        <w:t>או עבירה שמחיי’ כרת לעבירה שמחיי’ מיתה</w:t>
      </w:r>
      <w:r>
        <w:rPr>
          <w:rtl w:val="true"/>
        </w:rPr>
        <w:t xml:space="preserve">) </w:t>
      </w:r>
      <w:r>
        <w:rPr>
          <w:rtl w:val="true"/>
        </w:rPr>
        <w:t>או מחמת חילוק בין מי מענש כרת ומי מענש מיתה</w:t>
      </w:r>
      <w:r>
        <w:rPr>
          <w:rtl w:val="true"/>
        </w:rPr>
        <w:t>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שנראה שהוא ראיה נגד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במה שסובר שמת ערירי</w:t>
      </w:r>
      <w:r>
        <w:rPr>
          <w:rtl w:val="true"/>
        </w:rPr>
        <w:t xml:space="preserve">), </w:t>
      </w:r>
      <w:r>
        <w:rPr>
          <w:rtl w:val="true"/>
        </w:rPr>
        <w:t>ששם פוסק כמי שאומר שנפטר מכרת</w:t>
      </w:r>
      <w:r>
        <w:rPr>
          <w:rtl w:val="true"/>
        </w:rPr>
        <w:t xml:space="preserve">, </w:t>
      </w:r>
      <w:r>
        <w:rPr>
          <w:rtl w:val="true"/>
        </w:rPr>
        <w:t>ומקשה איך נדע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שאולי נדע ממה שלא מתו בניו</w:t>
      </w:r>
      <w:r>
        <w:rPr>
          <w:rtl w:val="true"/>
        </w:rPr>
        <w:t xml:space="preserve">. </w:t>
      </w:r>
      <w:r>
        <w:rPr>
          <w:rtl w:val="true"/>
        </w:rPr>
        <w:t>ויש לדחות שאולי שב</w:t>
      </w:r>
      <w:r>
        <w:rPr>
          <w:rtl w:val="true"/>
        </w:rPr>
        <w:t xml:space="preserve">, </w:t>
      </w:r>
      <w:r>
        <w:rPr>
          <w:rtl w:val="true"/>
        </w:rPr>
        <w:t>אף כשלא נראה ששב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לודן למה זה לא יהיה סמך די לפסוק שפוטר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שאולי לא בא להשמיענו שום דין</w:t>
      </w:r>
      <w:r>
        <w:rPr>
          <w:rtl w:val="true"/>
        </w:rPr>
        <w:t>.</w:t>
      </w:r>
    </w:p>
  </w:footnote>
  <w:footnote w:id="1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אי“ז מוכרח</w:t>
      </w:r>
      <w:r>
        <w:rPr>
          <w:rtl w:val="true"/>
        </w:rPr>
        <w:t xml:space="preserve">, </w:t>
      </w:r>
      <w:r>
        <w:rPr>
          <w:rtl w:val="true"/>
        </w:rPr>
        <w:t>שיש לומר שרצה לומר שאין כרת אחר חמישים ושנים</w:t>
      </w:r>
      <w:r>
        <w:rPr>
          <w:rtl w:val="true"/>
        </w:rPr>
        <w:t xml:space="preserve">, </w:t>
      </w:r>
      <w:r>
        <w:rPr>
          <w:rtl w:val="true"/>
        </w:rPr>
        <w:t>כדי שאין חיובי כרת חיים יותר משמואל</w:t>
      </w:r>
      <w:r>
        <w:rPr>
          <w:rtl w:val="true"/>
        </w:rPr>
        <w:t>.</w:t>
      </w:r>
    </w:p>
  </w:footnote>
  <w:footnote w:id="1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בקט</w:t>
      </w:r>
      <w:r>
        <w:rPr>
          <w:rtl w:val="true"/>
        </w:rPr>
        <w:t xml:space="preserve">:. </w:t>
      </w:r>
      <w:r>
        <w:rPr>
          <w:rtl w:val="true"/>
        </w:rPr>
        <w:t>ואולי יש לדחות שאותו גמרא רק מכוון לומר שלא היה לו לומר</w:t>
      </w:r>
      <w:r>
        <w:rPr>
          <w:rtl w:val="true"/>
        </w:rPr>
        <w:t>, “</w:t>
      </w:r>
      <w:r>
        <w:rPr>
          <w:rtl w:val="true"/>
        </w:rPr>
        <w:t>אם שב…</w:t>
      </w:r>
      <w:r>
        <w:rPr>
          <w:rtl w:val="true"/>
        </w:rPr>
        <w:t xml:space="preserve">, “ </w:t>
      </w:r>
      <w:r>
        <w:rPr>
          <w:rtl w:val="true"/>
        </w:rPr>
        <w:t>אלא היה לו להניח שישוב כפשטות</w:t>
      </w:r>
      <w:r>
        <w:rPr>
          <w:rtl w:val="true"/>
        </w:rPr>
        <w:t xml:space="preserve">, </w:t>
      </w:r>
      <w:r>
        <w:rPr>
          <w:rtl w:val="true"/>
        </w:rPr>
        <w:t>שרוב שוגגים מכפרים</w:t>
      </w:r>
      <w:r>
        <w:rPr>
          <w:rtl w:val="true"/>
        </w:rPr>
        <w:t xml:space="preserve">, </w:t>
      </w:r>
      <w:r>
        <w:rPr>
          <w:rtl w:val="true"/>
        </w:rPr>
        <w:t>ועומד לשוב</w:t>
      </w:r>
      <w:r>
        <w:rPr>
          <w:rtl w:val="true"/>
        </w:rPr>
        <w:t xml:space="preserve">, </w:t>
      </w:r>
      <w:r>
        <w:rPr>
          <w:rtl w:val="true"/>
        </w:rPr>
        <w:t>והיה לו לומר</w:t>
      </w:r>
      <w:r>
        <w:rPr>
          <w:rtl w:val="true"/>
        </w:rPr>
        <w:t>, “</w:t>
      </w:r>
      <w:r>
        <w:rPr>
          <w:rtl w:val="true"/>
        </w:rPr>
        <w:t>אם לא שב…</w:t>
      </w:r>
      <w:r>
        <w:rPr>
          <w:rtl w:val="true"/>
        </w:rPr>
        <w:t xml:space="preserve">.”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להביא ראיה מאותו גמרא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2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ולכאורה</w:t>
      </w:r>
      <w:r>
        <w:rPr>
          <w:rtl w:val="true"/>
        </w:rPr>
        <w:t xml:space="preserve">, </w:t>
      </w:r>
      <w:r>
        <w:rPr>
          <w:rtl w:val="true"/>
        </w:rPr>
        <w:t>יהיה אפשר בכל צד</w:t>
      </w:r>
      <w:r>
        <w:rPr>
          <w:rtl w:val="true"/>
        </w:rPr>
        <w:t xml:space="preserve">, </w:t>
      </w:r>
      <w:r>
        <w:rPr>
          <w:rtl w:val="true"/>
        </w:rPr>
        <w:t>שאולי כמו שכרת עושה שום סיבה</w:t>
      </w:r>
      <w:r>
        <w:rPr>
          <w:rtl w:val="true"/>
        </w:rPr>
        <w:t xml:space="preserve">, </w:t>
      </w:r>
      <w:r>
        <w:rPr>
          <w:rtl w:val="true"/>
        </w:rPr>
        <w:t>אולי אף עונש אחר עושה סיבה כזה</w:t>
      </w:r>
      <w:r>
        <w:rPr>
          <w:rtl w:val="true"/>
        </w:rPr>
        <w:t xml:space="preserve">, </w:t>
      </w:r>
      <w:r>
        <w:rPr>
          <w:rtl w:val="true"/>
        </w:rPr>
        <w:t>וחיוב סקילה מוסיף סיבה הכי גדולה לחטאת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לזה יהיה כל דין כרת יוצא מן הכלל של מה שאדם חייב רק עונש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יש להביא ראיה ממה שאינו חייב כרת אם שב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כבר קבל כרת</w:t>
      </w:r>
      <w:r>
        <w:rPr>
          <w:rtl w:val="true"/>
        </w:rPr>
        <w:t xml:space="preserve">. </w:t>
      </w:r>
      <w:r>
        <w:rPr>
          <w:rtl w:val="true"/>
        </w:rPr>
        <w:t>ויש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ורק פוטר אותו מכאן ולהבא</w:t>
      </w:r>
      <w:r>
        <w:rPr>
          <w:rtl w:val="true"/>
        </w:rPr>
        <w:t xml:space="preserve">. </w:t>
      </w:r>
      <w:r>
        <w:rPr>
          <w:rtl w:val="true"/>
        </w:rPr>
        <w:t>יותר נראה לומר שחוזר למפרע קירבת ה’ לו</w:t>
      </w:r>
      <w:r>
        <w:rPr>
          <w:rtl w:val="true"/>
        </w:rPr>
        <w:t xml:space="preserve">. </w:t>
      </w:r>
      <w:r>
        <w:rPr>
          <w:rtl w:val="true"/>
        </w:rPr>
        <w:t>וזה קשה להבין</w:t>
      </w:r>
      <w:r>
        <w:rPr>
          <w:rtl w:val="true"/>
        </w:rPr>
        <w:t xml:space="preserve">, </w:t>
      </w:r>
      <w:r>
        <w:rPr>
          <w:rtl w:val="true"/>
        </w:rPr>
        <w:t>אלא שהוא כמו מה שאומר גמרא שחטאותיו נהפכים לזכויות למפרע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הוא גופא</w:t>
      </w:r>
      <w:r>
        <w:rPr>
          <w:rtl w:val="true"/>
        </w:rPr>
        <w:t xml:space="preserve">- </w:t>
      </w:r>
      <w:r>
        <w:rPr>
          <w:rtl w:val="true"/>
        </w:rPr>
        <w:t>מה שרש</w:t>
      </w:r>
      <w:r>
        <w:rPr>
          <w:rtl w:val="true"/>
        </w:rPr>
        <w:t>"</w:t>
      </w:r>
      <w:r>
        <w:rPr>
          <w:rtl w:val="true"/>
        </w:rPr>
        <w:t>י מניח כן במשנה</w:t>
      </w:r>
      <w:r>
        <w:rPr>
          <w:rtl w:val="true"/>
        </w:rPr>
        <w:t xml:space="preserve">- </w:t>
      </w:r>
      <w:r>
        <w:rPr>
          <w:rtl w:val="true"/>
        </w:rPr>
        <w:t>צריך ביאור</w:t>
      </w:r>
      <w:r>
        <w:rPr>
          <w:rtl w:val="true"/>
        </w:rPr>
        <w:t>.</w:t>
      </w:r>
    </w:p>
  </w:footnote>
  <w:footnote w:id="2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ואז יש סיבה חוץ מטובתו</w:t>
      </w:r>
      <w:r>
        <w:rPr>
          <w:rtl w:val="true"/>
        </w:rPr>
        <w:t xml:space="preserve">., </w:t>
      </w:r>
      <w:r>
        <w:rPr>
          <w:rtl w:val="true"/>
        </w:rPr>
        <w:t>ואז הוא כשאר ציורים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5">
    <w:p>
      <w:pPr>
        <w:pStyle w:val="Footnote"/>
        <w:bidi w:val="1"/>
        <w:rPr/>
      </w:pPr>
      <w:r>
        <w:rPr>
          <w:rStyle w:val="FootnoteCharacters"/>
        </w:rPr>
        <w:footnoteRef/>
      </w:r>
      <w:r>
        <w:rPr>
          <w:rtl w:val="true"/>
        </w:rPr>
        <w:tab/>
        <w:t>כוונתי לומר שיש לדון אם יש סיבה שאותו אדם יכופר או שאותו עבירה יכופר</w:t>
      </w:r>
      <w:r>
        <w:rPr>
          <w:rtl w:val="true"/>
        </w:rPr>
        <w:t xml:space="preserve">.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יהיה נמצא שצריך קרבן אחד על חטאות הרבה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יש סיבה לשנות את האדם בכפרה זה רק קצת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bidi w:val="1"/>
        <w:rPr/>
      </w:pPr>
      <w:r>
        <w:rPr>
          <w:rtl w:val="true"/>
        </w:rPr>
        <w:tab/>
      </w:r>
      <w:r>
        <w:rPr>
          <w:rtl w:val="true"/>
        </w:rPr>
        <w:t>נראה שגם יש לדון איך מכפר</w:t>
      </w:r>
      <w:r>
        <w:rPr>
          <w:rtl w:val="true"/>
        </w:rPr>
        <w:t xml:space="preserve">, </w:t>
      </w:r>
      <w:r>
        <w:rPr>
          <w:rtl w:val="true"/>
        </w:rPr>
        <w:t>אם משנה את האדם</w:t>
      </w:r>
      <w:r>
        <w:rPr>
          <w:rtl w:val="true"/>
        </w:rPr>
        <w:t xml:space="preserve">, </w:t>
      </w:r>
      <w:r>
        <w:rPr>
          <w:rtl w:val="true"/>
        </w:rPr>
        <w:t>וממילא אינו מיוחס לאותו עבירה</w:t>
      </w:r>
      <w:r>
        <w:rPr>
          <w:rtl w:val="true"/>
        </w:rPr>
        <w:t xml:space="preserve">, </w:t>
      </w:r>
      <w:r>
        <w:rPr>
          <w:rtl w:val="true"/>
        </w:rPr>
        <w:t>שהרי הוא אדם חלוק</w:t>
      </w:r>
      <w:r>
        <w:rPr>
          <w:rtl w:val="true"/>
        </w:rPr>
        <w:t xml:space="preserve">, </w:t>
      </w:r>
      <w:r>
        <w:rPr>
          <w:rtl w:val="true"/>
        </w:rPr>
        <w:t>או שמשנה את העבירה</w:t>
      </w:r>
      <w:r>
        <w:rPr>
          <w:rtl w:val="true"/>
        </w:rPr>
        <w:t xml:space="preserve">, </w:t>
      </w:r>
      <w:r>
        <w:rPr>
          <w:rtl w:val="true"/>
        </w:rPr>
        <w:t>ואז אינו רע</w:t>
      </w:r>
      <w:r>
        <w:rPr>
          <w:rtl w:val="true"/>
        </w:rPr>
        <w:t xml:space="preserve">, </w:t>
      </w:r>
      <w:r>
        <w:rPr>
          <w:rtl w:val="true"/>
        </w:rPr>
        <w:t>או שאינו מיוחס להאדם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יעשה שאינו מיוחס לשום אחד מעוונותיו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 xml:space="preserve">פשוט שאין מי שמקריב קרבן נמחל על כל עוונותיו </w:t>
      </w:r>
      <w:r>
        <w:rPr>
          <w:rtl w:val="true"/>
        </w:rPr>
        <w:t>(</w:t>
      </w:r>
      <w:r>
        <w:rPr>
          <w:rtl w:val="true"/>
        </w:rPr>
        <w:t>שהרי צריך גמרא לדון למה אינו רק באחותו</w:t>
      </w:r>
      <w:r>
        <w:rPr>
          <w:rtl w:val="true"/>
        </w:rPr>
        <w:t xml:space="preserve">). </w:t>
      </w:r>
      <w:r>
        <w:rPr>
          <w:rtl w:val="true"/>
        </w:rPr>
        <w:t>ותח’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96"/>
        </w:tabs>
        <w:ind w:left="79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56"/>
        </w:tabs>
        <w:ind w:left="115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516"/>
        </w:tabs>
        <w:ind w:left="151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76"/>
        </w:tabs>
        <w:ind w:left="187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236"/>
        </w:tabs>
        <w:ind w:left="223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96"/>
        </w:tabs>
        <w:ind w:left="259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56"/>
        </w:tabs>
        <w:ind w:left="295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316"/>
        </w:tabs>
        <w:ind w:left="331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76"/>
        </w:tabs>
        <w:ind w:left="3676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Liberation Serif" w:hAnsi="Liberation Serif" w:eastAsia="NSimSun" w:cs="Shofar"/>
      <w:color w:val="auto"/>
      <w:kern w:val="2"/>
      <w:sz w:val="22"/>
      <w:szCs w:val="22"/>
      <w:lang w:val="en-US" w:eastAsia="zh-CN" w:bidi="he-IL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LibreOffice/7.5.3.2$Windows_X86_64 LibreOffice_project/9f56dff12ba03b9acd7730a5a481eea045e468f3</Application>
  <AppVersion>15.0000</AppVersion>
  <Pages>4</Pages>
  <Words>2228</Words>
  <Characters>8852</Characters>
  <CharactersWithSpaces>11006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2024-01-18T09:27:15Z</dcterms:created>
  <dc:creator>שאול יואל הכהן חייט</dc:creator>
  <dc:description/>
  <dc:language>en-US</dc:language>
  <cp:lastModifiedBy>שאול יואל הכהן חייט</cp:lastModifiedBy>
  <dcterms:modified xsi:type="dcterms:W3CDTF">2024-01-18T10:54:05Z</dcterms:modified>
  <cp:revision>36</cp:revision>
  <dc:subject/>
  <dc:title/>
</cp:coreProperties>
</file>