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heme="minorHAnsi" w:eastAsiaTheme="minorHAnsi" w:hAnsiTheme="minorHAnsi"/>
          <w:sz w:val="22"/>
          <w:szCs w:val="22"/>
          <w:rtl/>
        </w:rPr>
        <w:id w:val="-1450310826"/>
        <w:docPartObj>
          <w:docPartGallery w:val="Table of Contents"/>
          <w:docPartUnique/>
        </w:docPartObj>
      </w:sdtPr>
      <w:sdtContent>
        <w:p w:rsidR="00643327" w:rsidRDefault="00B63280">
          <w:pPr>
            <w:pStyle w:val="TOCHeading"/>
            <w:spacing w:before="0" w:after="0"/>
            <w:rPr>
              <w:rFonts w:ascii="Shofar" w:hAnsi="Shofar"/>
            </w:rPr>
          </w:pPr>
          <w:r>
            <w:rPr>
              <w:rFonts w:ascii="Shofar" w:hAnsi="Shofar"/>
              <w:rtl/>
            </w:rPr>
            <w:t>סיכום הסיכום:</w:t>
          </w:r>
        </w:p>
        <w:p w:rsidR="00643327" w:rsidRDefault="00B63280">
          <w:pPr>
            <w:pStyle w:val="TOC1"/>
          </w:pPr>
          <w:r>
            <w:rPr>
              <w:rtl/>
            </w:rPr>
            <w:fldChar w:fldCharType="begin"/>
          </w:r>
          <w:r>
            <w:rPr>
              <w:rStyle w:val="IndexLink"/>
              <w:rFonts w:ascii="Shofar" w:hAnsi="Shofar"/>
              <w:rtl/>
            </w:rPr>
            <w:instrText xml:space="preserve"> TOC \f \o "1-9" \h</w:instrText>
          </w:r>
          <w:r>
            <w:rPr>
              <w:rStyle w:val="IndexLink"/>
              <w:rFonts w:ascii="Shofar" w:hAnsi="Shofar"/>
              <w:rtl/>
            </w:rPr>
            <w:fldChar w:fldCharType="separate"/>
          </w:r>
          <w:hyperlink w:anchor="__RefHeading___Toc90802_2054497345">
            <w:r>
              <w:rPr>
                <w:rStyle w:val="IndexLink"/>
                <w:rFonts w:ascii="Shofar" w:hAnsi="Shofar"/>
                <w:rtl/>
              </w:rPr>
              <w:t>מקור לברכות:</w:t>
            </w:r>
            <w:r>
              <w:rPr>
                <w:rStyle w:val="IndexLink"/>
                <w:rFonts w:ascii="Shofar" w:hAnsi="Shofar"/>
                <w:rtl/>
              </w:rPr>
              <w:tab/>
            </w:r>
            <w:r>
              <w:rPr>
                <w:rStyle w:val="IndexLink"/>
                <w:rFonts w:ascii="Shofar" w:hAnsi="Shofar"/>
              </w:rPr>
              <w:t>3</w:t>
            </w:r>
          </w:hyperlink>
        </w:p>
        <w:p w:rsidR="00643327" w:rsidRDefault="00B63280">
          <w:pPr>
            <w:pStyle w:val="TOC2"/>
            <w:tabs>
              <w:tab w:val="clear" w:pos="8357"/>
              <w:tab w:val="right" w:leader="dot" w:pos="8640"/>
            </w:tabs>
          </w:pPr>
          <w:hyperlink w:anchor="__RefHeading___Toc90804_2054497345">
            <w:r>
              <w:rPr>
                <w:rStyle w:val="IndexLink"/>
                <w:rFonts w:ascii="Shofar" w:hAnsi="Shofar"/>
                <w:rtl/>
              </w:rPr>
              <w:t>סיכום ראשון:</w:t>
            </w:r>
            <w:r>
              <w:rPr>
                <w:rStyle w:val="IndexLink"/>
                <w:rFonts w:ascii="Shofar" w:hAnsi="Shofar"/>
                <w:rtl/>
              </w:rPr>
              <w:tab/>
            </w:r>
            <w:r>
              <w:rPr>
                <w:rStyle w:val="IndexLink"/>
                <w:rFonts w:ascii="Shofar" w:hAnsi="Shofar"/>
              </w:rPr>
              <w:t>3</w:t>
            </w:r>
          </w:hyperlink>
        </w:p>
        <w:p w:rsidR="00643327" w:rsidRDefault="00B63280">
          <w:pPr>
            <w:pStyle w:val="TOC2"/>
            <w:tabs>
              <w:tab w:val="clear" w:pos="8357"/>
              <w:tab w:val="right" w:leader="dot" w:pos="8640"/>
            </w:tabs>
          </w:pPr>
          <w:hyperlink w:anchor="__RefHeading___Toc90806_2054497345">
            <w:r>
              <w:rPr>
                <w:rStyle w:val="IndexLink"/>
                <w:rFonts w:ascii="Shofar" w:hAnsi="Shofar"/>
                <w:rtl/>
              </w:rPr>
              <w:t>סיכום שני:</w:t>
            </w:r>
            <w:r>
              <w:rPr>
                <w:rStyle w:val="IndexLink"/>
                <w:rFonts w:ascii="Shofar" w:hAnsi="Shofar"/>
                <w:rtl/>
              </w:rPr>
              <w:tab/>
            </w:r>
            <w:r>
              <w:rPr>
                <w:rStyle w:val="IndexLink"/>
                <w:rFonts w:ascii="Shofar" w:hAnsi="Shofar"/>
              </w:rPr>
              <w:t>3</w:t>
            </w:r>
          </w:hyperlink>
        </w:p>
        <w:p w:rsidR="00643327" w:rsidRDefault="00B63280">
          <w:pPr>
            <w:pStyle w:val="TOC1"/>
          </w:pPr>
          <w:hyperlink w:anchor="__RefHeading___Toc90808_2054497345">
            <w:r>
              <w:rPr>
                <w:rStyle w:val="IndexLink"/>
                <w:rFonts w:ascii="Shofar" w:hAnsi="Shofar"/>
                <w:rtl/>
              </w:rPr>
              <w:t xml:space="preserve"> כללי ברכות:</w:t>
            </w:r>
            <w:r>
              <w:rPr>
                <w:rStyle w:val="IndexLink"/>
                <w:rFonts w:ascii="Shofar" w:hAnsi="Shofar"/>
                <w:rtl/>
              </w:rPr>
              <w:tab/>
            </w:r>
            <w:r>
              <w:rPr>
                <w:rStyle w:val="IndexLink"/>
                <w:rFonts w:ascii="Shofar" w:hAnsi="Shofar"/>
              </w:rPr>
              <w:t>4</w:t>
            </w:r>
          </w:hyperlink>
        </w:p>
        <w:p w:rsidR="00643327" w:rsidRDefault="00B63280">
          <w:pPr>
            <w:pStyle w:val="TOC2"/>
            <w:tabs>
              <w:tab w:val="clear" w:pos="8357"/>
              <w:tab w:val="right" w:leader="dot" w:pos="8640"/>
            </w:tabs>
          </w:pPr>
          <w:hyperlink w:anchor="__RefHeading___Toc90810_2054497345">
            <w:r>
              <w:rPr>
                <w:rStyle w:val="IndexLink"/>
                <w:rFonts w:ascii="Shofar" w:hAnsi="Shofar"/>
                <w:rtl/>
              </w:rPr>
              <w:t>ברכת שהכל:</w:t>
            </w:r>
            <w:r>
              <w:rPr>
                <w:rStyle w:val="IndexLink"/>
                <w:rFonts w:ascii="Shofar" w:hAnsi="Shofar"/>
                <w:rtl/>
              </w:rPr>
              <w:tab/>
            </w:r>
            <w:r>
              <w:rPr>
                <w:rStyle w:val="IndexLink"/>
                <w:rFonts w:ascii="Shofar" w:hAnsi="Shofar"/>
              </w:rPr>
              <w:t>4</w:t>
            </w:r>
          </w:hyperlink>
        </w:p>
        <w:p w:rsidR="00643327" w:rsidRDefault="00B63280">
          <w:pPr>
            <w:pStyle w:val="TOC2"/>
            <w:tabs>
              <w:tab w:val="clear" w:pos="8357"/>
              <w:tab w:val="right" w:leader="dot" w:pos="8640"/>
            </w:tabs>
          </w:pPr>
          <w:hyperlink w:anchor="__RefHeading___Toc90812_2054497345">
            <w:r>
              <w:rPr>
                <w:rStyle w:val="IndexLink"/>
                <w:rFonts w:ascii="Shofar" w:hAnsi="Shofar"/>
                <w:rtl/>
              </w:rPr>
              <w:t>ברכת המוציא:</w:t>
            </w:r>
            <w:r>
              <w:rPr>
                <w:rStyle w:val="IndexLink"/>
                <w:rFonts w:ascii="Shofar" w:hAnsi="Shofar"/>
                <w:rtl/>
              </w:rPr>
              <w:tab/>
            </w:r>
            <w:r>
              <w:rPr>
                <w:rStyle w:val="IndexLink"/>
                <w:rFonts w:ascii="Shofar" w:hAnsi="Shofar"/>
              </w:rPr>
              <w:t>5</w:t>
            </w:r>
          </w:hyperlink>
        </w:p>
        <w:p w:rsidR="00643327" w:rsidRDefault="00B63280">
          <w:pPr>
            <w:pStyle w:val="TOC2"/>
            <w:tabs>
              <w:tab w:val="clear" w:pos="8357"/>
              <w:tab w:val="right" w:leader="dot" w:pos="8640"/>
            </w:tabs>
          </w:pPr>
          <w:hyperlink w:anchor="__RefHeading___Toc90814_2054497345">
            <w:r>
              <w:rPr>
                <w:rStyle w:val="IndexLink"/>
                <w:rFonts w:ascii="Shofar" w:hAnsi="Shofar"/>
                <w:rtl/>
              </w:rPr>
              <w:t>ברכת מזונות:</w:t>
            </w:r>
            <w:r>
              <w:rPr>
                <w:rStyle w:val="IndexLink"/>
                <w:rFonts w:ascii="Shofar" w:hAnsi="Shofar"/>
                <w:rtl/>
              </w:rPr>
              <w:tab/>
            </w:r>
            <w:r>
              <w:rPr>
                <w:rStyle w:val="IndexLink"/>
                <w:rFonts w:ascii="Shofar" w:hAnsi="Shofar"/>
              </w:rPr>
              <w:t>5</w:t>
            </w:r>
          </w:hyperlink>
        </w:p>
        <w:p w:rsidR="00643327" w:rsidRDefault="00B63280">
          <w:pPr>
            <w:pStyle w:val="TOC2"/>
            <w:tabs>
              <w:tab w:val="clear" w:pos="8357"/>
              <w:tab w:val="right" w:leader="dot" w:pos="8640"/>
            </w:tabs>
          </w:pPr>
          <w:hyperlink w:anchor="__RefHeading___Toc90816_2054497345">
            <w:r>
              <w:rPr>
                <w:rStyle w:val="IndexLink"/>
                <w:rFonts w:ascii="Shofar" w:hAnsi="Shofar"/>
                <w:rtl/>
              </w:rPr>
              <w:t>ברכת הגפן:</w:t>
            </w:r>
            <w:r>
              <w:rPr>
                <w:rStyle w:val="IndexLink"/>
                <w:rFonts w:ascii="Shofar" w:hAnsi="Shofar"/>
                <w:rtl/>
              </w:rPr>
              <w:tab/>
            </w:r>
            <w:r>
              <w:rPr>
                <w:rStyle w:val="IndexLink"/>
                <w:rFonts w:ascii="Shofar" w:hAnsi="Shofar"/>
              </w:rPr>
              <w:t>6</w:t>
            </w:r>
          </w:hyperlink>
        </w:p>
        <w:p w:rsidR="00643327" w:rsidRDefault="00B63280">
          <w:pPr>
            <w:pStyle w:val="TOC2"/>
            <w:tabs>
              <w:tab w:val="clear" w:pos="8357"/>
              <w:tab w:val="right" w:leader="dot" w:pos="8640"/>
            </w:tabs>
          </w:pPr>
          <w:hyperlink w:anchor="__RefHeading___Toc90818_2054497345">
            <w:r>
              <w:rPr>
                <w:rStyle w:val="IndexLink"/>
                <w:rFonts w:ascii="Shofar" w:hAnsi="Shofar"/>
                <w:rtl/>
              </w:rPr>
              <w:t>ברכת העץ:</w:t>
            </w:r>
            <w:r>
              <w:rPr>
                <w:rStyle w:val="IndexLink"/>
                <w:rFonts w:ascii="Shofar" w:hAnsi="Shofar"/>
                <w:rtl/>
              </w:rPr>
              <w:tab/>
            </w:r>
            <w:r>
              <w:rPr>
                <w:rStyle w:val="IndexLink"/>
                <w:rFonts w:ascii="Shofar" w:hAnsi="Shofar"/>
              </w:rPr>
              <w:t>6</w:t>
            </w:r>
          </w:hyperlink>
        </w:p>
        <w:p w:rsidR="00643327" w:rsidRDefault="00B63280">
          <w:pPr>
            <w:pStyle w:val="TOC2"/>
            <w:tabs>
              <w:tab w:val="clear" w:pos="8357"/>
              <w:tab w:val="right" w:leader="dot" w:pos="8640"/>
            </w:tabs>
          </w:pPr>
          <w:hyperlink w:anchor="__RefHeading___Toc90820_2054497345">
            <w:r>
              <w:rPr>
                <w:rStyle w:val="IndexLink"/>
                <w:rFonts w:ascii="Shofar" w:hAnsi="Shofar"/>
                <w:rtl/>
              </w:rPr>
              <w:t>ברכת האדמה:</w:t>
            </w:r>
            <w:r>
              <w:rPr>
                <w:rStyle w:val="IndexLink"/>
                <w:rFonts w:ascii="Shofar" w:hAnsi="Shofar"/>
                <w:rtl/>
              </w:rPr>
              <w:tab/>
            </w:r>
            <w:r>
              <w:rPr>
                <w:rStyle w:val="IndexLink"/>
                <w:rFonts w:ascii="Shofar" w:hAnsi="Shofar"/>
              </w:rPr>
              <w:t>7</w:t>
            </w:r>
          </w:hyperlink>
        </w:p>
        <w:p w:rsidR="00643327" w:rsidRDefault="00B63280">
          <w:pPr>
            <w:pStyle w:val="TOC2"/>
            <w:tabs>
              <w:tab w:val="clear" w:pos="8357"/>
              <w:tab w:val="right" w:leader="dot" w:pos="8640"/>
            </w:tabs>
          </w:pPr>
          <w:hyperlink w:anchor="__RefHeading___Toc90822_2054497345">
            <w:r>
              <w:rPr>
                <w:rStyle w:val="IndexLink"/>
                <w:rFonts w:ascii="Shofar" w:hAnsi="Shofar"/>
                <w:rtl/>
              </w:rPr>
              <w:t>ברכת המזון:</w:t>
            </w:r>
            <w:r>
              <w:rPr>
                <w:rStyle w:val="IndexLink"/>
                <w:rFonts w:ascii="Shofar" w:hAnsi="Shofar"/>
                <w:rtl/>
              </w:rPr>
              <w:tab/>
            </w:r>
            <w:r>
              <w:rPr>
                <w:rStyle w:val="IndexLink"/>
                <w:rFonts w:ascii="Shofar" w:hAnsi="Shofar"/>
              </w:rPr>
              <w:t>8</w:t>
            </w:r>
          </w:hyperlink>
        </w:p>
        <w:p w:rsidR="00643327" w:rsidRDefault="00B63280">
          <w:pPr>
            <w:pStyle w:val="TOC2"/>
            <w:tabs>
              <w:tab w:val="clear" w:pos="8357"/>
              <w:tab w:val="right" w:leader="dot" w:pos="8640"/>
            </w:tabs>
          </w:pPr>
          <w:hyperlink w:anchor="__RefHeading___Toc90824_2054497345">
            <w:r>
              <w:rPr>
                <w:rStyle w:val="IndexLink"/>
                <w:rFonts w:ascii="Shofar" w:hAnsi="Shofar"/>
                <w:rtl/>
              </w:rPr>
              <w:t>מעין שלש:</w:t>
            </w:r>
            <w:r>
              <w:rPr>
                <w:rStyle w:val="IndexLink"/>
                <w:rFonts w:ascii="Shofar" w:hAnsi="Shofar"/>
                <w:rtl/>
              </w:rPr>
              <w:tab/>
            </w:r>
            <w:r>
              <w:rPr>
                <w:rStyle w:val="IndexLink"/>
                <w:rFonts w:ascii="Shofar" w:hAnsi="Shofar"/>
              </w:rPr>
              <w:t>9</w:t>
            </w:r>
          </w:hyperlink>
        </w:p>
        <w:p w:rsidR="00643327" w:rsidRDefault="00B63280">
          <w:pPr>
            <w:pStyle w:val="TOC3"/>
            <w:tabs>
              <w:tab w:val="clear" w:pos="8073"/>
              <w:tab w:val="right" w:leader="dot" w:pos="8640"/>
            </w:tabs>
          </w:pPr>
          <w:hyperlink w:anchor="__RefHeading___Toc90826_2054497345">
            <w:r>
              <w:rPr>
                <w:rStyle w:val="IndexLink"/>
                <w:rFonts w:ascii="Shofar" w:hAnsi="Shofar"/>
                <w:rtl/>
              </w:rPr>
              <w:t>על הפירות:</w:t>
            </w:r>
            <w:r>
              <w:rPr>
                <w:rStyle w:val="IndexLink"/>
                <w:rFonts w:ascii="Shofar" w:hAnsi="Shofar"/>
                <w:rtl/>
              </w:rPr>
              <w:tab/>
            </w:r>
            <w:r>
              <w:rPr>
                <w:rStyle w:val="IndexLink"/>
                <w:rFonts w:ascii="Shofar" w:hAnsi="Shofar"/>
              </w:rPr>
              <w:t>9</w:t>
            </w:r>
          </w:hyperlink>
        </w:p>
        <w:p w:rsidR="00643327" w:rsidRDefault="00B63280">
          <w:pPr>
            <w:pStyle w:val="TOC3"/>
            <w:tabs>
              <w:tab w:val="clear" w:pos="8073"/>
              <w:tab w:val="right" w:leader="dot" w:pos="8640"/>
            </w:tabs>
          </w:pPr>
          <w:hyperlink w:anchor="__RefHeading___Toc90828_2054497345">
            <w:r>
              <w:rPr>
                <w:rStyle w:val="IndexLink"/>
                <w:rFonts w:ascii="Shofar" w:hAnsi="Shofar"/>
                <w:rtl/>
              </w:rPr>
              <w:t>על המחיה:</w:t>
            </w:r>
            <w:r>
              <w:rPr>
                <w:rStyle w:val="IndexLink"/>
                <w:rFonts w:ascii="Shofar" w:hAnsi="Shofar"/>
                <w:rtl/>
              </w:rPr>
              <w:tab/>
            </w:r>
            <w:r>
              <w:rPr>
                <w:rStyle w:val="IndexLink"/>
                <w:rFonts w:ascii="Shofar" w:hAnsi="Shofar"/>
              </w:rPr>
              <w:t>10</w:t>
            </w:r>
          </w:hyperlink>
        </w:p>
        <w:p w:rsidR="00643327" w:rsidRDefault="00B63280">
          <w:pPr>
            <w:pStyle w:val="TOC3"/>
            <w:tabs>
              <w:tab w:val="clear" w:pos="8073"/>
              <w:tab w:val="right" w:leader="dot" w:pos="8640"/>
            </w:tabs>
          </w:pPr>
          <w:hyperlink w:anchor="__RefHeading___Toc90830_2054497345">
            <w:r>
              <w:rPr>
                <w:rStyle w:val="IndexLink"/>
                <w:rFonts w:ascii="Shofar" w:hAnsi="Shofar"/>
                <w:rtl/>
              </w:rPr>
              <w:t>על הגפן:</w:t>
            </w:r>
            <w:r>
              <w:rPr>
                <w:rStyle w:val="IndexLink"/>
                <w:rFonts w:ascii="Shofar" w:hAnsi="Shofar"/>
                <w:rtl/>
              </w:rPr>
              <w:tab/>
            </w:r>
            <w:r>
              <w:rPr>
                <w:rStyle w:val="IndexLink"/>
                <w:rFonts w:ascii="Shofar" w:hAnsi="Shofar"/>
              </w:rPr>
              <w:t>10</w:t>
            </w:r>
          </w:hyperlink>
        </w:p>
        <w:p w:rsidR="00643327" w:rsidRDefault="00B63280">
          <w:pPr>
            <w:pStyle w:val="TOC2"/>
            <w:tabs>
              <w:tab w:val="clear" w:pos="8357"/>
              <w:tab w:val="right" w:leader="dot" w:pos="8640"/>
            </w:tabs>
          </w:pPr>
          <w:hyperlink w:anchor="__RefHeading___Toc90832_2054497345">
            <w:r>
              <w:rPr>
                <w:rStyle w:val="IndexLink"/>
                <w:rFonts w:ascii="Shofar" w:hAnsi="Shofar"/>
                <w:rtl/>
              </w:rPr>
              <w:t>בורא נפשות:</w:t>
            </w:r>
            <w:r>
              <w:rPr>
                <w:rStyle w:val="IndexLink"/>
                <w:rFonts w:ascii="Shofar" w:hAnsi="Shofar"/>
                <w:rtl/>
              </w:rPr>
              <w:tab/>
            </w:r>
            <w:r>
              <w:rPr>
                <w:rStyle w:val="IndexLink"/>
                <w:rFonts w:ascii="Shofar" w:hAnsi="Shofar"/>
              </w:rPr>
              <w:t>10</w:t>
            </w:r>
          </w:hyperlink>
        </w:p>
        <w:p w:rsidR="00643327" w:rsidRDefault="00B63280">
          <w:pPr>
            <w:pStyle w:val="TOC2"/>
            <w:tabs>
              <w:tab w:val="clear" w:pos="8357"/>
              <w:tab w:val="right" w:leader="dot" w:pos="8640"/>
            </w:tabs>
          </w:pPr>
          <w:hyperlink w:anchor="__RefHeading___Toc90834_2054497345">
            <w:r>
              <w:rPr>
                <w:rStyle w:val="IndexLink"/>
                <w:rFonts w:ascii="Shofar" w:hAnsi="Shofar"/>
                <w:rtl/>
              </w:rPr>
              <w:t>עוד ענינים:</w:t>
            </w:r>
            <w:r>
              <w:rPr>
                <w:rStyle w:val="IndexLink"/>
                <w:rFonts w:ascii="Shofar" w:hAnsi="Shofar"/>
                <w:rtl/>
              </w:rPr>
              <w:tab/>
            </w:r>
            <w:r>
              <w:rPr>
                <w:rStyle w:val="IndexLink"/>
                <w:rFonts w:ascii="Shofar" w:hAnsi="Shofar"/>
              </w:rPr>
              <w:t>10</w:t>
            </w:r>
          </w:hyperlink>
        </w:p>
        <w:p w:rsidR="00643327" w:rsidRDefault="00B63280">
          <w:pPr>
            <w:pStyle w:val="TOC1"/>
          </w:pPr>
          <w:hyperlink w:anchor="__RefHeading___Toc90836_2054497345">
            <w:r>
              <w:rPr>
                <w:rStyle w:val="IndexLink"/>
                <w:rFonts w:ascii="Shofar" w:hAnsi="Shofar"/>
                <w:rtl/>
              </w:rPr>
              <w:t>איך לברך:</w:t>
            </w:r>
            <w:r>
              <w:rPr>
                <w:rStyle w:val="IndexLink"/>
                <w:rFonts w:ascii="Shofar" w:hAnsi="Shofar"/>
                <w:rtl/>
              </w:rPr>
              <w:tab/>
            </w:r>
            <w:r>
              <w:rPr>
                <w:rStyle w:val="IndexLink"/>
                <w:rFonts w:ascii="Shofar" w:hAnsi="Shofar"/>
              </w:rPr>
              <w:t>11</w:t>
            </w:r>
          </w:hyperlink>
        </w:p>
        <w:p w:rsidR="00643327" w:rsidRDefault="00B63280">
          <w:pPr>
            <w:pStyle w:val="TOC1"/>
          </w:pPr>
          <w:hyperlink w:anchor="__RefHeading___Toc90838_2054497345">
            <w:r>
              <w:rPr>
                <w:rStyle w:val="IndexLink"/>
                <w:rFonts w:ascii="Shofar" w:hAnsi="Shofar"/>
                <w:rtl/>
              </w:rPr>
              <w:t>ברכה שפוטר ברכה:</w:t>
            </w:r>
            <w:r>
              <w:rPr>
                <w:rStyle w:val="IndexLink"/>
                <w:rFonts w:ascii="Shofar" w:hAnsi="Shofar"/>
                <w:rtl/>
              </w:rPr>
              <w:tab/>
            </w:r>
            <w:r>
              <w:rPr>
                <w:rStyle w:val="IndexLink"/>
                <w:rFonts w:ascii="Shofar" w:hAnsi="Shofar"/>
              </w:rPr>
              <w:t>11</w:t>
            </w:r>
          </w:hyperlink>
        </w:p>
        <w:p w:rsidR="00643327" w:rsidRDefault="00B63280">
          <w:pPr>
            <w:pStyle w:val="TOC1"/>
          </w:pPr>
          <w:hyperlink w:anchor="__RefHeading___Toc90840_2054497345">
            <w:r>
              <w:rPr>
                <w:rStyle w:val="IndexLink"/>
                <w:rFonts w:ascii="Shofar" w:hAnsi="Shofar"/>
                <w:rtl/>
              </w:rPr>
              <w:t>כיצד ברכת אחד פוטר את חבריו.</w:t>
            </w:r>
            <w:r>
              <w:rPr>
                <w:rStyle w:val="IndexLink"/>
                <w:rFonts w:ascii="Shofar" w:hAnsi="Shofar"/>
                <w:rtl/>
              </w:rPr>
              <w:tab/>
            </w:r>
            <w:r>
              <w:rPr>
                <w:rStyle w:val="IndexLink"/>
                <w:rFonts w:ascii="Shofar" w:hAnsi="Shofar"/>
              </w:rPr>
              <w:t>11</w:t>
            </w:r>
          </w:hyperlink>
        </w:p>
        <w:p w:rsidR="00643327" w:rsidRDefault="00B63280">
          <w:pPr>
            <w:pStyle w:val="TOC1"/>
          </w:pPr>
          <w:hyperlink w:anchor="__RefHeading___Toc90842_2054497345">
            <w:r>
              <w:rPr>
                <w:rStyle w:val="IndexLink"/>
                <w:rFonts w:ascii="Shofar" w:hAnsi="Shofar"/>
                <w:rtl/>
              </w:rPr>
              <w:t>סדר ברכות</w:t>
            </w:r>
            <w:r>
              <w:rPr>
                <w:rStyle w:val="IndexLink"/>
                <w:rFonts w:ascii="Shofar" w:hAnsi="Shofar"/>
                <w:rtl/>
              </w:rPr>
              <w:tab/>
            </w:r>
            <w:r>
              <w:rPr>
                <w:rStyle w:val="IndexLink"/>
                <w:rFonts w:ascii="Shofar" w:hAnsi="Shofar"/>
              </w:rPr>
              <w:t>12</w:t>
            </w:r>
          </w:hyperlink>
        </w:p>
        <w:p w:rsidR="00643327" w:rsidRDefault="00B63280">
          <w:pPr>
            <w:pStyle w:val="TOC1"/>
          </w:pPr>
          <w:hyperlink w:anchor="__RefHeading___Toc107164_2054497345">
            <w:r>
              <w:rPr>
                <w:rStyle w:val="IndexLink"/>
                <w:rFonts w:ascii="Shofar" w:hAnsi="Shofar"/>
                <w:rtl/>
              </w:rPr>
              <w:t>ברכות הריח:</w:t>
            </w:r>
            <w:r>
              <w:rPr>
                <w:rStyle w:val="IndexLink"/>
                <w:rFonts w:ascii="Shofar" w:hAnsi="Shofar"/>
                <w:rtl/>
              </w:rPr>
              <w:tab/>
            </w:r>
            <w:r>
              <w:rPr>
                <w:rStyle w:val="IndexLink"/>
                <w:rFonts w:ascii="Shofar" w:hAnsi="Shofar"/>
              </w:rPr>
              <w:t>12</w:t>
            </w:r>
          </w:hyperlink>
        </w:p>
        <w:p w:rsidR="00643327" w:rsidRDefault="00B63280">
          <w:pPr>
            <w:pStyle w:val="TOC2"/>
            <w:tabs>
              <w:tab w:val="clear" w:pos="8357"/>
              <w:tab w:val="right" w:leader="dot" w:pos="8640"/>
            </w:tabs>
          </w:pPr>
          <w:hyperlink w:anchor="__RefHeading___Toc107166_2054497345">
            <w:r>
              <w:rPr>
                <w:rStyle w:val="IndexLink"/>
                <w:rFonts w:ascii="Shofar" w:hAnsi="Shofar"/>
                <w:rtl/>
              </w:rPr>
              <w:t>בורא עצי בשמים:</w:t>
            </w:r>
            <w:r>
              <w:rPr>
                <w:rStyle w:val="IndexLink"/>
                <w:rFonts w:ascii="Shofar" w:hAnsi="Shofar"/>
                <w:rtl/>
              </w:rPr>
              <w:tab/>
            </w:r>
            <w:r>
              <w:rPr>
                <w:rStyle w:val="IndexLink"/>
                <w:rFonts w:ascii="Shofar" w:hAnsi="Shofar"/>
              </w:rPr>
              <w:t>13</w:t>
            </w:r>
          </w:hyperlink>
        </w:p>
        <w:p w:rsidR="00643327" w:rsidRDefault="00B63280">
          <w:pPr>
            <w:pStyle w:val="TOC2"/>
            <w:tabs>
              <w:tab w:val="clear" w:pos="8357"/>
              <w:tab w:val="right" w:leader="dot" w:pos="8640"/>
            </w:tabs>
          </w:pPr>
          <w:hyperlink w:anchor="__RefHeading___Toc107168_2054497345">
            <w:r>
              <w:rPr>
                <w:rStyle w:val="IndexLink"/>
                <w:rFonts w:ascii="Shofar" w:hAnsi="Shofar"/>
                <w:rtl/>
              </w:rPr>
              <w:t>בורא עשבי בשמים:</w:t>
            </w:r>
            <w:r>
              <w:rPr>
                <w:rStyle w:val="IndexLink"/>
                <w:rFonts w:ascii="Shofar" w:hAnsi="Shofar"/>
                <w:rtl/>
              </w:rPr>
              <w:tab/>
            </w:r>
            <w:r>
              <w:rPr>
                <w:rStyle w:val="IndexLink"/>
                <w:rFonts w:ascii="Shofar" w:hAnsi="Shofar"/>
              </w:rPr>
              <w:t>13</w:t>
            </w:r>
          </w:hyperlink>
        </w:p>
        <w:p w:rsidR="00643327" w:rsidRDefault="00B63280">
          <w:pPr>
            <w:pStyle w:val="TOC2"/>
            <w:tabs>
              <w:tab w:val="clear" w:pos="8357"/>
              <w:tab w:val="right" w:leader="dot" w:pos="8640"/>
            </w:tabs>
          </w:pPr>
          <w:hyperlink w:anchor="__RefHeading___Toc107170_2054497345">
            <w:r>
              <w:rPr>
                <w:rStyle w:val="IndexLink"/>
                <w:rFonts w:ascii="Shofar" w:hAnsi="Shofar"/>
                <w:rtl/>
              </w:rPr>
              <w:t>בורא מיני בשמים:</w:t>
            </w:r>
            <w:r>
              <w:rPr>
                <w:rStyle w:val="IndexLink"/>
                <w:rFonts w:ascii="Shofar" w:hAnsi="Shofar"/>
                <w:rtl/>
              </w:rPr>
              <w:tab/>
            </w:r>
            <w:r>
              <w:rPr>
                <w:rStyle w:val="IndexLink"/>
                <w:rFonts w:ascii="Shofar" w:hAnsi="Shofar"/>
              </w:rPr>
              <w:t>13</w:t>
            </w:r>
          </w:hyperlink>
        </w:p>
        <w:p w:rsidR="00643327" w:rsidRDefault="00B63280">
          <w:pPr>
            <w:pStyle w:val="TOC2"/>
            <w:tabs>
              <w:tab w:val="clear" w:pos="8357"/>
              <w:tab w:val="right" w:leader="dot" w:pos="8640"/>
            </w:tabs>
          </w:pPr>
          <w:hyperlink w:anchor="__RefHeading___Toc107172_2054497345">
            <w:r>
              <w:rPr>
                <w:rStyle w:val="IndexLink"/>
                <w:rFonts w:ascii="Shofar" w:hAnsi="Shofar"/>
                <w:rtl/>
              </w:rPr>
              <w:t>בורא שמן ערב:</w:t>
            </w:r>
            <w:r>
              <w:rPr>
                <w:rStyle w:val="IndexLink"/>
                <w:rFonts w:ascii="Shofar" w:hAnsi="Shofar"/>
                <w:rtl/>
              </w:rPr>
              <w:tab/>
            </w:r>
            <w:r>
              <w:rPr>
                <w:rStyle w:val="IndexLink"/>
                <w:rFonts w:ascii="Shofar" w:hAnsi="Shofar"/>
              </w:rPr>
              <w:t>13</w:t>
            </w:r>
          </w:hyperlink>
        </w:p>
        <w:p w:rsidR="00643327" w:rsidRDefault="00B63280">
          <w:pPr>
            <w:pStyle w:val="TOC2"/>
            <w:tabs>
              <w:tab w:val="clear" w:pos="8357"/>
              <w:tab w:val="right" w:leader="dot" w:pos="8640"/>
            </w:tabs>
          </w:pPr>
          <w:hyperlink w:anchor="__RefHeading___Toc107174_2054497345">
            <w:r>
              <w:rPr>
                <w:rStyle w:val="IndexLink"/>
                <w:rFonts w:ascii="Shofar" w:hAnsi="Shofar"/>
                <w:rtl/>
              </w:rPr>
              <w:t>נותן ריח טוב בפירות:</w:t>
            </w:r>
            <w:r>
              <w:rPr>
                <w:rStyle w:val="IndexLink"/>
                <w:rFonts w:ascii="Shofar" w:hAnsi="Shofar"/>
                <w:rtl/>
              </w:rPr>
              <w:tab/>
            </w:r>
            <w:r>
              <w:rPr>
                <w:rStyle w:val="IndexLink"/>
                <w:rFonts w:ascii="Shofar" w:hAnsi="Shofar"/>
              </w:rPr>
              <w:t>13</w:t>
            </w:r>
          </w:hyperlink>
        </w:p>
        <w:p w:rsidR="00643327" w:rsidRDefault="00B63280">
          <w:pPr>
            <w:pStyle w:val="TOC2"/>
            <w:tabs>
              <w:tab w:val="clear" w:pos="8357"/>
              <w:tab w:val="right" w:leader="dot" w:pos="8640"/>
            </w:tabs>
          </w:pPr>
          <w:hyperlink w:anchor="__RefHeading___Toc107176_2054497345">
            <w:r>
              <w:rPr>
                <w:rStyle w:val="IndexLink"/>
                <w:rFonts w:ascii="Shofar" w:hAnsi="Shofar"/>
                <w:rtl/>
              </w:rPr>
              <w:t>סדר הברכות:</w:t>
            </w:r>
            <w:r>
              <w:rPr>
                <w:rStyle w:val="IndexLink"/>
                <w:rFonts w:ascii="Shofar" w:hAnsi="Shofar"/>
                <w:rtl/>
              </w:rPr>
              <w:tab/>
            </w:r>
            <w:r>
              <w:rPr>
                <w:rStyle w:val="IndexLink"/>
                <w:rFonts w:ascii="Shofar" w:hAnsi="Shofar"/>
              </w:rPr>
              <w:t>13</w:t>
            </w:r>
          </w:hyperlink>
        </w:p>
        <w:p w:rsidR="00643327" w:rsidRDefault="00B63280">
          <w:pPr>
            <w:pStyle w:val="TOC1"/>
          </w:pPr>
          <w:hyperlink w:anchor="__RefHeading___Toc90844_2054497345">
            <w:r>
              <w:rPr>
                <w:rStyle w:val="IndexLink"/>
                <w:rFonts w:ascii="Shofar" w:hAnsi="Shofar"/>
                <w:rtl/>
              </w:rPr>
              <w:t>ביאור משנה בנדה:</w:t>
            </w:r>
            <w:r>
              <w:rPr>
                <w:rStyle w:val="IndexLink"/>
                <w:rFonts w:ascii="Shofar" w:hAnsi="Shofar"/>
                <w:rtl/>
              </w:rPr>
              <w:tab/>
            </w:r>
            <w:r>
              <w:rPr>
                <w:rStyle w:val="IndexLink"/>
                <w:rFonts w:ascii="Shofar" w:hAnsi="Shofar"/>
              </w:rPr>
              <w:t>13</w:t>
            </w:r>
          </w:hyperlink>
        </w:p>
        <w:p w:rsidR="00643327" w:rsidRDefault="00B63280">
          <w:pPr>
            <w:pStyle w:val="TOC1"/>
          </w:pPr>
          <w:hyperlink w:anchor="__RefHeading___Toc107178_2054497345">
            <w:r>
              <w:rPr>
                <w:rStyle w:val="IndexLink"/>
                <w:rFonts w:ascii="Shofar" w:hAnsi="Shofar"/>
                <w:rtl/>
              </w:rPr>
              <w:t>הפסק:</w:t>
            </w:r>
            <w:r>
              <w:rPr>
                <w:rStyle w:val="IndexLink"/>
                <w:rFonts w:ascii="Shofar" w:hAnsi="Shofar"/>
                <w:rtl/>
              </w:rPr>
              <w:tab/>
            </w:r>
            <w:r>
              <w:rPr>
                <w:rStyle w:val="IndexLink"/>
                <w:rFonts w:ascii="Shofar" w:hAnsi="Shofar"/>
              </w:rPr>
              <w:t>14</w:t>
            </w:r>
          </w:hyperlink>
        </w:p>
        <w:p w:rsidR="00643327" w:rsidRDefault="00B63280">
          <w:pPr>
            <w:pStyle w:val="TOC1"/>
          </w:pPr>
          <w:hyperlink w:anchor="__RefHeading___Toc107180_2054497345">
            <w:r>
              <w:rPr>
                <w:rStyle w:val="IndexLink"/>
                <w:rFonts w:ascii="Shofar" w:hAnsi="Shofar"/>
                <w:rtl/>
              </w:rPr>
              <w:t>מלח:</w:t>
            </w:r>
            <w:r>
              <w:rPr>
                <w:rStyle w:val="IndexLink"/>
                <w:rFonts w:ascii="Shofar" w:hAnsi="Shofar"/>
                <w:rtl/>
              </w:rPr>
              <w:tab/>
            </w:r>
            <w:r>
              <w:rPr>
                <w:rStyle w:val="IndexLink"/>
                <w:rFonts w:ascii="Shofar" w:hAnsi="Shofar"/>
              </w:rPr>
              <w:t>14</w:t>
            </w:r>
          </w:hyperlink>
        </w:p>
        <w:p w:rsidR="00643327" w:rsidRDefault="00B63280">
          <w:pPr>
            <w:pStyle w:val="TOC1"/>
          </w:pPr>
          <w:hyperlink w:anchor="__RefHeading___Toc107182_2054497345">
            <w:r>
              <w:rPr>
                <w:rStyle w:val="IndexLink"/>
                <w:rFonts w:ascii="Shofar" w:hAnsi="Shofar"/>
                <w:rtl/>
              </w:rPr>
              <w:t>מוגמר:</w:t>
            </w:r>
            <w:r>
              <w:rPr>
                <w:rStyle w:val="IndexLink"/>
                <w:rFonts w:ascii="Shofar" w:hAnsi="Shofar"/>
                <w:rtl/>
              </w:rPr>
              <w:tab/>
            </w:r>
            <w:r>
              <w:rPr>
                <w:rStyle w:val="IndexLink"/>
                <w:rFonts w:ascii="Shofar" w:hAnsi="Shofar"/>
              </w:rPr>
              <w:t>14</w:t>
            </w:r>
          </w:hyperlink>
        </w:p>
        <w:p w:rsidR="00643327" w:rsidRDefault="00B63280">
          <w:pPr>
            <w:pStyle w:val="TOC1"/>
          </w:pPr>
          <w:hyperlink w:anchor="__RefHeading___Toc107184_2054497345">
            <w:r>
              <w:rPr>
                <w:rStyle w:val="IndexLink"/>
                <w:rFonts w:ascii="Shofar" w:hAnsi="Shofar"/>
                <w:rtl/>
              </w:rPr>
              <w:t>רפואה:</w:t>
            </w:r>
            <w:r>
              <w:rPr>
                <w:rStyle w:val="IndexLink"/>
                <w:rFonts w:ascii="Shofar" w:hAnsi="Shofar"/>
                <w:rtl/>
              </w:rPr>
              <w:tab/>
            </w:r>
            <w:r>
              <w:rPr>
                <w:rStyle w:val="IndexLink"/>
                <w:rFonts w:ascii="Shofar" w:hAnsi="Shofar"/>
              </w:rPr>
              <w:t>14</w:t>
            </w:r>
          </w:hyperlink>
        </w:p>
        <w:p w:rsidR="00643327" w:rsidRDefault="00B63280">
          <w:pPr>
            <w:pStyle w:val="TOC1"/>
          </w:pPr>
          <w:hyperlink w:anchor="__RefHeading___Toc107186_2054497345">
            <w:r>
              <w:rPr>
                <w:rStyle w:val="IndexLink"/>
                <w:rFonts w:ascii="Shofar" w:hAnsi="Shofar"/>
                <w:rtl/>
              </w:rPr>
              <w:t>גנאי לת"ח:</w:t>
            </w:r>
            <w:r>
              <w:rPr>
                <w:rStyle w:val="IndexLink"/>
                <w:rFonts w:ascii="Shofar" w:hAnsi="Shofar"/>
                <w:rtl/>
              </w:rPr>
              <w:tab/>
            </w:r>
            <w:r>
              <w:rPr>
                <w:rStyle w:val="IndexLink"/>
                <w:rFonts w:ascii="Shofar" w:hAnsi="Shofar"/>
              </w:rPr>
              <w:t>15</w:t>
            </w:r>
          </w:hyperlink>
          <w:r>
            <w:rPr>
              <w:rStyle w:val="IndexLink"/>
              <w:rFonts w:ascii="Shofar" w:hAnsi="Shofar"/>
              <w:rtl/>
            </w:rPr>
            <w:fldChar w:fldCharType="end"/>
          </w:r>
        </w:p>
      </w:sdtContent>
    </w:sdt>
    <w:p w:rsidR="00643327" w:rsidRDefault="00B63280">
      <w:pPr>
        <w:rPr>
          <w:rFonts w:ascii="Shofar" w:hAnsi="Shofar"/>
        </w:rPr>
      </w:pPr>
      <w:r>
        <w:br w:type="page"/>
      </w:r>
    </w:p>
    <w:p w:rsidR="00643327" w:rsidRDefault="00B63280">
      <w:pPr>
        <w:pStyle w:val="Heading1"/>
        <w:rPr>
          <w:rFonts w:ascii="Shofar" w:hAnsi="Shofar" w:cs="Shofar"/>
        </w:rPr>
      </w:pPr>
      <w:bookmarkStart w:id="0" w:name="__RefHeading___Toc90802_2054497345"/>
      <w:bookmarkEnd w:id="0"/>
      <w:r>
        <w:rPr>
          <w:rStyle w:val="EndnoteReference"/>
          <w:rFonts w:ascii="Shofar" w:hAnsi="Shofar" w:cs="Shofar"/>
          <w:rtl/>
        </w:rPr>
        <w:lastRenderedPageBreak/>
        <w:endnoteReference w:id="1"/>
      </w:r>
      <w:r>
        <w:rPr>
          <w:rFonts w:ascii="Shofar" w:hAnsi="Shofar" w:cs="Shofar"/>
          <w:rtl/>
        </w:rPr>
        <w:t>מקור לברכות:</w:t>
      </w:r>
    </w:p>
    <w:p w:rsidR="00643327" w:rsidRDefault="00B63280">
      <w:pPr>
        <w:pStyle w:val="Heading2"/>
        <w:rPr>
          <w:rFonts w:ascii="Shofar" w:hAnsi="Shofar" w:cs="Shofar"/>
        </w:rPr>
      </w:pPr>
      <w:bookmarkStart w:id="1" w:name="__RefHeading___Toc90804_2054497345"/>
      <w:bookmarkEnd w:id="1"/>
      <w:r>
        <w:rPr>
          <w:rFonts w:ascii="Shofar" w:hAnsi="Shofar" w:cs="Shofar"/>
          <w:rtl/>
        </w:rPr>
        <w:t>סיכום ראשון:</w:t>
      </w:r>
    </w:p>
    <w:p w:rsidR="00643327" w:rsidRDefault="00B63280">
      <w:pPr>
        <w:rPr>
          <w:rFonts w:ascii="Shofar" w:hAnsi="Shofar"/>
        </w:rPr>
      </w:pPr>
      <w:r>
        <w:rPr>
          <w:rFonts w:ascii="Shofar" w:hAnsi="Shofar"/>
          <w:rtl/>
        </w:rPr>
        <w:t>קודם ואחר אכילה</w:t>
      </w:r>
      <w:r>
        <w:rPr>
          <w:rStyle w:val="FootnoteReference"/>
          <w:rFonts w:ascii="Shofar" w:hAnsi="Shofar"/>
          <w:rtl/>
        </w:rPr>
        <w:footnoteReference w:id="1"/>
      </w:r>
      <w:r>
        <w:rPr>
          <w:rFonts w:ascii="Shofar" w:hAnsi="Shofar"/>
          <w:rtl/>
        </w:rPr>
        <w:t>, צריך כל ישראל לברך</w:t>
      </w:r>
      <w:r>
        <w:rPr>
          <w:rStyle w:val="EndnoteReference"/>
          <w:rFonts w:ascii="Shofar" w:hAnsi="Shofar"/>
          <w:rtl/>
        </w:rPr>
        <w:endnoteReference w:id="2"/>
      </w:r>
      <w:r>
        <w:rPr>
          <w:rFonts w:ascii="Shofar" w:hAnsi="Shofar"/>
          <w:rtl/>
        </w:rPr>
        <w:t xml:space="preserve">. יש </w:t>
      </w:r>
      <w:r>
        <w:rPr>
          <w:rFonts w:ascii="Shofar" w:hAnsi="Shofar"/>
          <w:b/>
          <w:bCs/>
          <w:rtl/>
        </w:rPr>
        <w:t>שלש</w:t>
      </w:r>
      <w:r>
        <w:rPr>
          <w:rFonts w:ascii="Shofar" w:hAnsi="Shofar"/>
          <w:rtl/>
        </w:rPr>
        <w:t xml:space="preserve"> מקורות לזה:</w:t>
      </w:r>
    </w:p>
    <w:p w:rsidR="00643327" w:rsidRDefault="00B63280" w:rsidP="008A6DF8">
      <w:pPr>
        <w:pStyle w:val="ListParagraph"/>
        <w:numPr>
          <w:ilvl w:val="0"/>
          <w:numId w:val="2"/>
        </w:numPr>
        <w:contextualSpacing w:val="0"/>
        <w:rPr>
          <w:rFonts w:ascii="Shofar" w:hAnsi="Shofar"/>
        </w:rPr>
      </w:pPr>
      <w:r>
        <w:rPr>
          <w:rFonts w:ascii="Shofar" w:hAnsi="Shofar"/>
          <w:rtl/>
        </w:rPr>
        <w:t>כ'</w:t>
      </w:r>
      <w:r>
        <w:rPr>
          <w:rStyle w:val="FootnoteReference"/>
          <w:rFonts w:ascii="Shofar" w:hAnsi="Shofar"/>
          <w:rtl/>
        </w:rPr>
        <w:footnoteReference w:id="2"/>
      </w:r>
      <w:r>
        <w:rPr>
          <w:rFonts w:ascii="Shofar" w:hAnsi="Shofar"/>
          <w:rtl/>
        </w:rPr>
        <w:t>, "קדש הילולים לה'." מז' שני הלולים. ד' אחד לברכה לפניו ואחד לברכה לאחריו.</w:t>
      </w:r>
      <w:r>
        <w:rPr>
          <w:rStyle w:val="EndnoteReference"/>
          <w:rFonts w:ascii="Shofar" w:hAnsi="Shofar"/>
          <w:rtl/>
        </w:rPr>
        <w:endnoteReference w:id="3"/>
      </w:r>
      <w:r>
        <w:rPr>
          <w:rFonts w:ascii="Shofar" w:hAnsi="Shofar"/>
          <w:rtl/>
        </w:rPr>
        <w:t xml:space="preserve"> </w:t>
      </w:r>
    </w:p>
    <w:p w:rsidR="00643327" w:rsidRDefault="00B63280">
      <w:pPr>
        <w:pStyle w:val="ListParagraph"/>
        <w:contextualSpacing w:val="0"/>
        <w:rPr>
          <w:rFonts w:ascii="Shofar" w:hAnsi="Shofar"/>
        </w:rPr>
      </w:pPr>
      <w:r>
        <w:rPr>
          <w:rFonts w:ascii="Shofar" w:hAnsi="Shofar"/>
          <w:rtl/>
        </w:rPr>
        <w:t xml:space="preserve">דוחה גמרא </w:t>
      </w:r>
      <w:r>
        <w:rPr>
          <w:rFonts w:ascii="Shofar" w:hAnsi="Shofar"/>
          <w:b/>
          <w:bCs/>
          <w:rtl/>
        </w:rPr>
        <w:t>שלש</w:t>
      </w:r>
      <w:r>
        <w:rPr>
          <w:rFonts w:ascii="Shofar" w:hAnsi="Shofar"/>
          <w:rtl/>
        </w:rPr>
        <w:t xml:space="preserve"> דיחויים:</w:t>
      </w:r>
    </w:p>
    <w:p w:rsidR="00643327" w:rsidRDefault="00B63280" w:rsidP="008A6DF8">
      <w:pPr>
        <w:pStyle w:val="ListParagraph"/>
        <w:numPr>
          <w:ilvl w:val="1"/>
          <w:numId w:val="2"/>
        </w:numPr>
        <w:contextualSpacing w:val="0"/>
        <w:rPr>
          <w:rFonts w:ascii="Shofar" w:hAnsi="Shofar"/>
        </w:rPr>
      </w:pPr>
      <w:r>
        <w:rPr>
          <w:rFonts w:ascii="Shofar" w:hAnsi="Shofar"/>
          <w:rtl/>
        </w:rPr>
        <w:t>אין פסוק מיותר. "הילול" אחד מלמד שצ' לחלל נטע רבעי קודם שיאכל אותם בחו"ל, ו"הילול" שני מלמד שאין נטע רבעי אלא על מה שעליו מהללים לויים (ורק אומ' שירה על היין).</w:t>
      </w:r>
    </w:p>
    <w:p w:rsidR="00643327" w:rsidRDefault="00B63280">
      <w:pPr>
        <w:pStyle w:val="ListParagraph"/>
        <w:ind w:left="1440"/>
        <w:contextualSpacing w:val="0"/>
        <w:rPr>
          <w:rFonts w:ascii="Shofar" w:hAnsi="Shofar"/>
        </w:rPr>
      </w:pPr>
      <w:r>
        <w:rPr>
          <w:rFonts w:ascii="Shofar" w:hAnsi="Shofar"/>
          <w:rtl/>
        </w:rPr>
        <w:t>דוחה גמ' את דרשה שניה בשני אופנים:</w:t>
      </w:r>
    </w:p>
    <w:p w:rsidR="00643327" w:rsidRDefault="00B63280" w:rsidP="008A6DF8">
      <w:pPr>
        <w:pStyle w:val="ListParagraph"/>
        <w:numPr>
          <w:ilvl w:val="2"/>
          <w:numId w:val="2"/>
        </w:numPr>
        <w:contextualSpacing w:val="0"/>
        <w:rPr>
          <w:rFonts w:ascii="Shofar" w:hAnsi="Shofar"/>
        </w:rPr>
      </w:pPr>
      <w:r>
        <w:rPr>
          <w:rFonts w:ascii="Shofar" w:hAnsi="Shofar"/>
          <w:rtl/>
        </w:rPr>
        <w:t>יש שלא ד' "הילול" לדרשה שניה, וסובר שיש נטע רבעי אף בשאר פירות. (חול' ר"ח ור"ש ברבי בזה).</w:t>
      </w:r>
    </w:p>
    <w:p w:rsidR="00643327" w:rsidRDefault="00B63280" w:rsidP="008A6DF8">
      <w:pPr>
        <w:pStyle w:val="ListParagraph"/>
        <w:numPr>
          <w:ilvl w:val="2"/>
          <w:numId w:val="2"/>
        </w:numPr>
        <w:contextualSpacing w:val="0"/>
        <w:rPr>
          <w:rFonts w:ascii="Shofar" w:hAnsi="Shofar"/>
        </w:rPr>
      </w:pPr>
      <w:r>
        <w:rPr>
          <w:rFonts w:ascii="Shofar" w:hAnsi="Shofar"/>
          <w:rtl/>
        </w:rPr>
        <w:t>יש שלא ד' "הילול" לדרשה שניה, אלא לומד אותו מג"ש.</w:t>
      </w:r>
      <w:r>
        <w:rPr>
          <w:rStyle w:val="FootnoteReference"/>
          <w:rFonts w:ascii="Shofar" w:hAnsi="Shofar"/>
          <w:rtl/>
        </w:rPr>
        <w:footnoteReference w:id="3"/>
      </w:r>
    </w:p>
    <w:p w:rsidR="00643327" w:rsidRDefault="00B63280">
      <w:pPr>
        <w:pStyle w:val="ListParagraph"/>
        <w:ind w:left="1440"/>
        <w:contextualSpacing w:val="0"/>
        <w:rPr>
          <w:rFonts w:ascii="Shofar" w:hAnsi="Shofar"/>
        </w:rPr>
      </w:pPr>
      <w:r>
        <w:rPr>
          <w:rFonts w:ascii="Shofar" w:hAnsi="Shofar"/>
          <w:rtl/>
        </w:rPr>
        <w:t>נמצא, אז, שדיחוי זה נתקיים רק לצד אחד במקור של שיטה אחת.</w:t>
      </w:r>
    </w:p>
    <w:p w:rsidR="00643327" w:rsidRDefault="00B63280" w:rsidP="008A6DF8">
      <w:pPr>
        <w:pStyle w:val="ListParagraph"/>
        <w:numPr>
          <w:ilvl w:val="1"/>
          <w:numId w:val="2"/>
        </w:numPr>
        <w:contextualSpacing w:val="0"/>
        <w:rPr>
          <w:rFonts w:ascii="Shofar" w:hAnsi="Shofar"/>
        </w:rPr>
      </w:pPr>
      <w:r>
        <w:rPr>
          <w:rFonts w:ascii="Shofar" w:hAnsi="Shofar"/>
          <w:rtl/>
        </w:rPr>
        <w:t xml:space="preserve">אין שני פסוקים מיותרים. אף אם הילול אחד מיותר, עדיין צ' שני פסוקים. </w:t>
      </w:r>
    </w:p>
    <w:p w:rsidR="00643327" w:rsidRDefault="00B63280">
      <w:pPr>
        <w:pStyle w:val="ListParagraph"/>
        <w:ind w:left="1440"/>
        <w:contextualSpacing w:val="0"/>
        <w:rPr>
          <w:rFonts w:ascii="Shofar" w:hAnsi="Shofar"/>
        </w:rPr>
      </w:pPr>
      <w:r>
        <w:rPr>
          <w:rFonts w:ascii="Shofar" w:hAnsi="Shofar"/>
          <w:rtl/>
        </w:rPr>
        <w:t>דוחה גמ' שדורשים הקרא לברכה לאחריו (שכ' בפ' ברכה שלאחר מקצת מזון ("ואכלת ושבעת וברכת")), ודורשים ברכה שלפניו בקו"ח. יש ? מקורות לברכה שלפניו:</w:t>
      </w:r>
    </w:p>
    <w:p w:rsidR="00643327" w:rsidRDefault="00B63280" w:rsidP="008A6DF8">
      <w:pPr>
        <w:pStyle w:val="ListParagraph"/>
        <w:numPr>
          <w:ilvl w:val="2"/>
          <w:numId w:val="2"/>
        </w:numPr>
        <w:contextualSpacing w:val="0"/>
        <w:rPr>
          <w:rFonts w:ascii="Shofar" w:hAnsi="Shofar"/>
        </w:rPr>
      </w:pPr>
      <w:r>
        <w:rPr>
          <w:rFonts w:ascii="Shofar" w:hAnsi="Shofar"/>
          <w:rtl/>
        </w:rPr>
        <w:t>דורשים קל וחומר:</w:t>
      </w:r>
    </w:p>
    <w:p w:rsidR="00643327" w:rsidRDefault="00B63280" w:rsidP="008A6DF8">
      <w:pPr>
        <w:pStyle w:val="ListParagraph"/>
        <w:numPr>
          <w:ilvl w:val="3"/>
          <w:numId w:val="2"/>
        </w:numPr>
        <w:contextualSpacing w:val="0"/>
        <w:rPr>
          <w:rFonts w:ascii="Shofar" w:hAnsi="Shofar"/>
        </w:rPr>
      </w:pPr>
      <w:r>
        <w:rPr>
          <w:rFonts w:ascii="Shofar" w:hAnsi="Shofar"/>
          <w:rtl/>
        </w:rPr>
        <w:t>דורשים קל וחומר מחיוב ברכה שלפניו. אם כשהוא שבע צריך לברך, כש"כ שכשהוא רעב צריך לברך</w:t>
      </w:r>
      <w:r>
        <w:rPr>
          <w:rStyle w:val="FootnoteReference"/>
          <w:rFonts w:ascii="Shofar" w:hAnsi="Shofar"/>
          <w:rtl/>
        </w:rPr>
        <w:footnoteReference w:id="4"/>
      </w:r>
      <w:r>
        <w:rPr>
          <w:rFonts w:ascii="Shofar" w:hAnsi="Shofar"/>
          <w:rtl/>
        </w:rPr>
        <w:t>.</w:t>
      </w:r>
      <w:r>
        <w:rPr>
          <w:rStyle w:val="FootnoteReference"/>
          <w:rFonts w:ascii="Shofar" w:hAnsi="Shofar"/>
          <w:rtl/>
        </w:rPr>
        <w:footnoteReference w:id="5"/>
      </w:r>
    </w:p>
    <w:p w:rsidR="00643327" w:rsidRDefault="00B63280" w:rsidP="008A6DF8">
      <w:pPr>
        <w:pStyle w:val="ListParagraph"/>
        <w:numPr>
          <w:ilvl w:val="3"/>
          <w:numId w:val="2"/>
        </w:numPr>
        <w:contextualSpacing w:val="0"/>
        <w:rPr>
          <w:rFonts w:ascii="Shofar" w:hAnsi="Shofar"/>
        </w:rPr>
      </w:pPr>
      <w:r>
        <w:rPr>
          <w:rFonts w:ascii="Shofar" w:hAnsi="Shofar"/>
          <w:rtl/>
        </w:rPr>
        <w:t>דורשים קל וחומר מתורה, שלא כ' שצ' לברך עליו לאחריו, וצ' לברך עליו לפניו; כש"כ מזון, שכ' שצ' לברך עליו לאחריו, צ' לברך עליו לאחריו.</w:t>
      </w:r>
      <w:r w:rsidR="00C04695">
        <w:rPr>
          <w:rFonts w:ascii="Shofar" w:hAnsi="Shofar" w:hint="cs"/>
          <w:rtl/>
        </w:rPr>
        <w:t xml:space="preserve"> גמ' דוחה את זה, כיון שתורה חיי עולם הוא.</w:t>
      </w:r>
      <w:r w:rsidR="00C04695" w:rsidRPr="00C04695">
        <w:rPr>
          <w:rStyle w:val="FootnoteReference"/>
          <w:rFonts w:ascii="Shofar" w:hAnsi="Shofar"/>
          <w:rtl/>
        </w:rPr>
        <w:t xml:space="preserve"> </w:t>
      </w:r>
      <w:r w:rsidR="00C04695">
        <w:rPr>
          <w:rStyle w:val="FootnoteReference"/>
          <w:rFonts w:ascii="Shofar" w:hAnsi="Shofar"/>
          <w:rtl/>
        </w:rPr>
        <w:footnoteReference w:id="6"/>
      </w:r>
    </w:p>
    <w:p w:rsidR="00643327" w:rsidRDefault="00B63280" w:rsidP="008A6DF8">
      <w:pPr>
        <w:pStyle w:val="ListParagraph"/>
        <w:numPr>
          <w:ilvl w:val="2"/>
          <w:numId w:val="2"/>
        </w:numPr>
        <w:contextualSpacing w:val="0"/>
        <w:rPr>
          <w:rFonts w:ascii="Shofar" w:hAnsi="Shofar"/>
        </w:rPr>
      </w:pPr>
      <w:r>
        <w:rPr>
          <w:rFonts w:ascii="Shofar" w:hAnsi="Shofar"/>
          <w:rtl/>
        </w:rPr>
        <w:t>כ', "אשר נתן לך," שמחייב ברכה משנתן לך. זה רק יחייב מה שהוא בכלל קרא של "ואכלת ושבעת" (עיין לקמן),  ששם כ'.</w:t>
      </w:r>
      <w:r>
        <w:rPr>
          <w:rStyle w:val="FootnoteReference"/>
          <w:rFonts w:ascii="Shofar" w:hAnsi="Shofar"/>
          <w:rtl/>
        </w:rPr>
        <w:footnoteReference w:id="7"/>
      </w:r>
    </w:p>
    <w:p w:rsidR="00643327" w:rsidRDefault="00B63280" w:rsidP="008A6DF8">
      <w:pPr>
        <w:pStyle w:val="ListParagraph"/>
        <w:numPr>
          <w:ilvl w:val="2"/>
          <w:numId w:val="2"/>
        </w:numPr>
        <w:contextualSpacing w:val="0"/>
        <w:rPr>
          <w:rFonts w:ascii="Shofar" w:hAnsi="Shofar"/>
        </w:rPr>
      </w:pPr>
      <w:r>
        <w:rPr>
          <w:rFonts w:ascii="Shofar" w:hAnsi="Shofar"/>
          <w:rtl/>
        </w:rPr>
        <w:t>כ', "וברך את לחמך," שאומר שצ' לברך על לחם. רק נקרא לחם קודם אכילה. אבל, זה רק מקור ללחם.</w:t>
      </w:r>
      <w:r>
        <w:rPr>
          <w:rStyle w:val="FootnoteReference"/>
          <w:rFonts w:ascii="Shofar" w:hAnsi="Shofar"/>
          <w:rtl/>
        </w:rPr>
        <w:footnoteReference w:id="8"/>
      </w:r>
    </w:p>
    <w:p w:rsidR="00643327" w:rsidRDefault="00B63280" w:rsidP="008A6DF8">
      <w:pPr>
        <w:pStyle w:val="ListParagraph"/>
        <w:numPr>
          <w:ilvl w:val="2"/>
          <w:numId w:val="2"/>
        </w:numPr>
        <w:contextualSpacing w:val="0"/>
        <w:rPr>
          <w:rFonts w:ascii="Shofar" w:hAnsi="Shofar"/>
        </w:rPr>
      </w:pPr>
      <w:r>
        <w:rPr>
          <w:rFonts w:ascii="Shofar" w:hAnsi="Shofar"/>
          <w:rtl/>
        </w:rPr>
        <w:t>כ', "</w:t>
      </w:r>
      <w:r>
        <w:rPr>
          <w:rFonts w:ascii="Times New Roman" w:hAnsi="Times New Roman" w:cs="Times New Roman"/>
          <w:rtl/>
        </w:rPr>
        <w:t>…</w:t>
      </w:r>
      <w:r>
        <w:rPr>
          <w:rFonts w:ascii="Shofar" w:hAnsi="Shofar"/>
          <w:rtl/>
        </w:rPr>
        <w:t xml:space="preserve"> כי הוא יברך הזבח."</w:t>
      </w:r>
      <w:r>
        <w:rPr>
          <w:rStyle w:val="EndnoteReference"/>
          <w:rFonts w:ascii="Shofar" w:hAnsi="Shofar"/>
          <w:rtl/>
        </w:rPr>
        <w:endnoteReference w:id="4"/>
      </w:r>
      <w:r>
        <w:rPr>
          <w:rStyle w:val="FootnoteReference"/>
          <w:rFonts w:ascii="Shofar" w:hAnsi="Shofar"/>
          <w:rtl/>
        </w:rPr>
        <w:footnoteReference w:id="9"/>
      </w:r>
      <w:r w:rsidR="00482DA7">
        <w:rPr>
          <w:rStyle w:val="FootnoteReference"/>
          <w:rFonts w:ascii="Shofar" w:hAnsi="Shofar"/>
          <w:rtl/>
        </w:rPr>
        <w:footnoteReference w:id="10"/>
      </w:r>
    </w:p>
    <w:p w:rsidR="00643327" w:rsidRDefault="00B63280" w:rsidP="008A6DF8">
      <w:pPr>
        <w:pStyle w:val="ListParagraph"/>
        <w:numPr>
          <w:ilvl w:val="1"/>
          <w:numId w:val="2"/>
        </w:numPr>
        <w:contextualSpacing w:val="0"/>
        <w:rPr>
          <w:rFonts w:ascii="Shofar" w:hAnsi="Shofar"/>
        </w:rPr>
      </w:pPr>
      <w:r>
        <w:rPr>
          <w:rFonts w:ascii="Shofar" w:hAnsi="Shofar"/>
          <w:rtl/>
        </w:rPr>
        <w:t>לא יכולים ללמד מכאן לשאר מאכלים. אם נוהג רק בענבים, יש לפרוך שיש בהם חיוב לתת עוללות לעניים. אם נוהג בכל נטוע, יש לפרוך שהוא נטוע (משא"כ בשר וכדו').</w:t>
      </w:r>
    </w:p>
    <w:p w:rsidR="00643327" w:rsidRDefault="00B63280" w:rsidP="008A6DF8">
      <w:pPr>
        <w:pStyle w:val="ListParagraph"/>
        <w:numPr>
          <w:ilvl w:val="0"/>
          <w:numId w:val="2"/>
        </w:numPr>
        <w:contextualSpacing w:val="0"/>
        <w:rPr>
          <w:rFonts w:ascii="Shofar" w:hAnsi="Shofar"/>
        </w:rPr>
      </w:pPr>
      <w:r>
        <w:rPr>
          <w:rFonts w:ascii="Shofar" w:hAnsi="Shofar"/>
          <w:rtl/>
        </w:rPr>
        <w:t xml:space="preserve"> כ', "ואכלת ושבעת וברכת." זה אומר שאחר אכילה, צריך לברך. צריך לברך לפני אכילה ממקורות שהזכרנו. גמ' מז' </w:t>
      </w:r>
      <w:r>
        <w:rPr>
          <w:rFonts w:ascii="Shofar" w:hAnsi="Shofar"/>
          <w:b/>
          <w:bCs/>
          <w:rtl/>
        </w:rPr>
        <w:t>שני</w:t>
      </w:r>
      <w:r>
        <w:rPr>
          <w:rFonts w:ascii="Shofar" w:hAnsi="Shofar"/>
          <w:rtl/>
        </w:rPr>
        <w:t xml:space="preserve"> צדדים על איזה אוכל מחייב ברכה:</w:t>
      </w:r>
    </w:p>
    <w:p w:rsidR="00643327" w:rsidRDefault="00B63280" w:rsidP="008A6DF8">
      <w:pPr>
        <w:pStyle w:val="ListParagraph"/>
        <w:numPr>
          <w:ilvl w:val="1"/>
          <w:numId w:val="2"/>
        </w:numPr>
        <w:contextualSpacing w:val="0"/>
        <w:rPr>
          <w:rFonts w:ascii="Shofar" w:hAnsi="Shofar"/>
        </w:rPr>
      </w:pPr>
      <w:r>
        <w:rPr>
          <w:rFonts w:ascii="Shofar" w:hAnsi="Shofar"/>
          <w:rtl/>
        </w:rPr>
        <w:t>פת (שכ' לפניו, "תאכל בה לחם"). אז, דוחה שא"א ללמוד מלחם כיון שחייב בחלה.</w:t>
      </w:r>
    </w:p>
    <w:p w:rsidR="00643327" w:rsidRDefault="00B63280">
      <w:pPr>
        <w:pStyle w:val="ListParagraph"/>
        <w:ind w:left="1440"/>
        <w:contextualSpacing w:val="0"/>
        <w:rPr>
          <w:rFonts w:ascii="Shofar" w:hAnsi="Shofar"/>
        </w:rPr>
      </w:pPr>
      <w:r>
        <w:rPr>
          <w:rFonts w:ascii="Shofar" w:hAnsi="Shofar"/>
          <w:rtl/>
        </w:rPr>
        <w:t>לא יכול ללמוד בצה"ש מלחם וענבים, ששניהם נק' על מזבח. לא יכול ללמוד בצה"ש מלחם ונטע, ששניהם נטועים.</w:t>
      </w:r>
    </w:p>
    <w:p w:rsidR="00643327" w:rsidRDefault="00B63280" w:rsidP="008A6DF8">
      <w:pPr>
        <w:pStyle w:val="ListParagraph"/>
        <w:numPr>
          <w:ilvl w:val="1"/>
          <w:numId w:val="2"/>
        </w:numPr>
        <w:contextualSpacing w:val="0"/>
        <w:rPr>
          <w:rFonts w:ascii="Shofar" w:hAnsi="Shofar"/>
        </w:rPr>
      </w:pPr>
      <w:r>
        <w:rPr>
          <w:rFonts w:ascii="Shofar" w:hAnsi="Shofar"/>
          <w:rtl/>
        </w:rPr>
        <w:lastRenderedPageBreak/>
        <w:t>שבע מינים</w:t>
      </w:r>
      <w:r>
        <w:rPr>
          <w:rStyle w:val="FootnoteReference"/>
          <w:rFonts w:ascii="Shofar" w:hAnsi="Shofar"/>
          <w:rtl/>
        </w:rPr>
        <w:footnoteReference w:id="11"/>
      </w:r>
      <w:r>
        <w:rPr>
          <w:rStyle w:val="FootnoteReference"/>
          <w:rFonts w:ascii="Shofar" w:hAnsi="Shofar"/>
          <w:rtl/>
        </w:rPr>
        <w:footnoteReference w:id="12"/>
      </w:r>
      <w:r>
        <w:rPr>
          <w:rFonts w:ascii="Shofar" w:hAnsi="Shofar"/>
          <w:rtl/>
        </w:rPr>
        <w:t xml:space="preserve"> (שכ' לפניו, "ארץ חטה ושעורה…"). אז, דוחה שא"א ללמד משבעת המינים כיון שחייבים בבכורים.</w:t>
      </w:r>
    </w:p>
    <w:p w:rsidR="00643327" w:rsidRDefault="00B63280">
      <w:pPr>
        <w:pStyle w:val="ListParagraph"/>
        <w:ind w:left="1440"/>
        <w:contextualSpacing w:val="0"/>
        <w:rPr>
          <w:rFonts w:ascii="Shofar" w:hAnsi="Shofar"/>
        </w:rPr>
      </w:pPr>
      <w:r>
        <w:rPr>
          <w:rFonts w:ascii="Shofar" w:hAnsi="Shofar"/>
          <w:rtl/>
        </w:rPr>
        <w:t>לא יכול ללמוד בצה"ש משבעת המינים וענבים, ששניהם חייבים בביכורים. לא יכול ללמוד בצה"ש משבעת המינים ונטע, ששניהם נטועים.</w:t>
      </w:r>
    </w:p>
    <w:p w:rsidR="00643327" w:rsidRDefault="00B63280" w:rsidP="008A6DF8">
      <w:pPr>
        <w:pStyle w:val="ListParagraph"/>
        <w:numPr>
          <w:ilvl w:val="0"/>
          <w:numId w:val="2"/>
        </w:numPr>
        <w:contextualSpacing w:val="0"/>
        <w:rPr>
          <w:rFonts w:ascii="Shofar" w:hAnsi="Shofar"/>
        </w:rPr>
      </w:pPr>
      <w:r>
        <w:rPr>
          <w:rFonts w:ascii="Shofar" w:hAnsi="Shofar"/>
          <w:rtl/>
        </w:rPr>
        <w:t>חייב מסברה</w:t>
      </w:r>
      <w:r>
        <w:rPr>
          <w:rStyle w:val="EndnoteReference"/>
          <w:rFonts w:ascii="Shofar" w:hAnsi="Shofar"/>
          <w:rtl/>
        </w:rPr>
        <w:endnoteReference w:id="5"/>
      </w:r>
      <w:r>
        <w:rPr>
          <w:rFonts w:ascii="Shofar" w:hAnsi="Shofar"/>
          <w:rtl/>
        </w:rPr>
        <w:t xml:space="preserve"> (אסור לו לאדם להנות בלי ברכה). סברה זה מחייב כל אכילה בברכה לפניו ולאחריו.</w:t>
      </w:r>
      <w:r>
        <w:rPr>
          <w:rStyle w:val="FootnoteReference"/>
          <w:rFonts w:ascii="Shofar" w:hAnsi="Shofar"/>
          <w:rtl/>
        </w:rPr>
        <w:footnoteReference w:id="13"/>
      </w:r>
    </w:p>
    <w:p w:rsidR="00643327" w:rsidRDefault="00643327">
      <w:pPr>
        <w:rPr>
          <w:rFonts w:ascii="Shofar" w:hAnsi="Shofar"/>
        </w:rPr>
      </w:pPr>
    </w:p>
    <w:p w:rsidR="00643327" w:rsidRDefault="00B63280">
      <w:pPr>
        <w:pStyle w:val="Heading2"/>
        <w:rPr>
          <w:rFonts w:ascii="Shofar" w:hAnsi="Shofar" w:cs="Shofar"/>
        </w:rPr>
      </w:pPr>
      <w:bookmarkStart w:id="2" w:name="__RefHeading___Toc90806_2054497345"/>
      <w:bookmarkEnd w:id="2"/>
      <w:r>
        <w:rPr>
          <w:rFonts w:ascii="Shofar" w:hAnsi="Shofar" w:cs="Shofar"/>
          <w:rtl/>
        </w:rPr>
        <w:t>סיכום שני:</w:t>
      </w:r>
    </w:p>
    <w:p w:rsidR="00643327" w:rsidRDefault="00B63280">
      <w:pPr>
        <w:rPr>
          <w:rFonts w:ascii="Shofar" w:hAnsi="Shofar"/>
        </w:rPr>
      </w:pPr>
      <w:r>
        <w:rPr>
          <w:rFonts w:ascii="Shofar" w:hAnsi="Shofar"/>
          <w:rtl/>
        </w:rPr>
        <w:t xml:space="preserve">על אכילה שהוא דרכו לאכול, יש </w:t>
      </w:r>
      <w:r>
        <w:rPr>
          <w:rFonts w:ascii="Shofar" w:hAnsi="Shofar"/>
          <w:b/>
          <w:bCs/>
          <w:rtl/>
        </w:rPr>
        <w:t>שני</w:t>
      </w:r>
      <w:r>
        <w:rPr>
          <w:rFonts w:ascii="Shofar" w:hAnsi="Shofar"/>
          <w:rtl/>
        </w:rPr>
        <w:t xml:space="preserve"> ברכות:</w:t>
      </w:r>
    </w:p>
    <w:p w:rsidR="00643327" w:rsidRDefault="00B63280" w:rsidP="008A6DF8">
      <w:pPr>
        <w:pStyle w:val="ListParagraph"/>
        <w:numPr>
          <w:ilvl w:val="0"/>
          <w:numId w:val="3"/>
        </w:numPr>
        <w:contextualSpacing w:val="0"/>
        <w:rPr>
          <w:rFonts w:ascii="Shofar" w:hAnsi="Shofar"/>
        </w:rPr>
      </w:pPr>
      <w:r>
        <w:rPr>
          <w:rFonts w:ascii="Shofar" w:hAnsi="Shofar"/>
          <w:b/>
          <w:bCs/>
          <w:rtl/>
        </w:rPr>
        <w:t>לפניו</w:t>
      </w:r>
      <w:r>
        <w:rPr>
          <w:rFonts w:ascii="Shofar" w:hAnsi="Shofar"/>
          <w:rtl/>
        </w:rPr>
        <w:t>. נבאר המקור לזה:</w:t>
      </w:r>
    </w:p>
    <w:p w:rsidR="00643327" w:rsidRDefault="00B63280" w:rsidP="008A6DF8">
      <w:pPr>
        <w:pStyle w:val="ListParagraph"/>
        <w:numPr>
          <w:ilvl w:val="1"/>
          <w:numId w:val="3"/>
        </w:numPr>
        <w:contextualSpacing w:val="0"/>
        <w:rPr>
          <w:rFonts w:ascii="Shofar" w:hAnsi="Shofar"/>
        </w:rPr>
      </w:pPr>
      <w:r>
        <w:rPr>
          <w:rFonts w:ascii="Shofar" w:hAnsi="Shofar"/>
          <w:rtl/>
        </w:rPr>
        <w:t xml:space="preserve">פת. מצאנו </w:t>
      </w:r>
      <w:r w:rsidR="00F134EB">
        <w:rPr>
          <w:rFonts w:ascii="Shofar" w:hAnsi="Shofar" w:hint="cs"/>
          <w:b/>
          <w:bCs/>
          <w:rtl/>
        </w:rPr>
        <w:t>שש</w:t>
      </w:r>
      <w:r>
        <w:rPr>
          <w:rFonts w:ascii="Shofar" w:hAnsi="Shofar"/>
          <w:rtl/>
        </w:rPr>
        <w:t xml:space="preserve"> מקורות (ו</w:t>
      </w:r>
      <w:r>
        <w:rPr>
          <w:rFonts w:ascii="Shofar" w:hAnsi="Shofar"/>
          <w:b/>
          <w:bCs/>
          <w:rtl/>
        </w:rPr>
        <w:t>אחד</w:t>
      </w:r>
      <w:r>
        <w:rPr>
          <w:rFonts w:ascii="Shofar" w:hAnsi="Shofar"/>
          <w:rtl/>
        </w:rPr>
        <w:t xml:space="preserve"> נדחה)</w:t>
      </w:r>
      <w:r>
        <w:rPr>
          <w:rStyle w:val="EndnoteReference"/>
          <w:rFonts w:ascii="Shofar" w:hAnsi="Shofar"/>
          <w:rtl/>
        </w:rPr>
        <w:endnoteReference w:id="6"/>
      </w:r>
      <w:r>
        <w:rPr>
          <w:rFonts w:ascii="Shofar" w:hAnsi="Shofar"/>
          <w:rtl/>
        </w:rPr>
        <w:t>:</w:t>
      </w:r>
    </w:p>
    <w:p w:rsidR="00643327" w:rsidRDefault="00B63280" w:rsidP="008A6DF8">
      <w:pPr>
        <w:pStyle w:val="ListParagraph"/>
        <w:numPr>
          <w:ilvl w:val="2"/>
          <w:numId w:val="3"/>
        </w:numPr>
        <w:contextualSpacing w:val="0"/>
        <w:rPr>
          <w:rFonts w:ascii="Shofar" w:hAnsi="Shofar"/>
        </w:rPr>
      </w:pPr>
      <w:r>
        <w:rPr>
          <w:rFonts w:ascii="Shofar" w:hAnsi="Shofar"/>
          <w:rtl/>
        </w:rPr>
        <w:t>כ', "קדש הלולים לה'." לשון רבים של הלולים אומר לנו שני חיובים לברך, אחד קודם ואחד אחר אכילה.</w:t>
      </w:r>
    </w:p>
    <w:p w:rsidR="00643327" w:rsidRDefault="00B63280">
      <w:pPr>
        <w:pStyle w:val="ListParagraph"/>
        <w:ind w:left="2160"/>
        <w:contextualSpacing w:val="0"/>
        <w:rPr>
          <w:rFonts w:ascii="Shofar" w:hAnsi="Shofar"/>
        </w:rPr>
      </w:pPr>
      <w:r>
        <w:rPr>
          <w:rFonts w:ascii="Shofar" w:hAnsi="Shofar"/>
          <w:rtl/>
        </w:rPr>
        <w:t>דוחה גמרא שצריכים חד "הילול" לומר שצריך לחלל נטע רבעי כדי לאכלו בחו"ל. גם יכולים לדחות אם חיוב נטע"ר נוהג רק בענבים.</w:t>
      </w:r>
    </w:p>
    <w:p w:rsidR="00643327" w:rsidRDefault="00B63280" w:rsidP="008A6DF8">
      <w:pPr>
        <w:pStyle w:val="ListParagraph"/>
        <w:numPr>
          <w:ilvl w:val="2"/>
          <w:numId w:val="3"/>
        </w:numPr>
        <w:contextualSpacing w:val="0"/>
        <w:rPr>
          <w:rFonts w:ascii="Shofar" w:hAnsi="Shofar"/>
        </w:rPr>
      </w:pPr>
      <w:r>
        <w:rPr>
          <w:rFonts w:ascii="Shofar" w:hAnsi="Shofar"/>
          <w:rtl/>
        </w:rPr>
        <w:t>חייב אדם לברך אחר אכילת פת (עיין לקמן, שנבאר שני מקורות לזה). מזה לומ' קו"ח לחייב אותו לברך קודם אכילה, כשהוא רעב. (על"ע שהזכרנו שני קו"ח.)</w:t>
      </w:r>
    </w:p>
    <w:p w:rsidR="00643327" w:rsidRDefault="00B63280" w:rsidP="008A6DF8">
      <w:pPr>
        <w:pStyle w:val="ListParagraph"/>
        <w:numPr>
          <w:ilvl w:val="2"/>
          <w:numId w:val="3"/>
        </w:numPr>
        <w:contextualSpacing w:val="0"/>
        <w:rPr>
          <w:rFonts w:ascii="Shofar" w:hAnsi="Shofar"/>
        </w:rPr>
      </w:pPr>
      <w:r>
        <w:rPr>
          <w:rFonts w:ascii="Shofar" w:hAnsi="Shofar"/>
          <w:rtl/>
        </w:rPr>
        <w:t>כ', "אשר נתן לך," שמחייב ברכה משנתן לך.</w:t>
      </w:r>
    </w:p>
    <w:p w:rsidR="00643327" w:rsidRDefault="00B63280" w:rsidP="008A6DF8">
      <w:pPr>
        <w:pStyle w:val="ListParagraph"/>
        <w:numPr>
          <w:ilvl w:val="2"/>
          <w:numId w:val="3"/>
        </w:numPr>
        <w:contextualSpacing w:val="0"/>
        <w:rPr>
          <w:rFonts w:ascii="Shofar" w:hAnsi="Shofar"/>
        </w:rPr>
      </w:pPr>
      <w:r>
        <w:rPr>
          <w:rFonts w:ascii="Shofar" w:hAnsi="Shofar"/>
          <w:rtl/>
        </w:rPr>
        <w:t>כ', "ברך את לחמך" שמחייב לברך בשעה שהוא לחם.</w:t>
      </w:r>
    </w:p>
    <w:p w:rsidR="00643327" w:rsidRDefault="00B63280" w:rsidP="008A6DF8">
      <w:pPr>
        <w:pStyle w:val="ListParagraph"/>
        <w:numPr>
          <w:ilvl w:val="2"/>
          <w:numId w:val="3"/>
        </w:numPr>
        <w:contextualSpacing w:val="0"/>
        <w:rPr>
          <w:rFonts w:ascii="Shofar" w:hAnsi="Shofar"/>
        </w:rPr>
      </w:pPr>
      <w:r>
        <w:rPr>
          <w:rFonts w:ascii="Shofar" w:hAnsi="Shofar"/>
          <w:rtl/>
        </w:rPr>
        <w:t>כ', "הוא יברך את הזבח."</w:t>
      </w:r>
      <w:r>
        <w:rPr>
          <w:rStyle w:val="EndnoteReference"/>
          <w:rFonts w:ascii="Shofar" w:hAnsi="Shofar"/>
          <w:rtl/>
        </w:rPr>
        <w:endnoteReference w:id="7"/>
      </w:r>
    </w:p>
    <w:p w:rsidR="00643327" w:rsidRDefault="00B63280" w:rsidP="008A6DF8">
      <w:pPr>
        <w:pStyle w:val="ListParagraph"/>
        <w:numPr>
          <w:ilvl w:val="2"/>
          <w:numId w:val="3"/>
        </w:numPr>
        <w:contextualSpacing w:val="0"/>
        <w:rPr>
          <w:rFonts w:ascii="Shofar" w:hAnsi="Shofar"/>
        </w:rPr>
      </w:pPr>
      <w:r>
        <w:rPr>
          <w:rFonts w:ascii="Shofar" w:hAnsi="Shofar"/>
          <w:rtl/>
        </w:rPr>
        <w:t xml:space="preserve">יש סברה שיחייב אותו מדרבנן (אסור להנות בלי ברכה). </w:t>
      </w:r>
    </w:p>
    <w:p w:rsidR="00643327" w:rsidRDefault="00B63280" w:rsidP="008A6DF8">
      <w:pPr>
        <w:pStyle w:val="ListParagraph"/>
        <w:numPr>
          <w:ilvl w:val="1"/>
          <w:numId w:val="3"/>
        </w:numPr>
        <w:contextualSpacing w:val="0"/>
        <w:rPr>
          <w:rFonts w:ascii="Shofar" w:hAnsi="Shofar"/>
        </w:rPr>
      </w:pPr>
      <w:r>
        <w:rPr>
          <w:rFonts w:ascii="Shofar" w:hAnsi="Shofar"/>
          <w:rtl/>
        </w:rPr>
        <w:t xml:space="preserve">ענבים. מצאנו </w:t>
      </w:r>
      <w:r w:rsidR="00F76909">
        <w:rPr>
          <w:rFonts w:ascii="Shofar" w:hAnsi="Shofar" w:hint="cs"/>
          <w:b/>
          <w:bCs/>
          <w:rtl/>
        </w:rPr>
        <w:t>שני</w:t>
      </w:r>
      <w:r>
        <w:rPr>
          <w:rFonts w:ascii="Shofar" w:hAnsi="Shofar"/>
          <w:rtl/>
        </w:rPr>
        <w:t xml:space="preserve"> מקורות (ו</w:t>
      </w:r>
      <w:r>
        <w:rPr>
          <w:rFonts w:ascii="Shofar" w:hAnsi="Shofar"/>
          <w:b/>
          <w:bCs/>
          <w:rtl/>
        </w:rPr>
        <w:t>אחד</w:t>
      </w:r>
      <w:r>
        <w:rPr>
          <w:rFonts w:ascii="Shofar" w:hAnsi="Shofar"/>
          <w:rtl/>
        </w:rPr>
        <w:t xml:space="preserve"> נדחה):</w:t>
      </w:r>
    </w:p>
    <w:p w:rsidR="00643327" w:rsidRDefault="00B63280" w:rsidP="008A6DF8">
      <w:pPr>
        <w:pStyle w:val="ListParagraph"/>
        <w:numPr>
          <w:ilvl w:val="2"/>
          <w:numId w:val="3"/>
        </w:numPr>
        <w:contextualSpacing w:val="0"/>
        <w:rPr>
          <w:rFonts w:ascii="Shofar" w:hAnsi="Shofar"/>
        </w:rPr>
      </w:pPr>
      <w:r>
        <w:rPr>
          <w:rFonts w:ascii="Shofar" w:hAnsi="Shofar"/>
          <w:rtl/>
        </w:rPr>
        <w:t>כ', "קדש הלולים לה'." לשון רבים של הלולים אומר לנו שני חיובים לברך, אחד קודם ואחד אחר אכילה.</w:t>
      </w:r>
    </w:p>
    <w:p w:rsidR="00643327" w:rsidRDefault="00B63280">
      <w:pPr>
        <w:pStyle w:val="ListParagraph"/>
        <w:ind w:left="2160"/>
        <w:contextualSpacing w:val="0"/>
        <w:rPr>
          <w:rFonts w:ascii="Shofar" w:hAnsi="Shofar"/>
        </w:rPr>
      </w:pPr>
      <w:r>
        <w:rPr>
          <w:rFonts w:ascii="Shofar" w:hAnsi="Shofar"/>
          <w:rtl/>
        </w:rPr>
        <w:t xml:space="preserve">דוחה גמרא שצריכים חד "הילול" לומר שצריך לחלל נטע רבעי כדי לאכלו בחו"ל. </w:t>
      </w:r>
    </w:p>
    <w:p w:rsidR="00643327" w:rsidRDefault="00B63280" w:rsidP="008A6DF8">
      <w:pPr>
        <w:pStyle w:val="ListParagraph"/>
        <w:numPr>
          <w:ilvl w:val="2"/>
          <w:numId w:val="3"/>
        </w:numPr>
        <w:contextualSpacing w:val="0"/>
        <w:rPr>
          <w:rFonts w:ascii="Shofar" w:hAnsi="Shofar"/>
        </w:rPr>
      </w:pPr>
      <w:r>
        <w:rPr>
          <w:rFonts w:ascii="Shofar" w:hAnsi="Shofar"/>
          <w:rtl/>
        </w:rPr>
        <w:t xml:space="preserve">חייב אדם לברך אחר אכילת ענבים (עיין לקמן, שנבאר שני מקורות לזה). מזה לומ' קו"ח לחייב אותו לברך קודם אכילה, כשהוא רעב. </w:t>
      </w:r>
    </w:p>
    <w:p w:rsidR="00643327" w:rsidRDefault="00B63280" w:rsidP="008A6DF8">
      <w:pPr>
        <w:pStyle w:val="ListParagraph"/>
        <w:numPr>
          <w:ilvl w:val="1"/>
          <w:numId w:val="3"/>
        </w:numPr>
        <w:contextualSpacing w:val="0"/>
        <w:rPr>
          <w:rFonts w:ascii="Shofar" w:hAnsi="Shofar"/>
        </w:rPr>
      </w:pPr>
      <w:r>
        <w:rPr>
          <w:rFonts w:ascii="Shofar" w:hAnsi="Shofar"/>
          <w:rtl/>
        </w:rPr>
        <w:t xml:space="preserve">זית. מצאנו </w:t>
      </w:r>
      <w:r w:rsidR="00F76909">
        <w:rPr>
          <w:rFonts w:ascii="Shofar" w:hAnsi="Shofar" w:hint="cs"/>
          <w:b/>
          <w:bCs/>
          <w:rtl/>
        </w:rPr>
        <w:t>שני</w:t>
      </w:r>
      <w:r>
        <w:rPr>
          <w:rFonts w:ascii="Shofar" w:hAnsi="Shofar"/>
          <w:b/>
          <w:bCs/>
          <w:rtl/>
        </w:rPr>
        <w:t xml:space="preserve"> </w:t>
      </w:r>
      <w:r>
        <w:rPr>
          <w:rFonts w:ascii="Shofar" w:hAnsi="Shofar"/>
          <w:rtl/>
        </w:rPr>
        <w:t>מקורות (</w:t>
      </w:r>
      <w:r>
        <w:rPr>
          <w:rFonts w:ascii="Shofar" w:hAnsi="Shofar"/>
          <w:b/>
          <w:bCs/>
          <w:rtl/>
        </w:rPr>
        <w:t>אחד</w:t>
      </w:r>
      <w:r>
        <w:rPr>
          <w:rFonts w:ascii="Shofar" w:hAnsi="Shofar"/>
          <w:rtl/>
        </w:rPr>
        <w:t xml:space="preserve"> נדחה):</w:t>
      </w:r>
    </w:p>
    <w:p w:rsidR="00643327" w:rsidRDefault="00B63280" w:rsidP="008A6DF8">
      <w:pPr>
        <w:pStyle w:val="ListParagraph"/>
        <w:numPr>
          <w:ilvl w:val="2"/>
          <w:numId w:val="3"/>
        </w:numPr>
        <w:contextualSpacing w:val="0"/>
        <w:rPr>
          <w:rFonts w:ascii="Shofar" w:hAnsi="Shofar"/>
        </w:rPr>
      </w:pPr>
      <w:r>
        <w:rPr>
          <w:rFonts w:ascii="Shofar" w:hAnsi="Shofar"/>
          <w:rtl/>
        </w:rPr>
        <w:t>כ', "קדש הלולים לה'." לשון רבים של הלולים אומר לנו שני חיובים לברך, אחד קודם ואחד אחר אכילה.</w:t>
      </w:r>
    </w:p>
    <w:p w:rsidR="00643327" w:rsidRDefault="00B63280">
      <w:pPr>
        <w:pStyle w:val="ListParagraph"/>
        <w:ind w:left="2160"/>
        <w:contextualSpacing w:val="0"/>
        <w:rPr>
          <w:rFonts w:ascii="Shofar" w:hAnsi="Shofar"/>
        </w:rPr>
      </w:pPr>
      <w:r>
        <w:rPr>
          <w:rFonts w:ascii="Shofar" w:hAnsi="Shofar"/>
          <w:rtl/>
        </w:rPr>
        <w:t>דוחה גמרא שצריכים חד "הילול" לומר שצריך לחלל נטע רבעי כדי לאכלו בחו"ל. גם יכולים לדחות אם חיוב נטע"ר נוהג רק בענבים.</w:t>
      </w:r>
    </w:p>
    <w:p w:rsidR="00643327" w:rsidRDefault="00B63280" w:rsidP="008A6DF8">
      <w:pPr>
        <w:pStyle w:val="ListParagraph"/>
        <w:numPr>
          <w:ilvl w:val="2"/>
          <w:numId w:val="3"/>
        </w:numPr>
        <w:contextualSpacing w:val="0"/>
        <w:rPr>
          <w:rFonts w:ascii="Shofar" w:hAnsi="Shofar"/>
        </w:rPr>
      </w:pPr>
      <w:r>
        <w:rPr>
          <w:rFonts w:ascii="Shofar" w:hAnsi="Shofar"/>
          <w:rtl/>
        </w:rPr>
        <w:t>חייב אדם לברך אחר אכילת זית (עיין לקמן, שנכ' שני מקורות לזה). מזה  לומ' קל וחומר לחייב אותו לברך קודם אכילה, כשהוא רעב.</w:t>
      </w:r>
    </w:p>
    <w:p w:rsidR="00643327" w:rsidRDefault="00B63280" w:rsidP="008A6DF8">
      <w:pPr>
        <w:pStyle w:val="ListParagraph"/>
        <w:numPr>
          <w:ilvl w:val="1"/>
          <w:numId w:val="3"/>
        </w:numPr>
        <w:contextualSpacing w:val="0"/>
        <w:rPr>
          <w:rFonts w:ascii="Shofar" w:hAnsi="Shofar"/>
        </w:rPr>
      </w:pPr>
      <w:r>
        <w:rPr>
          <w:rFonts w:ascii="Shofar" w:hAnsi="Shofar"/>
          <w:rtl/>
        </w:rPr>
        <w:t xml:space="preserve">שבעת המינים. מצאנו </w:t>
      </w:r>
      <w:r w:rsidR="00F76909">
        <w:rPr>
          <w:rFonts w:ascii="Shofar" w:hAnsi="Shofar" w:hint="cs"/>
          <w:b/>
          <w:bCs/>
          <w:rtl/>
        </w:rPr>
        <w:t>שני</w:t>
      </w:r>
      <w:r>
        <w:rPr>
          <w:rFonts w:ascii="Shofar" w:hAnsi="Shofar"/>
          <w:b/>
          <w:bCs/>
          <w:rtl/>
        </w:rPr>
        <w:t xml:space="preserve"> </w:t>
      </w:r>
      <w:r>
        <w:rPr>
          <w:rFonts w:ascii="Shofar" w:hAnsi="Shofar"/>
          <w:rtl/>
        </w:rPr>
        <w:t>מקורות (</w:t>
      </w:r>
      <w:r>
        <w:rPr>
          <w:rFonts w:ascii="Shofar" w:hAnsi="Shofar"/>
          <w:b/>
          <w:bCs/>
          <w:rtl/>
        </w:rPr>
        <w:t>אחד</w:t>
      </w:r>
      <w:r>
        <w:rPr>
          <w:rFonts w:ascii="Shofar" w:hAnsi="Shofar"/>
          <w:rtl/>
        </w:rPr>
        <w:t xml:space="preserve"> נדחה):</w:t>
      </w:r>
    </w:p>
    <w:p w:rsidR="00643327" w:rsidRDefault="00B63280" w:rsidP="008A6DF8">
      <w:pPr>
        <w:pStyle w:val="ListParagraph"/>
        <w:numPr>
          <w:ilvl w:val="2"/>
          <w:numId w:val="3"/>
        </w:numPr>
        <w:contextualSpacing w:val="0"/>
        <w:rPr>
          <w:rFonts w:ascii="Shofar" w:hAnsi="Shofar"/>
        </w:rPr>
      </w:pPr>
      <w:r>
        <w:rPr>
          <w:rFonts w:ascii="Shofar" w:hAnsi="Shofar"/>
          <w:rtl/>
        </w:rPr>
        <w:t>כ', "קדש הלולים לה'." לשון רבים של הלולים אומר לנו שני חיובים לברך, אחד קודם ואחד אחר אכילה.</w:t>
      </w:r>
    </w:p>
    <w:p w:rsidR="00643327" w:rsidRDefault="00B63280">
      <w:pPr>
        <w:pStyle w:val="ListParagraph"/>
        <w:ind w:left="2160"/>
        <w:contextualSpacing w:val="0"/>
        <w:rPr>
          <w:rFonts w:ascii="Shofar" w:hAnsi="Shofar"/>
        </w:rPr>
      </w:pPr>
      <w:r>
        <w:rPr>
          <w:rFonts w:ascii="Shofar" w:hAnsi="Shofar"/>
          <w:rtl/>
        </w:rPr>
        <w:t>דוחה גמרא שצריכים חד "הילול" לומר שצריך לחלל נטע רבעי כדי לאכלו בחו"ל. גם יכולים לדחות אם חיוב נטע"ר נוהג רק בענבים.</w:t>
      </w:r>
    </w:p>
    <w:p w:rsidR="00643327" w:rsidRPr="009B033E" w:rsidRDefault="00B63280" w:rsidP="008A6DF8">
      <w:pPr>
        <w:pStyle w:val="ListParagraph"/>
        <w:numPr>
          <w:ilvl w:val="2"/>
          <w:numId w:val="3"/>
        </w:numPr>
        <w:contextualSpacing w:val="0"/>
        <w:rPr>
          <w:rFonts w:ascii="Shofar" w:hAnsi="Shofar"/>
        </w:rPr>
      </w:pPr>
      <w:r>
        <w:rPr>
          <w:rFonts w:ascii="Shofar" w:hAnsi="Shofar"/>
          <w:rtl/>
        </w:rPr>
        <w:t>חייב אדם לברך אחר אכילת שבעת המינים (עיין לקמן, שנבאר המקור לזה). מזה לומ' קו"ח לחייב אותו לברך קודם אכילה, כשהוא רעב.</w:t>
      </w:r>
    </w:p>
    <w:p w:rsidR="00643327" w:rsidRDefault="00B63280" w:rsidP="008A6DF8">
      <w:pPr>
        <w:pStyle w:val="ListParagraph"/>
        <w:numPr>
          <w:ilvl w:val="1"/>
          <w:numId w:val="3"/>
        </w:numPr>
        <w:contextualSpacing w:val="0"/>
        <w:rPr>
          <w:rFonts w:ascii="Shofar" w:hAnsi="Shofar"/>
        </w:rPr>
      </w:pPr>
      <w:r>
        <w:rPr>
          <w:rFonts w:ascii="Shofar" w:hAnsi="Shofar"/>
          <w:rtl/>
        </w:rPr>
        <w:t>כל דבר נטוע</w:t>
      </w:r>
      <w:r>
        <w:rPr>
          <w:rStyle w:val="EndnoteReference"/>
          <w:rFonts w:ascii="Shofar" w:hAnsi="Shofar"/>
          <w:rtl/>
        </w:rPr>
        <w:endnoteReference w:id="8"/>
      </w:r>
      <w:r>
        <w:rPr>
          <w:rFonts w:ascii="Shofar" w:hAnsi="Shofar"/>
          <w:rtl/>
        </w:rPr>
        <w:t xml:space="preserve">. מצאנו </w:t>
      </w:r>
      <w:r w:rsidR="009B033E">
        <w:rPr>
          <w:rFonts w:ascii="Shofar" w:hAnsi="Shofar" w:hint="cs"/>
          <w:b/>
          <w:bCs/>
          <w:rtl/>
        </w:rPr>
        <w:t>שני</w:t>
      </w:r>
      <w:r>
        <w:rPr>
          <w:rFonts w:ascii="Shofar" w:hAnsi="Shofar"/>
          <w:b/>
          <w:bCs/>
          <w:rtl/>
        </w:rPr>
        <w:t xml:space="preserve"> </w:t>
      </w:r>
      <w:r>
        <w:rPr>
          <w:rFonts w:ascii="Shofar" w:hAnsi="Shofar"/>
          <w:rtl/>
        </w:rPr>
        <w:t>מקורות (</w:t>
      </w:r>
      <w:r>
        <w:rPr>
          <w:rFonts w:ascii="Shofar" w:hAnsi="Shofar"/>
          <w:b/>
          <w:bCs/>
          <w:rtl/>
        </w:rPr>
        <w:t>אחד</w:t>
      </w:r>
      <w:r>
        <w:rPr>
          <w:rFonts w:ascii="Shofar" w:hAnsi="Shofar"/>
          <w:rtl/>
        </w:rPr>
        <w:t xml:space="preserve"> נדחה):</w:t>
      </w:r>
    </w:p>
    <w:p w:rsidR="00643327" w:rsidRDefault="00B63280" w:rsidP="008A6DF8">
      <w:pPr>
        <w:pStyle w:val="ListParagraph"/>
        <w:numPr>
          <w:ilvl w:val="2"/>
          <w:numId w:val="3"/>
        </w:numPr>
        <w:contextualSpacing w:val="0"/>
        <w:rPr>
          <w:rFonts w:ascii="Shofar" w:hAnsi="Shofar"/>
        </w:rPr>
      </w:pPr>
      <w:r>
        <w:rPr>
          <w:rFonts w:ascii="Shofar" w:hAnsi="Shofar"/>
          <w:rtl/>
        </w:rPr>
        <w:t>כ', "קדש הלולים לה'." לשון רבים של הלולים אומר לנו שני חיובים לברך, אחד קודם ואחד אחר אכילה.</w:t>
      </w:r>
    </w:p>
    <w:p w:rsidR="00643327" w:rsidRDefault="00B63280">
      <w:pPr>
        <w:pStyle w:val="ListParagraph"/>
        <w:ind w:left="2160"/>
        <w:contextualSpacing w:val="0"/>
        <w:rPr>
          <w:rFonts w:ascii="Shofar" w:hAnsi="Shofar"/>
        </w:rPr>
      </w:pPr>
      <w:r>
        <w:rPr>
          <w:rFonts w:ascii="Shofar" w:hAnsi="Shofar"/>
          <w:rtl/>
        </w:rPr>
        <w:t>דוחה גמרא שצריכים חד "הילול" לומר שצריך לחלל נטע רבעי כדי לאכלו בחו"ל. גם יכולים לדחות אם חיוב נטע"ר נוהג רק בענבים.</w:t>
      </w:r>
    </w:p>
    <w:p w:rsidR="00643327" w:rsidRPr="009B033E" w:rsidRDefault="00B63280" w:rsidP="008A6DF8">
      <w:pPr>
        <w:pStyle w:val="ListParagraph"/>
        <w:numPr>
          <w:ilvl w:val="2"/>
          <w:numId w:val="3"/>
        </w:numPr>
        <w:contextualSpacing w:val="0"/>
        <w:rPr>
          <w:rFonts w:ascii="Shofar" w:hAnsi="Shofar"/>
        </w:rPr>
      </w:pPr>
      <w:r>
        <w:rPr>
          <w:rFonts w:ascii="Shofar" w:hAnsi="Shofar"/>
          <w:rtl/>
        </w:rPr>
        <w:lastRenderedPageBreak/>
        <w:t>חייב אדם לברך אחר אכילת כל דבר הנטוע (עיין לקמן, שנבאר המקור לזה). מזה לומ' קו"ח לחייב אותו לברך קודם אכילה, כשהוא רעב.</w:t>
      </w:r>
    </w:p>
    <w:p w:rsidR="00643327" w:rsidRDefault="00B63280" w:rsidP="008A6DF8">
      <w:pPr>
        <w:pStyle w:val="ListParagraph"/>
        <w:numPr>
          <w:ilvl w:val="1"/>
          <w:numId w:val="3"/>
        </w:numPr>
        <w:contextualSpacing w:val="0"/>
        <w:rPr>
          <w:rFonts w:ascii="Shofar" w:hAnsi="Shofar"/>
        </w:rPr>
      </w:pPr>
      <w:r>
        <w:rPr>
          <w:rFonts w:ascii="Shofar" w:hAnsi="Shofar"/>
          <w:rtl/>
        </w:rPr>
        <w:t xml:space="preserve">שאר מינים. יש מקור </w:t>
      </w:r>
      <w:r>
        <w:rPr>
          <w:rFonts w:ascii="Shofar" w:hAnsi="Shofar"/>
          <w:b/>
          <w:bCs/>
          <w:rtl/>
        </w:rPr>
        <w:t>אחד</w:t>
      </w:r>
      <w:r>
        <w:rPr>
          <w:rFonts w:ascii="Shofar" w:hAnsi="Shofar"/>
          <w:rtl/>
        </w:rPr>
        <w:t>:</w:t>
      </w:r>
    </w:p>
    <w:p w:rsidR="00643327" w:rsidRDefault="00B63280" w:rsidP="008A6DF8">
      <w:pPr>
        <w:pStyle w:val="ListParagraph"/>
        <w:numPr>
          <w:ilvl w:val="2"/>
          <w:numId w:val="3"/>
        </w:numPr>
        <w:contextualSpacing w:val="0"/>
        <w:rPr>
          <w:rFonts w:ascii="Shofar" w:hAnsi="Shofar"/>
        </w:rPr>
      </w:pPr>
      <w:r>
        <w:rPr>
          <w:rFonts w:ascii="Shofar" w:hAnsi="Shofar"/>
          <w:rtl/>
        </w:rPr>
        <w:t>כ', "הוא יברך את הזבח." יל"ד על איזה מין קאי, אם על בשר או על פת, אבל יחייב אותו מין.</w:t>
      </w:r>
      <w:r>
        <w:rPr>
          <w:rStyle w:val="FootnoteReference"/>
          <w:rFonts w:ascii="Shofar" w:hAnsi="Shofar"/>
          <w:rtl/>
        </w:rPr>
        <w:footnoteReference w:id="14"/>
      </w:r>
    </w:p>
    <w:p w:rsidR="00643327" w:rsidRDefault="00B63280" w:rsidP="008A6DF8">
      <w:pPr>
        <w:pStyle w:val="ListParagraph"/>
        <w:numPr>
          <w:ilvl w:val="0"/>
          <w:numId w:val="3"/>
        </w:numPr>
        <w:contextualSpacing w:val="0"/>
        <w:rPr>
          <w:rFonts w:ascii="Shofar" w:hAnsi="Shofar"/>
        </w:rPr>
      </w:pPr>
      <w:r>
        <w:rPr>
          <w:rFonts w:ascii="Shofar" w:hAnsi="Shofar"/>
          <w:rtl/>
        </w:rPr>
        <w:t>לאחריו:</w:t>
      </w:r>
    </w:p>
    <w:p w:rsidR="00643327" w:rsidRDefault="00B63280" w:rsidP="008A6DF8">
      <w:pPr>
        <w:pStyle w:val="ListParagraph"/>
        <w:numPr>
          <w:ilvl w:val="1"/>
          <w:numId w:val="3"/>
        </w:numPr>
        <w:contextualSpacing w:val="0"/>
        <w:rPr>
          <w:rFonts w:ascii="Shofar" w:hAnsi="Shofar"/>
        </w:rPr>
      </w:pPr>
      <w:r>
        <w:rPr>
          <w:rFonts w:ascii="Shofar" w:hAnsi="Shofar"/>
          <w:rtl/>
        </w:rPr>
        <w:t xml:space="preserve">פת. מצאנו </w:t>
      </w:r>
      <w:r>
        <w:rPr>
          <w:rFonts w:ascii="Shofar" w:hAnsi="Shofar"/>
          <w:b/>
          <w:bCs/>
          <w:rtl/>
        </w:rPr>
        <w:t>ארבע</w:t>
      </w:r>
      <w:r>
        <w:rPr>
          <w:rFonts w:ascii="Shofar" w:hAnsi="Shofar"/>
          <w:rtl/>
        </w:rPr>
        <w:t xml:space="preserve"> מקורות לזה:</w:t>
      </w:r>
    </w:p>
    <w:p w:rsidR="00643327" w:rsidRDefault="00B63280" w:rsidP="008A6DF8">
      <w:pPr>
        <w:pStyle w:val="ListParagraph"/>
        <w:numPr>
          <w:ilvl w:val="2"/>
          <w:numId w:val="3"/>
        </w:numPr>
        <w:contextualSpacing w:val="0"/>
        <w:rPr>
          <w:rFonts w:ascii="Shofar" w:hAnsi="Shofar"/>
        </w:rPr>
      </w:pPr>
      <w:r>
        <w:rPr>
          <w:rFonts w:ascii="Shofar" w:hAnsi="Shofar"/>
          <w:rtl/>
        </w:rPr>
        <w:t>כתיב, "תאכל בה לחם… ואכלת ושבעת וברכת."</w:t>
      </w:r>
    </w:p>
    <w:p w:rsidR="00643327" w:rsidRDefault="00B63280" w:rsidP="008A6DF8">
      <w:pPr>
        <w:pStyle w:val="ListParagraph"/>
        <w:numPr>
          <w:ilvl w:val="2"/>
          <w:numId w:val="3"/>
        </w:numPr>
        <w:contextualSpacing w:val="0"/>
        <w:rPr>
          <w:rFonts w:ascii="Shofar" w:hAnsi="Shofar"/>
        </w:rPr>
      </w:pPr>
      <w:r>
        <w:rPr>
          <w:rFonts w:ascii="Shofar" w:hAnsi="Shofar"/>
          <w:rtl/>
        </w:rPr>
        <w:t>כ', "ארץ חטה… ואכלת."</w:t>
      </w:r>
      <w:r>
        <w:rPr>
          <w:rStyle w:val="EndnoteReference"/>
          <w:rFonts w:ascii="Shofar" w:hAnsi="Shofar"/>
          <w:rtl/>
        </w:rPr>
        <w:endnoteReference w:id="9"/>
      </w:r>
    </w:p>
    <w:p w:rsidR="00643327" w:rsidRDefault="00B63280" w:rsidP="008A6DF8">
      <w:pPr>
        <w:pStyle w:val="ListParagraph"/>
        <w:numPr>
          <w:ilvl w:val="2"/>
          <w:numId w:val="3"/>
        </w:numPr>
        <w:contextualSpacing w:val="0"/>
        <w:rPr>
          <w:rFonts w:ascii="Shofar" w:hAnsi="Shofar"/>
        </w:rPr>
      </w:pPr>
      <w:r>
        <w:rPr>
          <w:rFonts w:ascii="Shofar" w:hAnsi="Shofar"/>
          <w:rtl/>
        </w:rPr>
        <w:t>כ', "קדש הלולים לה'" גבי נטע רבעי. חול' אם נטע"ר נוהג לכל נטיעות או רק לענבים (כיון שכ', "הלול" או מח' ג"ש). אם נאמר שנוהג בשאר נטיעות, יכולים ללמוד חיוב פת ממנו.</w:t>
      </w:r>
      <w:r>
        <w:rPr>
          <w:rStyle w:val="EndnoteReference"/>
          <w:rFonts w:ascii="Shofar" w:hAnsi="Shofar"/>
          <w:rtl/>
        </w:rPr>
        <w:endnoteReference w:id="10"/>
      </w:r>
    </w:p>
    <w:p w:rsidR="00643327" w:rsidRDefault="00B63280" w:rsidP="008A6DF8">
      <w:pPr>
        <w:pStyle w:val="ListParagraph"/>
        <w:numPr>
          <w:ilvl w:val="2"/>
          <w:numId w:val="3"/>
        </w:numPr>
        <w:contextualSpacing w:val="0"/>
        <w:rPr>
          <w:rFonts w:ascii="Shofar" w:hAnsi="Shofar"/>
        </w:rPr>
      </w:pPr>
      <w:r>
        <w:rPr>
          <w:rFonts w:ascii="Shofar" w:hAnsi="Shofar"/>
          <w:rtl/>
        </w:rPr>
        <w:t>יש סברה שיחייב אותו מדרבנן (אסור להנות בלי ברכה).</w:t>
      </w:r>
    </w:p>
    <w:p w:rsidR="00643327" w:rsidRDefault="00B63280" w:rsidP="008A6DF8">
      <w:pPr>
        <w:pStyle w:val="ListParagraph"/>
        <w:numPr>
          <w:ilvl w:val="1"/>
          <w:numId w:val="3"/>
        </w:numPr>
        <w:contextualSpacing w:val="0"/>
        <w:rPr>
          <w:rFonts w:ascii="Shofar" w:hAnsi="Shofar"/>
        </w:rPr>
      </w:pPr>
      <w:r>
        <w:rPr>
          <w:rFonts w:ascii="Shofar" w:hAnsi="Shofar"/>
          <w:rtl/>
        </w:rPr>
        <w:t xml:space="preserve">ענבים. מצאנו </w:t>
      </w:r>
      <w:r>
        <w:rPr>
          <w:rFonts w:ascii="Shofar" w:hAnsi="Shofar"/>
          <w:b/>
          <w:bCs/>
          <w:rtl/>
        </w:rPr>
        <w:t>שלש</w:t>
      </w:r>
      <w:r>
        <w:rPr>
          <w:rFonts w:ascii="Shofar" w:hAnsi="Shofar"/>
          <w:rtl/>
        </w:rPr>
        <w:t xml:space="preserve"> מקורות:</w:t>
      </w:r>
    </w:p>
    <w:p w:rsidR="00643327" w:rsidRDefault="00B63280" w:rsidP="008A6DF8">
      <w:pPr>
        <w:pStyle w:val="ListParagraph"/>
        <w:numPr>
          <w:ilvl w:val="2"/>
          <w:numId w:val="3"/>
        </w:numPr>
        <w:contextualSpacing w:val="0"/>
        <w:rPr>
          <w:rFonts w:ascii="Shofar" w:hAnsi="Shofar"/>
        </w:rPr>
      </w:pPr>
      <w:r>
        <w:rPr>
          <w:rFonts w:ascii="Shofar" w:hAnsi="Shofar"/>
          <w:rtl/>
        </w:rPr>
        <w:t>כ', "קדש הלולים לה'." דורשים מלשון רבים שצריך להלל לה' על אכילה. אף אם נטע"ר הוא רק בענבים, נלמד שצריך לברך אחריהם.</w:t>
      </w:r>
      <w:r>
        <w:rPr>
          <w:rStyle w:val="EndnoteReference"/>
          <w:rFonts w:ascii="Shofar" w:hAnsi="Shofar"/>
          <w:rtl/>
        </w:rPr>
        <w:endnoteReference w:id="11"/>
      </w:r>
    </w:p>
    <w:p w:rsidR="00643327" w:rsidRDefault="00B63280">
      <w:pPr>
        <w:pStyle w:val="ListParagraph"/>
        <w:ind w:left="2160"/>
        <w:contextualSpacing w:val="0"/>
        <w:rPr>
          <w:rFonts w:ascii="Shofar" w:hAnsi="Shofar"/>
        </w:rPr>
      </w:pPr>
      <w:r>
        <w:rPr>
          <w:rFonts w:ascii="Shofar" w:hAnsi="Shofar"/>
          <w:rtl/>
        </w:rPr>
        <w:t>יש שיטה שנוהג נטע"ר רק בענבים. בתוך זה, יש שיטה שלומד אותו מלשון רבים של "הילולים." לזה, נדחה המקור.</w:t>
      </w:r>
    </w:p>
    <w:p w:rsidR="00643327" w:rsidRDefault="00B63280" w:rsidP="008A6DF8">
      <w:pPr>
        <w:pStyle w:val="ListParagraph"/>
        <w:numPr>
          <w:ilvl w:val="2"/>
          <w:numId w:val="3"/>
        </w:numPr>
        <w:contextualSpacing w:val="0"/>
        <w:rPr>
          <w:rFonts w:ascii="Shofar" w:hAnsi="Shofar"/>
        </w:rPr>
      </w:pPr>
      <w:r>
        <w:rPr>
          <w:rFonts w:ascii="Shofar" w:hAnsi="Shofar"/>
          <w:rtl/>
        </w:rPr>
        <w:t>כ', "ארץ חטה… ואכלת."</w:t>
      </w:r>
    </w:p>
    <w:p w:rsidR="00643327" w:rsidRDefault="00B63280" w:rsidP="008A6DF8">
      <w:pPr>
        <w:pStyle w:val="ListParagraph"/>
        <w:numPr>
          <w:ilvl w:val="2"/>
          <w:numId w:val="3"/>
        </w:numPr>
        <w:contextualSpacing w:val="0"/>
        <w:rPr>
          <w:rFonts w:ascii="Shofar" w:hAnsi="Shofar"/>
        </w:rPr>
      </w:pPr>
      <w:r>
        <w:rPr>
          <w:rFonts w:ascii="Shofar" w:hAnsi="Shofar"/>
          <w:rtl/>
        </w:rPr>
        <w:t xml:space="preserve">יש סברה שיחייב אותו מדרבנן (אסור להנות בלי ברכה). </w:t>
      </w:r>
    </w:p>
    <w:p w:rsidR="00643327" w:rsidRDefault="00B63280" w:rsidP="008A6DF8">
      <w:pPr>
        <w:pStyle w:val="ListParagraph"/>
        <w:numPr>
          <w:ilvl w:val="1"/>
          <w:numId w:val="3"/>
        </w:numPr>
        <w:contextualSpacing w:val="0"/>
        <w:rPr>
          <w:rFonts w:ascii="Shofar" w:hAnsi="Shofar"/>
        </w:rPr>
      </w:pPr>
      <w:r>
        <w:rPr>
          <w:rFonts w:ascii="Shofar" w:hAnsi="Shofar"/>
          <w:rtl/>
        </w:rPr>
        <w:t xml:space="preserve">זית. יש </w:t>
      </w:r>
      <w:r>
        <w:rPr>
          <w:rFonts w:ascii="Shofar" w:hAnsi="Shofar"/>
          <w:b/>
          <w:bCs/>
          <w:rtl/>
        </w:rPr>
        <w:t>ארבע</w:t>
      </w:r>
      <w:r>
        <w:rPr>
          <w:rFonts w:ascii="Shofar" w:hAnsi="Shofar"/>
          <w:rtl/>
        </w:rPr>
        <w:t xml:space="preserve"> מקורות לזה:</w:t>
      </w:r>
    </w:p>
    <w:p w:rsidR="00643327" w:rsidRDefault="00B63280" w:rsidP="008A6DF8">
      <w:pPr>
        <w:pStyle w:val="ListParagraph"/>
        <w:numPr>
          <w:ilvl w:val="2"/>
          <w:numId w:val="3"/>
        </w:numPr>
        <w:contextualSpacing w:val="0"/>
        <w:rPr>
          <w:rFonts w:ascii="Shofar" w:hAnsi="Shofar"/>
        </w:rPr>
      </w:pPr>
      <w:r>
        <w:rPr>
          <w:rFonts w:ascii="Shofar" w:hAnsi="Shofar"/>
          <w:rtl/>
        </w:rPr>
        <w:t>כ', "ארץ חטה… ואכלת."</w:t>
      </w:r>
    </w:p>
    <w:p w:rsidR="00643327" w:rsidRDefault="00B63280" w:rsidP="008A6DF8">
      <w:pPr>
        <w:pStyle w:val="ListParagraph"/>
        <w:numPr>
          <w:ilvl w:val="2"/>
          <w:numId w:val="3"/>
        </w:numPr>
        <w:contextualSpacing w:val="0"/>
        <w:rPr>
          <w:rFonts w:ascii="Shofar" w:hAnsi="Shofar"/>
        </w:rPr>
      </w:pPr>
      <w:r>
        <w:rPr>
          <w:rFonts w:ascii="Shofar" w:hAnsi="Shofar"/>
          <w:rtl/>
        </w:rPr>
        <w:t>כ', "קדש הלולים לה'" גבי נטע רבעי. חול' אם נטע"ר נוהג לכל נטיעות או רק לענבים (כיון שכ', "הלול" או מח' ג"ש).</w:t>
      </w:r>
    </w:p>
    <w:p w:rsidR="00643327" w:rsidRDefault="00B63280" w:rsidP="008A6DF8">
      <w:pPr>
        <w:pStyle w:val="ListParagraph"/>
        <w:numPr>
          <w:ilvl w:val="2"/>
          <w:numId w:val="3"/>
        </w:numPr>
        <w:contextualSpacing w:val="0"/>
        <w:rPr>
          <w:rFonts w:ascii="Shofar" w:hAnsi="Shofar"/>
        </w:rPr>
      </w:pPr>
      <w:r>
        <w:rPr>
          <w:rFonts w:ascii="Shofar" w:hAnsi="Shofar"/>
          <w:rtl/>
        </w:rPr>
        <w:t>אף אם "קדש הלולים" רק מחייב ענבים, יש לדרוש זיתים מצד השווה מענבים וקמה, שכולם נקרבים על מזבח.</w:t>
      </w:r>
      <w:r>
        <w:rPr>
          <w:rStyle w:val="EndnoteReference"/>
          <w:rFonts w:ascii="Shofar" w:hAnsi="Shofar"/>
          <w:rtl/>
        </w:rPr>
        <w:endnoteReference w:id="12"/>
      </w:r>
    </w:p>
    <w:p w:rsidR="00643327" w:rsidRDefault="00B63280" w:rsidP="008A6DF8">
      <w:pPr>
        <w:pStyle w:val="ListParagraph"/>
        <w:numPr>
          <w:ilvl w:val="2"/>
          <w:numId w:val="3"/>
        </w:numPr>
        <w:contextualSpacing w:val="0"/>
        <w:rPr>
          <w:rFonts w:ascii="Shofar" w:hAnsi="Shofar"/>
        </w:rPr>
      </w:pPr>
      <w:r>
        <w:rPr>
          <w:rFonts w:ascii="Shofar" w:hAnsi="Shofar"/>
          <w:rtl/>
        </w:rPr>
        <w:t>יש סברה שיחייב אותו מדרבנן (אסור להנות בלי ברכה).</w:t>
      </w:r>
    </w:p>
    <w:p w:rsidR="00643327" w:rsidRDefault="00B63280" w:rsidP="008A6DF8">
      <w:pPr>
        <w:pStyle w:val="ListParagraph"/>
        <w:numPr>
          <w:ilvl w:val="1"/>
          <w:numId w:val="3"/>
        </w:numPr>
        <w:contextualSpacing w:val="0"/>
        <w:rPr>
          <w:rFonts w:ascii="Shofar" w:hAnsi="Shofar"/>
        </w:rPr>
      </w:pPr>
      <w:r>
        <w:rPr>
          <w:rFonts w:ascii="Shofar" w:hAnsi="Shofar"/>
          <w:rtl/>
        </w:rPr>
        <w:t xml:space="preserve">שבעת המינים. יש </w:t>
      </w:r>
      <w:r>
        <w:rPr>
          <w:rFonts w:ascii="Shofar" w:hAnsi="Shofar"/>
          <w:b/>
          <w:bCs/>
          <w:rtl/>
        </w:rPr>
        <w:t>שני</w:t>
      </w:r>
      <w:r>
        <w:rPr>
          <w:rFonts w:ascii="Shofar" w:hAnsi="Shofar"/>
          <w:rtl/>
        </w:rPr>
        <w:t xml:space="preserve"> מקורות: </w:t>
      </w:r>
    </w:p>
    <w:p w:rsidR="00643327" w:rsidRDefault="00B63280" w:rsidP="008A6DF8">
      <w:pPr>
        <w:pStyle w:val="ListParagraph"/>
        <w:numPr>
          <w:ilvl w:val="2"/>
          <w:numId w:val="3"/>
        </w:numPr>
        <w:contextualSpacing w:val="0"/>
        <w:rPr>
          <w:rFonts w:ascii="Shofar" w:hAnsi="Shofar"/>
        </w:rPr>
      </w:pPr>
      <w:r>
        <w:rPr>
          <w:rFonts w:ascii="Shofar" w:hAnsi="Shofar"/>
          <w:rtl/>
        </w:rPr>
        <w:t>כ', "ארץ חטה… ואכלת."</w:t>
      </w:r>
    </w:p>
    <w:p w:rsidR="00643327" w:rsidRDefault="00B63280" w:rsidP="008A6DF8">
      <w:pPr>
        <w:pStyle w:val="ListParagraph"/>
        <w:numPr>
          <w:ilvl w:val="2"/>
          <w:numId w:val="3"/>
        </w:numPr>
        <w:contextualSpacing w:val="0"/>
        <w:rPr>
          <w:rFonts w:ascii="Shofar" w:hAnsi="Shofar"/>
        </w:rPr>
      </w:pPr>
      <w:r>
        <w:rPr>
          <w:rFonts w:ascii="Shofar" w:hAnsi="Shofar"/>
          <w:rtl/>
        </w:rPr>
        <w:t>יש סברה שיחייב אותו מדרבנן (אסור להנות בלי ברכה).</w:t>
      </w:r>
    </w:p>
    <w:p w:rsidR="00643327" w:rsidRDefault="00B63280" w:rsidP="008A6DF8">
      <w:pPr>
        <w:pStyle w:val="ListParagraph"/>
        <w:numPr>
          <w:ilvl w:val="1"/>
          <w:numId w:val="3"/>
        </w:numPr>
        <w:contextualSpacing w:val="0"/>
        <w:rPr>
          <w:rFonts w:ascii="Shofar" w:hAnsi="Shofar"/>
        </w:rPr>
      </w:pPr>
      <w:r>
        <w:rPr>
          <w:rFonts w:ascii="Shofar" w:hAnsi="Shofar"/>
          <w:rtl/>
        </w:rPr>
        <w:t xml:space="preserve">כל דבר נטוע. יש </w:t>
      </w:r>
      <w:r>
        <w:rPr>
          <w:rFonts w:ascii="Shofar" w:hAnsi="Shofar"/>
          <w:b/>
          <w:bCs/>
          <w:rtl/>
        </w:rPr>
        <w:t>שני</w:t>
      </w:r>
      <w:r>
        <w:rPr>
          <w:rFonts w:ascii="Shofar" w:hAnsi="Shofar"/>
          <w:rtl/>
        </w:rPr>
        <w:t xml:space="preserve"> מקורות:</w:t>
      </w:r>
    </w:p>
    <w:p w:rsidR="00643327" w:rsidRDefault="00B63280" w:rsidP="008A6DF8">
      <w:pPr>
        <w:pStyle w:val="ListParagraph"/>
        <w:numPr>
          <w:ilvl w:val="2"/>
          <w:numId w:val="3"/>
        </w:numPr>
        <w:contextualSpacing w:val="0"/>
        <w:rPr>
          <w:rFonts w:ascii="Shofar" w:hAnsi="Shofar"/>
        </w:rPr>
      </w:pPr>
      <w:r>
        <w:rPr>
          <w:rFonts w:ascii="Shofar" w:hAnsi="Shofar"/>
          <w:rtl/>
        </w:rPr>
        <w:t>כ', "קדש הלולים לה'" גבי נטע רבעי. חול' אם נטע"ר נוהג לכל נטיעות או רק לענבים (כיון שכ', "הלול" או מח' ג"ש).</w:t>
      </w:r>
    </w:p>
    <w:p w:rsidR="00643327" w:rsidRDefault="00B63280" w:rsidP="008A6DF8">
      <w:pPr>
        <w:pStyle w:val="ListParagraph"/>
        <w:numPr>
          <w:ilvl w:val="2"/>
          <w:numId w:val="3"/>
        </w:numPr>
        <w:contextualSpacing w:val="0"/>
        <w:rPr>
          <w:rFonts w:ascii="Shofar" w:hAnsi="Shofar"/>
        </w:rPr>
      </w:pPr>
      <w:r>
        <w:rPr>
          <w:rFonts w:ascii="Shofar" w:hAnsi="Shofar"/>
          <w:rtl/>
        </w:rPr>
        <w:t>יש סברה שיחייב אותו מדרבנן (אסור להנות בלי ברכה).</w:t>
      </w:r>
    </w:p>
    <w:p w:rsidR="00643327" w:rsidRDefault="00B43776" w:rsidP="008A6DF8">
      <w:pPr>
        <w:pStyle w:val="ListParagraph"/>
        <w:numPr>
          <w:ilvl w:val="1"/>
          <w:numId w:val="3"/>
        </w:numPr>
        <w:contextualSpacing w:val="0"/>
        <w:rPr>
          <w:rFonts w:ascii="Shofar" w:hAnsi="Shofar"/>
        </w:rPr>
      </w:pPr>
      <w:r>
        <w:rPr>
          <w:rFonts w:ascii="Shofar" w:hAnsi="Shofar"/>
          <w:rtl/>
        </w:rPr>
        <w:t xml:space="preserve">שאר מינים. יש </w:t>
      </w:r>
      <w:r w:rsidR="00BC1C73">
        <w:rPr>
          <w:rFonts w:ascii="Shofar" w:hAnsi="Shofar" w:hint="cs"/>
          <w:rtl/>
        </w:rPr>
        <w:t xml:space="preserve">מקור </w:t>
      </w:r>
      <w:r w:rsidR="00BC1C73">
        <w:rPr>
          <w:rFonts w:ascii="Shofar" w:hAnsi="Shofar" w:hint="cs"/>
          <w:b/>
          <w:bCs/>
          <w:rtl/>
        </w:rPr>
        <w:t>אחד</w:t>
      </w:r>
      <w:r w:rsidR="00BC1C73">
        <w:rPr>
          <w:rFonts w:ascii="Shofar" w:hAnsi="Shofar" w:hint="cs"/>
          <w:rtl/>
        </w:rPr>
        <w:t>:</w:t>
      </w:r>
    </w:p>
    <w:p w:rsidR="00643327" w:rsidRPr="00FF2EEF" w:rsidRDefault="00B63280" w:rsidP="008A6DF8">
      <w:pPr>
        <w:pStyle w:val="ListParagraph"/>
        <w:numPr>
          <w:ilvl w:val="2"/>
          <w:numId w:val="49"/>
        </w:numPr>
        <w:contextualSpacing w:val="0"/>
        <w:rPr>
          <w:rFonts w:ascii="Shofar" w:hAnsi="Shofar"/>
        </w:rPr>
      </w:pPr>
      <w:r>
        <w:rPr>
          <w:rFonts w:ascii="Shofar" w:hAnsi="Shofar"/>
          <w:rtl/>
        </w:rPr>
        <w:t>יש סברה שיחייב אותו מדרבנן (אסור להנות בלי ברכה).</w:t>
      </w:r>
      <w:r>
        <w:rPr>
          <w:rStyle w:val="FootnoteReference"/>
          <w:rFonts w:ascii="Shofar" w:hAnsi="Shofar"/>
          <w:rtl/>
        </w:rPr>
        <w:footnoteReference w:id="15"/>
      </w:r>
      <w:r w:rsidR="00B43776" w:rsidRPr="00B43776">
        <w:rPr>
          <w:rFonts w:ascii="Shofar" w:hAnsi="Shofar"/>
          <w:rtl/>
        </w:rPr>
        <w:t xml:space="preserve"> </w:t>
      </w:r>
    </w:p>
    <w:p w:rsidR="008921C1" w:rsidRDefault="008921C1" w:rsidP="008921C1">
      <w:pPr>
        <w:pStyle w:val="Heading1"/>
        <w:rPr>
          <w:rtl/>
        </w:rPr>
      </w:pPr>
      <w:r>
        <w:rPr>
          <w:rFonts w:hint="cs"/>
          <w:rtl/>
        </w:rPr>
        <w:t xml:space="preserve">ברכות </w:t>
      </w:r>
      <w:r w:rsidRPr="008921C1">
        <w:rPr>
          <w:rFonts w:hint="cs"/>
          <w:rtl/>
        </w:rPr>
        <w:t>דאורייתא</w:t>
      </w:r>
      <w:r>
        <w:rPr>
          <w:rFonts w:hint="cs"/>
          <w:rtl/>
        </w:rPr>
        <w:t>:</w:t>
      </w:r>
    </w:p>
    <w:p w:rsidR="008921C1" w:rsidRDefault="008921C1" w:rsidP="008921C1">
      <w:pPr>
        <w:rPr>
          <w:rtl/>
        </w:rPr>
      </w:pPr>
      <w:r>
        <w:rPr>
          <w:rFonts w:hint="cs"/>
          <w:rtl/>
        </w:rPr>
        <w:t>מצאנו ? דברים שבהם מצדד גמרא לברך מדאו':</w:t>
      </w:r>
    </w:p>
    <w:p w:rsidR="00482DA7" w:rsidRPr="00482DA7" w:rsidRDefault="008921C1" w:rsidP="008A6DF8">
      <w:pPr>
        <w:pStyle w:val="ListParagraph"/>
        <w:numPr>
          <w:ilvl w:val="0"/>
          <w:numId w:val="50"/>
        </w:numPr>
        <w:contextualSpacing w:val="0"/>
        <w:rPr>
          <w:rFonts w:ascii="Shofar" w:hAnsi="Shofar"/>
        </w:rPr>
      </w:pPr>
      <w:r>
        <w:rPr>
          <w:rFonts w:hint="cs"/>
          <w:rtl/>
        </w:rPr>
        <w:t>ברכה ראשונה של מאכלים.</w:t>
      </w:r>
      <w:r w:rsidR="00482DA7">
        <w:rPr>
          <w:rFonts w:hint="cs"/>
          <w:rtl/>
        </w:rPr>
        <w:t xml:space="preserve"> גמ' מצדד שיש ברכות ראשונות מדאו'. זה יהיה תלוי איזה מין מאכל הוא:</w:t>
      </w:r>
      <w:r w:rsidR="00482DA7" w:rsidRPr="00482DA7">
        <w:rPr>
          <w:rFonts w:ascii="Shofar" w:hAnsi="Shofar"/>
          <w:b/>
          <w:bCs/>
          <w:rtl/>
        </w:rPr>
        <w:t xml:space="preserve"> </w:t>
      </w:r>
    </w:p>
    <w:p w:rsidR="00482DA7" w:rsidRPr="00482DA7" w:rsidRDefault="00482DA7" w:rsidP="008A6DF8">
      <w:pPr>
        <w:pStyle w:val="ListParagraph"/>
        <w:numPr>
          <w:ilvl w:val="1"/>
          <w:numId w:val="50"/>
        </w:numPr>
        <w:contextualSpacing w:val="0"/>
        <w:rPr>
          <w:rFonts w:ascii="Shofar" w:hAnsi="Shofar"/>
        </w:rPr>
      </w:pPr>
      <w:r w:rsidRPr="00482DA7">
        <w:rPr>
          <w:rFonts w:ascii="Shofar" w:hAnsi="Shofar"/>
          <w:rtl/>
        </w:rPr>
        <w:t xml:space="preserve">פת. מצאנו </w:t>
      </w:r>
      <w:r w:rsidR="0070622B">
        <w:rPr>
          <w:rFonts w:ascii="Shofar" w:hAnsi="Shofar" w:hint="cs"/>
          <w:b/>
          <w:bCs/>
          <w:rtl/>
        </w:rPr>
        <w:t>חמש</w:t>
      </w:r>
      <w:r w:rsidRPr="00482DA7">
        <w:rPr>
          <w:rFonts w:ascii="Shofar" w:hAnsi="Shofar"/>
          <w:rtl/>
        </w:rPr>
        <w:t xml:space="preserve"> מקורות (ו</w:t>
      </w:r>
      <w:r w:rsidRPr="00482DA7">
        <w:rPr>
          <w:rFonts w:ascii="Shofar" w:hAnsi="Shofar"/>
          <w:b/>
          <w:bCs/>
          <w:rtl/>
        </w:rPr>
        <w:t>אחד</w:t>
      </w:r>
      <w:r w:rsidRPr="00482DA7">
        <w:rPr>
          <w:rFonts w:ascii="Shofar" w:hAnsi="Shofar"/>
          <w:rtl/>
        </w:rPr>
        <w:t xml:space="preserve"> נדחה)</w:t>
      </w:r>
      <w:r>
        <w:rPr>
          <w:rStyle w:val="EndnoteReference"/>
          <w:rFonts w:ascii="Shofar" w:hAnsi="Shofar"/>
          <w:rtl/>
        </w:rPr>
        <w:endnoteReference w:id="13"/>
      </w:r>
      <w:r w:rsidRPr="00482DA7">
        <w:rPr>
          <w:rFonts w:ascii="Shofar" w:hAnsi="Shofar"/>
          <w:rtl/>
        </w:rPr>
        <w:t>:</w:t>
      </w:r>
    </w:p>
    <w:p w:rsidR="00482DA7" w:rsidRDefault="00482DA7" w:rsidP="008A6DF8">
      <w:pPr>
        <w:pStyle w:val="ListParagraph"/>
        <w:numPr>
          <w:ilvl w:val="2"/>
          <w:numId w:val="50"/>
        </w:numPr>
        <w:contextualSpacing w:val="0"/>
        <w:rPr>
          <w:rFonts w:ascii="Shofar" w:hAnsi="Shofar"/>
        </w:rPr>
      </w:pPr>
      <w:r>
        <w:rPr>
          <w:rFonts w:ascii="Shofar" w:hAnsi="Shofar"/>
          <w:rtl/>
        </w:rPr>
        <w:t>כ', "קדש הלולים לה'." לשון רבים של הלולים אומר לנו שני חיובים לברך, אחד קודם ואחד אחר אכילה.</w:t>
      </w:r>
    </w:p>
    <w:p w:rsidR="00482DA7" w:rsidRDefault="00482DA7" w:rsidP="00482DA7">
      <w:pPr>
        <w:pStyle w:val="ListParagraph"/>
        <w:ind w:left="2160"/>
        <w:contextualSpacing w:val="0"/>
        <w:rPr>
          <w:rFonts w:ascii="Shofar" w:hAnsi="Shofar"/>
        </w:rPr>
      </w:pPr>
      <w:r>
        <w:rPr>
          <w:rFonts w:ascii="Shofar" w:hAnsi="Shofar"/>
          <w:rtl/>
        </w:rPr>
        <w:t>דוחה גמרא שצריכים חד "הילול" לומר שצריך לחלל נטע רבעי כדי לאכלו בחו"ל. גם יכולים לדחות אם חיוב נטע"ר נוהג רק בענבים.</w:t>
      </w:r>
    </w:p>
    <w:p w:rsidR="00482DA7" w:rsidRDefault="00482DA7" w:rsidP="008A6DF8">
      <w:pPr>
        <w:pStyle w:val="ListParagraph"/>
        <w:numPr>
          <w:ilvl w:val="2"/>
          <w:numId w:val="50"/>
        </w:numPr>
        <w:contextualSpacing w:val="0"/>
        <w:rPr>
          <w:rFonts w:ascii="Shofar" w:hAnsi="Shofar"/>
        </w:rPr>
      </w:pPr>
      <w:r>
        <w:rPr>
          <w:rFonts w:ascii="Shofar" w:hAnsi="Shofar"/>
          <w:rtl/>
        </w:rPr>
        <w:t>חייב אדם לברך אחר אכילת פת (עיין לקמן, שנבאר שני מקורות לזה). מזה לומ' קו"ח לחייב אותו לברך קודם אכילה, כשהוא רעב. (על"ע שהזכרנו שני קו"ח.)</w:t>
      </w:r>
    </w:p>
    <w:p w:rsidR="00482DA7" w:rsidRDefault="00482DA7" w:rsidP="008A6DF8">
      <w:pPr>
        <w:pStyle w:val="ListParagraph"/>
        <w:numPr>
          <w:ilvl w:val="2"/>
          <w:numId w:val="50"/>
        </w:numPr>
        <w:contextualSpacing w:val="0"/>
        <w:rPr>
          <w:rFonts w:ascii="Shofar" w:hAnsi="Shofar"/>
        </w:rPr>
      </w:pPr>
      <w:r>
        <w:rPr>
          <w:rFonts w:ascii="Shofar" w:hAnsi="Shofar"/>
          <w:rtl/>
        </w:rPr>
        <w:t>כ', "אשר נתן לך," שמחייב ברכה משנתן לך.</w:t>
      </w:r>
    </w:p>
    <w:p w:rsidR="00482DA7" w:rsidRDefault="00482DA7" w:rsidP="008A6DF8">
      <w:pPr>
        <w:pStyle w:val="ListParagraph"/>
        <w:numPr>
          <w:ilvl w:val="2"/>
          <w:numId w:val="50"/>
        </w:numPr>
        <w:contextualSpacing w:val="0"/>
        <w:rPr>
          <w:rFonts w:ascii="Shofar" w:hAnsi="Shofar"/>
        </w:rPr>
      </w:pPr>
      <w:r>
        <w:rPr>
          <w:rFonts w:ascii="Shofar" w:hAnsi="Shofar"/>
          <w:rtl/>
        </w:rPr>
        <w:t>כ', "ברך את לחמך" שמחייב לברך בשעה שהוא לחם.</w:t>
      </w:r>
    </w:p>
    <w:p w:rsidR="00482DA7" w:rsidRDefault="00482DA7" w:rsidP="008A6DF8">
      <w:pPr>
        <w:pStyle w:val="ListParagraph"/>
        <w:numPr>
          <w:ilvl w:val="2"/>
          <w:numId w:val="50"/>
        </w:numPr>
        <w:contextualSpacing w:val="0"/>
        <w:rPr>
          <w:rFonts w:ascii="Shofar" w:hAnsi="Shofar"/>
        </w:rPr>
      </w:pPr>
      <w:r>
        <w:rPr>
          <w:rFonts w:ascii="Shofar" w:hAnsi="Shofar"/>
          <w:rtl/>
        </w:rPr>
        <w:lastRenderedPageBreak/>
        <w:t>כ', "הוא יברך את הזבח."</w:t>
      </w:r>
      <w:r>
        <w:rPr>
          <w:rStyle w:val="EndnoteReference"/>
          <w:rFonts w:ascii="Shofar" w:hAnsi="Shofar"/>
          <w:rtl/>
        </w:rPr>
        <w:endnoteReference w:id="14"/>
      </w:r>
      <w:r>
        <w:rPr>
          <w:rFonts w:ascii="Shofar" w:hAnsi="Shofar"/>
          <w:rtl/>
        </w:rPr>
        <w:t xml:space="preserve"> </w:t>
      </w:r>
      <w:r w:rsidR="0070622B">
        <w:rPr>
          <w:rFonts w:ascii="Shofar" w:hAnsi="Shofar" w:hint="cs"/>
          <w:rtl/>
        </w:rPr>
        <w:t>(עיין לעיל, שדנינו אם זה יהיה מדאו' או מדברי נביאים.)</w:t>
      </w:r>
    </w:p>
    <w:p w:rsidR="00482DA7" w:rsidRDefault="00482DA7" w:rsidP="008A6DF8">
      <w:pPr>
        <w:pStyle w:val="ListParagraph"/>
        <w:numPr>
          <w:ilvl w:val="1"/>
          <w:numId w:val="50"/>
        </w:numPr>
        <w:contextualSpacing w:val="0"/>
        <w:rPr>
          <w:rFonts w:ascii="Shofar" w:hAnsi="Shofar"/>
        </w:rPr>
      </w:pPr>
      <w:r>
        <w:rPr>
          <w:rFonts w:ascii="Shofar" w:hAnsi="Shofar"/>
          <w:rtl/>
        </w:rPr>
        <w:t xml:space="preserve">ענבים. מצאנו </w:t>
      </w:r>
      <w:r>
        <w:rPr>
          <w:rFonts w:ascii="Shofar" w:hAnsi="Shofar"/>
          <w:b/>
          <w:bCs/>
          <w:rtl/>
        </w:rPr>
        <w:t>שלש</w:t>
      </w:r>
      <w:r>
        <w:rPr>
          <w:rFonts w:ascii="Shofar" w:hAnsi="Shofar"/>
          <w:rtl/>
        </w:rPr>
        <w:t xml:space="preserve"> מקורות (ו</w:t>
      </w:r>
      <w:r>
        <w:rPr>
          <w:rFonts w:ascii="Shofar" w:hAnsi="Shofar"/>
          <w:b/>
          <w:bCs/>
          <w:rtl/>
        </w:rPr>
        <w:t>אחד</w:t>
      </w:r>
      <w:r>
        <w:rPr>
          <w:rFonts w:ascii="Shofar" w:hAnsi="Shofar"/>
          <w:rtl/>
        </w:rPr>
        <w:t xml:space="preserve"> נדחה):</w:t>
      </w:r>
    </w:p>
    <w:p w:rsidR="00482DA7" w:rsidRDefault="00482DA7" w:rsidP="008A6DF8">
      <w:pPr>
        <w:pStyle w:val="ListParagraph"/>
        <w:numPr>
          <w:ilvl w:val="2"/>
          <w:numId w:val="50"/>
        </w:numPr>
        <w:contextualSpacing w:val="0"/>
        <w:rPr>
          <w:rFonts w:ascii="Shofar" w:hAnsi="Shofar"/>
        </w:rPr>
      </w:pPr>
      <w:r>
        <w:rPr>
          <w:rFonts w:ascii="Shofar" w:hAnsi="Shofar"/>
          <w:rtl/>
        </w:rPr>
        <w:t>כ', "קדש הלולים לה'." לשון רבים של הלולים אומר לנו שני חיובים לברך, אחד קודם ואחד אחר אכילה.</w:t>
      </w:r>
    </w:p>
    <w:p w:rsidR="00482DA7" w:rsidRDefault="00482DA7" w:rsidP="00482DA7">
      <w:pPr>
        <w:pStyle w:val="ListParagraph"/>
        <w:ind w:left="2160"/>
        <w:contextualSpacing w:val="0"/>
        <w:rPr>
          <w:rFonts w:ascii="Shofar" w:hAnsi="Shofar"/>
        </w:rPr>
      </w:pPr>
      <w:r>
        <w:rPr>
          <w:rFonts w:ascii="Shofar" w:hAnsi="Shofar"/>
          <w:rtl/>
        </w:rPr>
        <w:t xml:space="preserve">דוחה גמרא שצריכים חד "הילול" לומר שצריך לחלל נטע רבעי כדי לאכלו בחו"ל. </w:t>
      </w:r>
    </w:p>
    <w:p w:rsidR="00482DA7" w:rsidRDefault="00482DA7" w:rsidP="008A6DF8">
      <w:pPr>
        <w:pStyle w:val="ListParagraph"/>
        <w:numPr>
          <w:ilvl w:val="2"/>
          <w:numId w:val="50"/>
        </w:numPr>
        <w:contextualSpacing w:val="0"/>
        <w:rPr>
          <w:rFonts w:ascii="Shofar" w:hAnsi="Shofar"/>
        </w:rPr>
      </w:pPr>
      <w:r>
        <w:rPr>
          <w:rFonts w:ascii="Shofar" w:hAnsi="Shofar"/>
          <w:rtl/>
        </w:rPr>
        <w:t xml:space="preserve">חייב אדם לברך אחר אכילת ענבים (עיין לקמן, שנבאר שני מקורות לזה). מזה לומ' קו"ח לחייב אותו לברך קודם אכילה, כשהוא רעב. </w:t>
      </w:r>
    </w:p>
    <w:p w:rsidR="00482DA7" w:rsidRDefault="00482DA7" w:rsidP="008A6DF8">
      <w:pPr>
        <w:pStyle w:val="ListParagraph"/>
        <w:numPr>
          <w:ilvl w:val="2"/>
          <w:numId w:val="50"/>
        </w:numPr>
        <w:contextualSpacing w:val="0"/>
        <w:rPr>
          <w:rFonts w:ascii="Shofar" w:hAnsi="Shofar"/>
        </w:rPr>
      </w:pPr>
      <w:r>
        <w:rPr>
          <w:rFonts w:ascii="Shofar" w:hAnsi="Shofar"/>
          <w:rtl/>
        </w:rPr>
        <w:t xml:space="preserve">יש סברה שיחייב אותו מדרבנן (אסור להנות בלי ברכה). </w:t>
      </w:r>
    </w:p>
    <w:p w:rsidR="00482DA7" w:rsidRDefault="00482DA7" w:rsidP="008A6DF8">
      <w:pPr>
        <w:pStyle w:val="ListParagraph"/>
        <w:numPr>
          <w:ilvl w:val="1"/>
          <w:numId w:val="50"/>
        </w:numPr>
        <w:contextualSpacing w:val="0"/>
        <w:rPr>
          <w:rFonts w:ascii="Shofar" w:hAnsi="Shofar"/>
        </w:rPr>
      </w:pPr>
      <w:r>
        <w:rPr>
          <w:rFonts w:ascii="Shofar" w:hAnsi="Shofar"/>
          <w:rtl/>
        </w:rPr>
        <w:t xml:space="preserve">זית. מצאנו </w:t>
      </w:r>
      <w:r>
        <w:rPr>
          <w:rFonts w:ascii="Shofar" w:hAnsi="Shofar"/>
          <w:b/>
          <w:bCs/>
          <w:rtl/>
        </w:rPr>
        <w:t xml:space="preserve">שלש </w:t>
      </w:r>
      <w:r>
        <w:rPr>
          <w:rFonts w:ascii="Shofar" w:hAnsi="Shofar"/>
          <w:rtl/>
        </w:rPr>
        <w:t>מקורות (</w:t>
      </w:r>
      <w:r>
        <w:rPr>
          <w:rFonts w:ascii="Shofar" w:hAnsi="Shofar"/>
          <w:b/>
          <w:bCs/>
          <w:rtl/>
        </w:rPr>
        <w:t>אחד</w:t>
      </w:r>
      <w:r>
        <w:rPr>
          <w:rFonts w:ascii="Shofar" w:hAnsi="Shofar"/>
          <w:rtl/>
        </w:rPr>
        <w:t xml:space="preserve"> נדחה):</w:t>
      </w:r>
    </w:p>
    <w:p w:rsidR="00482DA7" w:rsidRDefault="00482DA7" w:rsidP="008A6DF8">
      <w:pPr>
        <w:pStyle w:val="ListParagraph"/>
        <w:numPr>
          <w:ilvl w:val="2"/>
          <w:numId w:val="50"/>
        </w:numPr>
        <w:contextualSpacing w:val="0"/>
        <w:rPr>
          <w:rFonts w:ascii="Shofar" w:hAnsi="Shofar"/>
        </w:rPr>
      </w:pPr>
      <w:r>
        <w:rPr>
          <w:rFonts w:ascii="Shofar" w:hAnsi="Shofar"/>
          <w:rtl/>
        </w:rPr>
        <w:t>כ', "קדש הלולים לה'." לשון רבים של הלולים אומר לנו שני חיובים לברך, אחד קודם ואחד אחר אכילה.</w:t>
      </w:r>
    </w:p>
    <w:p w:rsidR="00482DA7" w:rsidRDefault="00482DA7" w:rsidP="00482DA7">
      <w:pPr>
        <w:pStyle w:val="ListParagraph"/>
        <w:ind w:left="2160"/>
        <w:contextualSpacing w:val="0"/>
        <w:rPr>
          <w:rFonts w:ascii="Shofar" w:hAnsi="Shofar"/>
        </w:rPr>
      </w:pPr>
      <w:r>
        <w:rPr>
          <w:rFonts w:ascii="Shofar" w:hAnsi="Shofar"/>
          <w:rtl/>
        </w:rPr>
        <w:t>דוחה גמרא שצריכים חד "הילול" לומר שצריך לחלל נטע רבעי כדי לאכלו בחו"ל. גם יכולים לדחות אם חיוב נטע"ר נוהג רק בענבים.</w:t>
      </w:r>
    </w:p>
    <w:p w:rsidR="00482DA7" w:rsidRDefault="00482DA7" w:rsidP="008A6DF8">
      <w:pPr>
        <w:pStyle w:val="ListParagraph"/>
        <w:numPr>
          <w:ilvl w:val="2"/>
          <w:numId w:val="50"/>
        </w:numPr>
        <w:contextualSpacing w:val="0"/>
        <w:rPr>
          <w:rFonts w:ascii="Shofar" w:hAnsi="Shofar"/>
        </w:rPr>
      </w:pPr>
      <w:r>
        <w:rPr>
          <w:rFonts w:ascii="Shofar" w:hAnsi="Shofar"/>
          <w:rtl/>
        </w:rPr>
        <w:t>חייב אדם לברך אחר אכילת זית (עיין לקמן, שנכ' שני מקורות לזה). מזה  לומ' קל וחומר לחייב אותו לברך קודם אכילה, כשהוא רעב.</w:t>
      </w:r>
    </w:p>
    <w:p w:rsidR="00482DA7" w:rsidRDefault="00482DA7" w:rsidP="008A6DF8">
      <w:pPr>
        <w:pStyle w:val="ListParagraph"/>
        <w:numPr>
          <w:ilvl w:val="2"/>
          <w:numId w:val="50"/>
        </w:numPr>
        <w:contextualSpacing w:val="0"/>
        <w:rPr>
          <w:rFonts w:ascii="Shofar" w:hAnsi="Shofar"/>
        </w:rPr>
      </w:pPr>
      <w:r>
        <w:rPr>
          <w:rFonts w:ascii="Shofar" w:hAnsi="Shofar"/>
          <w:rtl/>
        </w:rPr>
        <w:t>יש סברה שיחייב אותו מדרבנן (אסור להנות בלי ברכה).</w:t>
      </w:r>
    </w:p>
    <w:p w:rsidR="00482DA7" w:rsidRDefault="00482DA7" w:rsidP="008A6DF8">
      <w:pPr>
        <w:pStyle w:val="ListParagraph"/>
        <w:numPr>
          <w:ilvl w:val="1"/>
          <w:numId w:val="50"/>
        </w:numPr>
        <w:contextualSpacing w:val="0"/>
        <w:rPr>
          <w:rFonts w:ascii="Shofar" w:hAnsi="Shofar"/>
        </w:rPr>
      </w:pPr>
      <w:r>
        <w:rPr>
          <w:rFonts w:ascii="Shofar" w:hAnsi="Shofar"/>
          <w:rtl/>
        </w:rPr>
        <w:t xml:space="preserve">שבעת המינים. מצאנו </w:t>
      </w:r>
      <w:r>
        <w:rPr>
          <w:rFonts w:ascii="Shofar" w:hAnsi="Shofar"/>
          <w:b/>
          <w:bCs/>
          <w:rtl/>
        </w:rPr>
        <w:t xml:space="preserve">שלש </w:t>
      </w:r>
      <w:r>
        <w:rPr>
          <w:rFonts w:ascii="Shofar" w:hAnsi="Shofar"/>
          <w:rtl/>
        </w:rPr>
        <w:t>מקורות (</w:t>
      </w:r>
      <w:r>
        <w:rPr>
          <w:rFonts w:ascii="Shofar" w:hAnsi="Shofar"/>
          <w:b/>
          <w:bCs/>
          <w:rtl/>
        </w:rPr>
        <w:t>אחד</w:t>
      </w:r>
      <w:r>
        <w:rPr>
          <w:rFonts w:ascii="Shofar" w:hAnsi="Shofar"/>
          <w:rtl/>
        </w:rPr>
        <w:t xml:space="preserve"> נדחה):</w:t>
      </w:r>
    </w:p>
    <w:p w:rsidR="00482DA7" w:rsidRDefault="00482DA7" w:rsidP="008A6DF8">
      <w:pPr>
        <w:pStyle w:val="ListParagraph"/>
        <w:numPr>
          <w:ilvl w:val="2"/>
          <w:numId w:val="50"/>
        </w:numPr>
        <w:contextualSpacing w:val="0"/>
        <w:rPr>
          <w:rFonts w:ascii="Shofar" w:hAnsi="Shofar"/>
        </w:rPr>
      </w:pPr>
      <w:r>
        <w:rPr>
          <w:rFonts w:ascii="Shofar" w:hAnsi="Shofar"/>
          <w:rtl/>
        </w:rPr>
        <w:t>כ', "קדש הלולים לה'." לשון רבים של הלולים אומר לנו שני חיובים לברך, אחד קודם ואחד אחר אכילה.</w:t>
      </w:r>
    </w:p>
    <w:p w:rsidR="00482DA7" w:rsidRDefault="00482DA7" w:rsidP="00482DA7">
      <w:pPr>
        <w:pStyle w:val="ListParagraph"/>
        <w:ind w:left="2160"/>
        <w:contextualSpacing w:val="0"/>
        <w:rPr>
          <w:rFonts w:ascii="Shofar" w:hAnsi="Shofar"/>
        </w:rPr>
      </w:pPr>
      <w:r>
        <w:rPr>
          <w:rFonts w:ascii="Shofar" w:hAnsi="Shofar"/>
          <w:rtl/>
        </w:rPr>
        <w:t>דוחה גמרא שצריכים חד "הילול" לומר שצריך לחלל נטע רבעי כדי לאכלו בחו"ל. גם יכולים לדחות אם חיוב נטע"ר נוהג רק בענבים.</w:t>
      </w:r>
    </w:p>
    <w:p w:rsidR="00482DA7" w:rsidRDefault="00482DA7" w:rsidP="008A6DF8">
      <w:pPr>
        <w:pStyle w:val="ListParagraph"/>
        <w:numPr>
          <w:ilvl w:val="2"/>
          <w:numId w:val="50"/>
        </w:numPr>
        <w:contextualSpacing w:val="0"/>
        <w:rPr>
          <w:rFonts w:ascii="Shofar" w:hAnsi="Shofar"/>
        </w:rPr>
      </w:pPr>
      <w:r>
        <w:rPr>
          <w:rFonts w:ascii="Shofar" w:hAnsi="Shofar"/>
          <w:rtl/>
        </w:rPr>
        <w:t>חייב אדם לברך אחר אכילת שבעת המינים (עיין לקמן, שנבאר המקור לזה). מזה לומ' קו"ח לחייב אותו לברך קודם אכילה, כשהוא רעב.</w:t>
      </w:r>
    </w:p>
    <w:p w:rsidR="00482DA7" w:rsidRDefault="00482DA7" w:rsidP="008A6DF8">
      <w:pPr>
        <w:pStyle w:val="ListParagraph"/>
        <w:numPr>
          <w:ilvl w:val="2"/>
          <w:numId w:val="50"/>
        </w:numPr>
        <w:contextualSpacing w:val="0"/>
        <w:rPr>
          <w:rFonts w:ascii="Shofar" w:hAnsi="Shofar"/>
        </w:rPr>
      </w:pPr>
      <w:r>
        <w:rPr>
          <w:rFonts w:ascii="Shofar" w:hAnsi="Shofar"/>
          <w:rtl/>
        </w:rPr>
        <w:t>יש סברה שיחייב אותו מדרבנן (אסור להנות בלי ברכה).</w:t>
      </w:r>
    </w:p>
    <w:p w:rsidR="00482DA7" w:rsidRDefault="00482DA7" w:rsidP="008A6DF8">
      <w:pPr>
        <w:pStyle w:val="ListParagraph"/>
        <w:numPr>
          <w:ilvl w:val="1"/>
          <w:numId w:val="50"/>
        </w:numPr>
        <w:contextualSpacing w:val="0"/>
        <w:rPr>
          <w:rFonts w:ascii="Shofar" w:hAnsi="Shofar"/>
        </w:rPr>
      </w:pPr>
      <w:r>
        <w:rPr>
          <w:rFonts w:ascii="Shofar" w:hAnsi="Shofar"/>
          <w:rtl/>
        </w:rPr>
        <w:t>כל דבר נטוע</w:t>
      </w:r>
      <w:r>
        <w:rPr>
          <w:rStyle w:val="EndnoteReference"/>
          <w:rFonts w:ascii="Shofar" w:hAnsi="Shofar"/>
          <w:rtl/>
        </w:rPr>
        <w:endnoteReference w:id="15"/>
      </w:r>
      <w:r>
        <w:rPr>
          <w:rFonts w:ascii="Shofar" w:hAnsi="Shofar"/>
          <w:rtl/>
        </w:rPr>
        <w:t xml:space="preserve">. מצאנו </w:t>
      </w:r>
      <w:r>
        <w:rPr>
          <w:rFonts w:ascii="Shofar" w:hAnsi="Shofar"/>
          <w:b/>
          <w:bCs/>
          <w:rtl/>
        </w:rPr>
        <w:t xml:space="preserve">שלש </w:t>
      </w:r>
      <w:r>
        <w:rPr>
          <w:rFonts w:ascii="Shofar" w:hAnsi="Shofar"/>
          <w:rtl/>
        </w:rPr>
        <w:t>מקורות (</w:t>
      </w:r>
      <w:r>
        <w:rPr>
          <w:rFonts w:ascii="Shofar" w:hAnsi="Shofar"/>
          <w:b/>
          <w:bCs/>
          <w:rtl/>
        </w:rPr>
        <w:t>אחד</w:t>
      </w:r>
      <w:r>
        <w:rPr>
          <w:rFonts w:ascii="Shofar" w:hAnsi="Shofar"/>
          <w:rtl/>
        </w:rPr>
        <w:t xml:space="preserve"> נדחה):</w:t>
      </w:r>
    </w:p>
    <w:p w:rsidR="00482DA7" w:rsidRDefault="00482DA7" w:rsidP="008A6DF8">
      <w:pPr>
        <w:pStyle w:val="ListParagraph"/>
        <w:numPr>
          <w:ilvl w:val="2"/>
          <w:numId w:val="50"/>
        </w:numPr>
        <w:contextualSpacing w:val="0"/>
        <w:rPr>
          <w:rFonts w:ascii="Shofar" w:hAnsi="Shofar"/>
        </w:rPr>
      </w:pPr>
      <w:r>
        <w:rPr>
          <w:rFonts w:ascii="Shofar" w:hAnsi="Shofar"/>
          <w:rtl/>
        </w:rPr>
        <w:t>כ', "קדש הלולים לה'." לשון רבים של הלולים אומר לנו שני חיובים לברך, אחד קודם ואחד אחר אכילה.</w:t>
      </w:r>
    </w:p>
    <w:p w:rsidR="00482DA7" w:rsidRDefault="00482DA7" w:rsidP="00482DA7">
      <w:pPr>
        <w:pStyle w:val="ListParagraph"/>
        <w:ind w:left="2160"/>
        <w:contextualSpacing w:val="0"/>
        <w:rPr>
          <w:rFonts w:ascii="Shofar" w:hAnsi="Shofar"/>
        </w:rPr>
      </w:pPr>
      <w:r>
        <w:rPr>
          <w:rFonts w:ascii="Shofar" w:hAnsi="Shofar"/>
          <w:rtl/>
        </w:rPr>
        <w:t>דוחה גמרא שצריכים חד "הילול" לומר שצריך לחלל נטע רבעי כדי לאכלו בחו"ל. גם יכולים לדחות אם חיוב נטע"ר נוהג רק בענבים.</w:t>
      </w:r>
    </w:p>
    <w:p w:rsidR="00482DA7" w:rsidRDefault="00482DA7" w:rsidP="008A6DF8">
      <w:pPr>
        <w:pStyle w:val="ListParagraph"/>
        <w:numPr>
          <w:ilvl w:val="2"/>
          <w:numId w:val="50"/>
        </w:numPr>
        <w:contextualSpacing w:val="0"/>
        <w:rPr>
          <w:rFonts w:ascii="Shofar" w:hAnsi="Shofar"/>
        </w:rPr>
      </w:pPr>
      <w:r>
        <w:rPr>
          <w:rFonts w:ascii="Shofar" w:hAnsi="Shofar"/>
          <w:rtl/>
        </w:rPr>
        <w:t>חייב אדם לברך אחר אכילת כל דבר הנטוע (עיין לקמן, שנבאר המקור לזה). מזה לומ' קו"ח לחייב אותו לברך קודם אכילה, כשהוא רעב.</w:t>
      </w:r>
    </w:p>
    <w:p w:rsidR="00482DA7" w:rsidRDefault="00482DA7" w:rsidP="008A6DF8">
      <w:pPr>
        <w:pStyle w:val="ListParagraph"/>
        <w:numPr>
          <w:ilvl w:val="2"/>
          <w:numId w:val="50"/>
        </w:numPr>
        <w:contextualSpacing w:val="0"/>
        <w:rPr>
          <w:rFonts w:ascii="Shofar" w:hAnsi="Shofar"/>
        </w:rPr>
      </w:pPr>
      <w:r>
        <w:rPr>
          <w:rFonts w:ascii="Shofar" w:hAnsi="Shofar"/>
          <w:rtl/>
        </w:rPr>
        <w:t>יש סברה שיחייב אותו מדרבנן (אסור להנות בלי ברכה).</w:t>
      </w:r>
    </w:p>
    <w:p w:rsidR="00482DA7" w:rsidRDefault="00482DA7" w:rsidP="008A6DF8">
      <w:pPr>
        <w:pStyle w:val="ListParagraph"/>
        <w:numPr>
          <w:ilvl w:val="1"/>
          <w:numId w:val="50"/>
        </w:numPr>
        <w:contextualSpacing w:val="0"/>
        <w:rPr>
          <w:rFonts w:ascii="Shofar" w:hAnsi="Shofar"/>
        </w:rPr>
      </w:pPr>
      <w:r>
        <w:rPr>
          <w:rFonts w:ascii="Shofar" w:hAnsi="Shofar"/>
          <w:rtl/>
        </w:rPr>
        <w:t xml:space="preserve">שאר מינים. יש מקור </w:t>
      </w:r>
      <w:r>
        <w:rPr>
          <w:rFonts w:ascii="Shofar" w:hAnsi="Shofar"/>
          <w:b/>
          <w:bCs/>
          <w:rtl/>
        </w:rPr>
        <w:t>אחד</w:t>
      </w:r>
      <w:r>
        <w:rPr>
          <w:rFonts w:ascii="Shofar" w:hAnsi="Shofar"/>
          <w:rtl/>
        </w:rPr>
        <w:t>:</w:t>
      </w:r>
    </w:p>
    <w:p w:rsidR="00482DA7" w:rsidRDefault="00482DA7" w:rsidP="008A6DF8">
      <w:pPr>
        <w:pStyle w:val="ListParagraph"/>
        <w:numPr>
          <w:ilvl w:val="2"/>
          <w:numId w:val="50"/>
        </w:numPr>
        <w:contextualSpacing w:val="0"/>
        <w:rPr>
          <w:rFonts w:ascii="Shofar" w:hAnsi="Shofar"/>
        </w:rPr>
      </w:pPr>
      <w:r>
        <w:rPr>
          <w:rFonts w:ascii="Shofar" w:hAnsi="Shofar"/>
          <w:rtl/>
        </w:rPr>
        <w:t>יש סברה שיחייב אותו מדרבנן (אסור להנות בלי ברכה).</w:t>
      </w:r>
    </w:p>
    <w:p w:rsidR="00762050" w:rsidRPr="00B63280" w:rsidRDefault="00482DA7" w:rsidP="008A6DF8">
      <w:pPr>
        <w:pStyle w:val="ListParagraph"/>
        <w:numPr>
          <w:ilvl w:val="2"/>
          <w:numId w:val="50"/>
        </w:numPr>
        <w:contextualSpacing w:val="0"/>
        <w:rPr>
          <w:rFonts w:ascii="Shofar" w:hAnsi="Shofar"/>
        </w:rPr>
      </w:pPr>
      <w:r>
        <w:rPr>
          <w:rFonts w:ascii="Shofar" w:hAnsi="Shofar"/>
          <w:rtl/>
        </w:rPr>
        <w:t>כ', "הוא יברך את הזבח." יל"ד על איזה מין קאי, אם על בשר או על פת, אבל יחייב אותו מין.</w:t>
      </w:r>
      <w:r>
        <w:rPr>
          <w:rStyle w:val="FootnoteReference"/>
          <w:rFonts w:ascii="Shofar" w:hAnsi="Shofar"/>
          <w:rtl/>
        </w:rPr>
        <w:footnoteReference w:id="16"/>
      </w:r>
    </w:p>
    <w:p w:rsidR="00B63280" w:rsidRDefault="008921C1" w:rsidP="008A6DF8">
      <w:pPr>
        <w:pStyle w:val="ListParagraph"/>
        <w:numPr>
          <w:ilvl w:val="0"/>
          <w:numId w:val="50"/>
        </w:numPr>
        <w:contextualSpacing w:val="0"/>
        <w:rPr>
          <w:rFonts w:ascii="Shofar" w:hAnsi="Shofar"/>
        </w:rPr>
      </w:pPr>
      <w:r>
        <w:rPr>
          <w:rFonts w:hint="cs"/>
          <w:rtl/>
        </w:rPr>
        <w:t>ברכה אחרונה של מאכלים.</w:t>
      </w:r>
      <w:r w:rsidR="00B63280" w:rsidRPr="00B63280">
        <w:rPr>
          <w:rFonts w:ascii="Shofar" w:hAnsi="Shofar"/>
          <w:rtl/>
        </w:rPr>
        <w:t xml:space="preserve"> </w:t>
      </w:r>
      <w:r w:rsidR="00B63280">
        <w:rPr>
          <w:rFonts w:ascii="Shofar" w:hAnsi="Shofar" w:hint="cs"/>
          <w:rtl/>
        </w:rPr>
        <w:t>גמ' מצדד שיש ברכות מדאו' שחייבים לברך אחרי אכילת מאכלים. זה יהיה תלוי איזה מין מאכל הוא:</w:t>
      </w:r>
    </w:p>
    <w:p w:rsidR="00B63280" w:rsidRDefault="00B63280" w:rsidP="008A6DF8">
      <w:pPr>
        <w:pStyle w:val="ListParagraph"/>
        <w:numPr>
          <w:ilvl w:val="1"/>
          <w:numId w:val="50"/>
        </w:numPr>
        <w:contextualSpacing w:val="0"/>
        <w:rPr>
          <w:rFonts w:ascii="Shofar" w:hAnsi="Shofar"/>
        </w:rPr>
      </w:pPr>
      <w:r>
        <w:rPr>
          <w:rFonts w:ascii="Shofar" w:hAnsi="Shofar"/>
          <w:rtl/>
        </w:rPr>
        <w:t xml:space="preserve">פת. מצאנו </w:t>
      </w:r>
      <w:r w:rsidR="00355843">
        <w:rPr>
          <w:rFonts w:ascii="Shofar" w:hAnsi="Shofar" w:hint="cs"/>
          <w:b/>
          <w:bCs/>
          <w:rtl/>
        </w:rPr>
        <w:t>שלש</w:t>
      </w:r>
      <w:r>
        <w:rPr>
          <w:rFonts w:ascii="Shofar" w:hAnsi="Shofar"/>
          <w:rtl/>
        </w:rPr>
        <w:t xml:space="preserve"> מקורות לזה:</w:t>
      </w:r>
    </w:p>
    <w:p w:rsidR="00B63280" w:rsidRDefault="00B63280" w:rsidP="008A6DF8">
      <w:pPr>
        <w:pStyle w:val="ListParagraph"/>
        <w:numPr>
          <w:ilvl w:val="2"/>
          <w:numId w:val="50"/>
        </w:numPr>
        <w:contextualSpacing w:val="0"/>
        <w:rPr>
          <w:rFonts w:ascii="Shofar" w:hAnsi="Shofar"/>
        </w:rPr>
      </w:pPr>
      <w:r>
        <w:rPr>
          <w:rFonts w:ascii="Shofar" w:hAnsi="Shofar"/>
          <w:rtl/>
        </w:rPr>
        <w:t>כתיב, "תאכל בה לחם… ואכלת ושבעת וברכת."</w:t>
      </w:r>
    </w:p>
    <w:p w:rsidR="00B63280" w:rsidRDefault="00B63280" w:rsidP="008A6DF8">
      <w:pPr>
        <w:pStyle w:val="ListParagraph"/>
        <w:numPr>
          <w:ilvl w:val="2"/>
          <w:numId w:val="50"/>
        </w:numPr>
        <w:contextualSpacing w:val="0"/>
        <w:rPr>
          <w:rFonts w:ascii="Shofar" w:hAnsi="Shofar"/>
        </w:rPr>
      </w:pPr>
      <w:r>
        <w:rPr>
          <w:rFonts w:ascii="Shofar" w:hAnsi="Shofar"/>
          <w:rtl/>
        </w:rPr>
        <w:t>כ', "ארץ חטה… ואכלת."</w:t>
      </w:r>
      <w:r>
        <w:rPr>
          <w:rStyle w:val="EndnoteReference"/>
          <w:rFonts w:ascii="Shofar" w:hAnsi="Shofar"/>
          <w:rtl/>
        </w:rPr>
        <w:endnoteReference w:id="16"/>
      </w:r>
    </w:p>
    <w:p w:rsidR="00B63280" w:rsidRDefault="00B63280" w:rsidP="008A6DF8">
      <w:pPr>
        <w:pStyle w:val="ListParagraph"/>
        <w:numPr>
          <w:ilvl w:val="2"/>
          <w:numId w:val="50"/>
        </w:numPr>
        <w:contextualSpacing w:val="0"/>
        <w:rPr>
          <w:rFonts w:ascii="Shofar" w:hAnsi="Shofar"/>
        </w:rPr>
      </w:pPr>
      <w:r>
        <w:rPr>
          <w:rFonts w:ascii="Shofar" w:hAnsi="Shofar"/>
          <w:rtl/>
        </w:rPr>
        <w:t>כ', "קדש הלולים לה'" גבי נטע רבעי. חול' אם נטע"ר נוהג לכל נטיעות או רק לענבים (כיון שכ', "הלול" או מח' ג"ש). אם נאמר שנוהג בשאר נטיעות, יכולים ללמוד חיוב פת ממנו.</w:t>
      </w:r>
      <w:r>
        <w:rPr>
          <w:rStyle w:val="EndnoteReference"/>
          <w:rFonts w:ascii="Shofar" w:hAnsi="Shofar"/>
          <w:rtl/>
        </w:rPr>
        <w:endnoteReference w:id="17"/>
      </w:r>
    </w:p>
    <w:p w:rsidR="00B63280" w:rsidRDefault="00B63280" w:rsidP="008A6DF8">
      <w:pPr>
        <w:pStyle w:val="ListParagraph"/>
        <w:numPr>
          <w:ilvl w:val="1"/>
          <w:numId w:val="50"/>
        </w:numPr>
        <w:contextualSpacing w:val="0"/>
        <w:rPr>
          <w:rFonts w:ascii="Shofar" w:hAnsi="Shofar"/>
        </w:rPr>
      </w:pPr>
      <w:r>
        <w:rPr>
          <w:rFonts w:ascii="Shofar" w:hAnsi="Shofar"/>
          <w:rtl/>
        </w:rPr>
        <w:t xml:space="preserve">ענבים. מצאנו </w:t>
      </w:r>
      <w:r w:rsidR="00355843">
        <w:rPr>
          <w:rFonts w:ascii="Shofar" w:hAnsi="Shofar" w:hint="cs"/>
          <w:b/>
          <w:bCs/>
          <w:rtl/>
        </w:rPr>
        <w:t>שני</w:t>
      </w:r>
      <w:r>
        <w:rPr>
          <w:rFonts w:ascii="Shofar" w:hAnsi="Shofar"/>
          <w:rtl/>
        </w:rPr>
        <w:t xml:space="preserve"> מקורות:</w:t>
      </w:r>
    </w:p>
    <w:p w:rsidR="00B63280" w:rsidRDefault="00B63280" w:rsidP="008A6DF8">
      <w:pPr>
        <w:pStyle w:val="ListParagraph"/>
        <w:numPr>
          <w:ilvl w:val="2"/>
          <w:numId w:val="50"/>
        </w:numPr>
        <w:contextualSpacing w:val="0"/>
        <w:rPr>
          <w:rFonts w:ascii="Shofar" w:hAnsi="Shofar"/>
        </w:rPr>
      </w:pPr>
      <w:r>
        <w:rPr>
          <w:rFonts w:ascii="Shofar" w:hAnsi="Shofar"/>
          <w:rtl/>
        </w:rPr>
        <w:t>כ', "קדש הלולים לה'." דורשים מלשון רבים שצריך להלל לה' על אכילה. אף אם נטע"ר הוא רק בענבים, נלמד שצריך לברך אחריהם.</w:t>
      </w:r>
      <w:r>
        <w:rPr>
          <w:rStyle w:val="EndnoteReference"/>
          <w:rFonts w:ascii="Shofar" w:hAnsi="Shofar"/>
          <w:rtl/>
        </w:rPr>
        <w:endnoteReference w:id="18"/>
      </w:r>
    </w:p>
    <w:p w:rsidR="00B63280" w:rsidRDefault="00B63280" w:rsidP="00B63280">
      <w:pPr>
        <w:pStyle w:val="ListParagraph"/>
        <w:ind w:left="2160"/>
        <w:contextualSpacing w:val="0"/>
        <w:rPr>
          <w:rFonts w:ascii="Shofar" w:hAnsi="Shofar"/>
        </w:rPr>
      </w:pPr>
      <w:r>
        <w:rPr>
          <w:rFonts w:ascii="Shofar" w:hAnsi="Shofar"/>
          <w:rtl/>
        </w:rPr>
        <w:t>יש שיטה שנוהג נטע"ר רק בענבים. בתוך זה, יש שיטה שלומד אותו מלשון רבים של "הילולים." לזה, נדחה המקור.</w:t>
      </w:r>
    </w:p>
    <w:p w:rsidR="00B63280" w:rsidRDefault="00B63280" w:rsidP="008A6DF8">
      <w:pPr>
        <w:pStyle w:val="ListParagraph"/>
        <w:numPr>
          <w:ilvl w:val="2"/>
          <w:numId w:val="50"/>
        </w:numPr>
        <w:contextualSpacing w:val="0"/>
        <w:rPr>
          <w:rFonts w:ascii="Shofar" w:hAnsi="Shofar"/>
        </w:rPr>
      </w:pPr>
      <w:r>
        <w:rPr>
          <w:rFonts w:ascii="Shofar" w:hAnsi="Shofar"/>
          <w:rtl/>
        </w:rPr>
        <w:lastRenderedPageBreak/>
        <w:t>כ', "ארץ חטה… ואכלת."</w:t>
      </w:r>
    </w:p>
    <w:p w:rsidR="00B63280" w:rsidRDefault="00B63280" w:rsidP="008A6DF8">
      <w:pPr>
        <w:pStyle w:val="ListParagraph"/>
        <w:numPr>
          <w:ilvl w:val="1"/>
          <w:numId w:val="50"/>
        </w:numPr>
        <w:contextualSpacing w:val="0"/>
        <w:rPr>
          <w:rFonts w:ascii="Shofar" w:hAnsi="Shofar"/>
        </w:rPr>
      </w:pPr>
      <w:r>
        <w:rPr>
          <w:rFonts w:ascii="Shofar" w:hAnsi="Shofar"/>
          <w:rtl/>
        </w:rPr>
        <w:t xml:space="preserve">זית. יש </w:t>
      </w:r>
      <w:r w:rsidR="00AD04C0">
        <w:rPr>
          <w:rFonts w:ascii="Shofar" w:hAnsi="Shofar" w:hint="cs"/>
          <w:b/>
          <w:bCs/>
          <w:rtl/>
        </w:rPr>
        <w:t>שלש</w:t>
      </w:r>
      <w:r>
        <w:rPr>
          <w:rFonts w:ascii="Shofar" w:hAnsi="Shofar"/>
          <w:rtl/>
        </w:rPr>
        <w:t xml:space="preserve"> מקורות לזה:</w:t>
      </w:r>
    </w:p>
    <w:p w:rsidR="00B63280" w:rsidRDefault="00B63280" w:rsidP="008A6DF8">
      <w:pPr>
        <w:pStyle w:val="ListParagraph"/>
        <w:numPr>
          <w:ilvl w:val="2"/>
          <w:numId w:val="50"/>
        </w:numPr>
        <w:contextualSpacing w:val="0"/>
        <w:rPr>
          <w:rFonts w:ascii="Shofar" w:hAnsi="Shofar"/>
        </w:rPr>
      </w:pPr>
      <w:r>
        <w:rPr>
          <w:rFonts w:ascii="Shofar" w:hAnsi="Shofar"/>
          <w:rtl/>
        </w:rPr>
        <w:t>כ', "ארץ חטה… ואכלת."</w:t>
      </w:r>
    </w:p>
    <w:p w:rsidR="00B63280" w:rsidRDefault="00B63280" w:rsidP="008A6DF8">
      <w:pPr>
        <w:pStyle w:val="ListParagraph"/>
        <w:numPr>
          <w:ilvl w:val="2"/>
          <w:numId w:val="50"/>
        </w:numPr>
        <w:contextualSpacing w:val="0"/>
        <w:rPr>
          <w:rFonts w:ascii="Shofar" w:hAnsi="Shofar"/>
        </w:rPr>
      </w:pPr>
      <w:r>
        <w:rPr>
          <w:rFonts w:ascii="Shofar" w:hAnsi="Shofar"/>
          <w:rtl/>
        </w:rPr>
        <w:t>כ', "קדש הלולים לה'" גבי נטע רבעי. חול' אם נטע"ר נוהג לכל נטיעות או רק לענבים (כיון שכ', "הלול" או מח' ג"ש).</w:t>
      </w:r>
    </w:p>
    <w:p w:rsidR="00B63280" w:rsidRDefault="00B63280" w:rsidP="008A6DF8">
      <w:pPr>
        <w:pStyle w:val="ListParagraph"/>
        <w:numPr>
          <w:ilvl w:val="2"/>
          <w:numId w:val="50"/>
        </w:numPr>
        <w:contextualSpacing w:val="0"/>
        <w:rPr>
          <w:rFonts w:ascii="Shofar" w:hAnsi="Shofar"/>
        </w:rPr>
      </w:pPr>
      <w:r>
        <w:rPr>
          <w:rFonts w:ascii="Shofar" w:hAnsi="Shofar"/>
          <w:rtl/>
        </w:rPr>
        <w:t>אף אם "קדש הלולים" רק מחייב ענבים, יש לדרוש זיתים מצד השווה מענבים וקמה, שכולם נקרבים על מזבח.</w:t>
      </w:r>
      <w:r>
        <w:rPr>
          <w:rStyle w:val="EndnoteReference"/>
          <w:rFonts w:ascii="Shofar" w:hAnsi="Shofar"/>
          <w:rtl/>
        </w:rPr>
        <w:endnoteReference w:id="19"/>
      </w:r>
    </w:p>
    <w:p w:rsidR="00B63280" w:rsidRDefault="00B63280" w:rsidP="008A6DF8">
      <w:pPr>
        <w:pStyle w:val="ListParagraph"/>
        <w:numPr>
          <w:ilvl w:val="1"/>
          <w:numId w:val="50"/>
        </w:numPr>
        <w:contextualSpacing w:val="0"/>
        <w:rPr>
          <w:rFonts w:ascii="Shofar" w:hAnsi="Shofar"/>
        </w:rPr>
      </w:pPr>
      <w:r>
        <w:rPr>
          <w:rFonts w:ascii="Shofar" w:hAnsi="Shofar"/>
          <w:rtl/>
        </w:rPr>
        <w:t xml:space="preserve">שבעת המינים. יש </w:t>
      </w:r>
      <w:r w:rsidR="00AD04C0">
        <w:rPr>
          <w:rFonts w:ascii="Shofar" w:hAnsi="Shofar" w:hint="cs"/>
          <w:rtl/>
        </w:rPr>
        <w:t xml:space="preserve">מקור </w:t>
      </w:r>
      <w:r w:rsidR="00AD04C0">
        <w:rPr>
          <w:rFonts w:ascii="Shofar" w:hAnsi="Shofar" w:hint="cs"/>
          <w:b/>
          <w:bCs/>
          <w:rtl/>
        </w:rPr>
        <w:t>אחד</w:t>
      </w:r>
      <w:r w:rsidR="00AD04C0">
        <w:rPr>
          <w:rFonts w:ascii="Shofar" w:hAnsi="Shofar" w:hint="cs"/>
          <w:rtl/>
        </w:rPr>
        <w:t>:</w:t>
      </w:r>
      <w:r>
        <w:rPr>
          <w:rFonts w:ascii="Shofar" w:hAnsi="Shofar"/>
          <w:rtl/>
        </w:rPr>
        <w:t xml:space="preserve"> </w:t>
      </w:r>
    </w:p>
    <w:p w:rsidR="00B63280" w:rsidRDefault="00B63280" w:rsidP="008A6DF8">
      <w:pPr>
        <w:pStyle w:val="ListParagraph"/>
        <w:numPr>
          <w:ilvl w:val="2"/>
          <w:numId w:val="50"/>
        </w:numPr>
        <w:contextualSpacing w:val="0"/>
        <w:rPr>
          <w:rFonts w:ascii="Shofar" w:hAnsi="Shofar"/>
        </w:rPr>
      </w:pPr>
      <w:r>
        <w:rPr>
          <w:rFonts w:ascii="Shofar" w:hAnsi="Shofar"/>
          <w:rtl/>
        </w:rPr>
        <w:t>כ', "ארץ חטה… ואכלת."</w:t>
      </w:r>
    </w:p>
    <w:p w:rsidR="00B63280" w:rsidRDefault="00AD04C0" w:rsidP="008A6DF8">
      <w:pPr>
        <w:pStyle w:val="ListParagraph"/>
        <w:numPr>
          <w:ilvl w:val="1"/>
          <w:numId w:val="50"/>
        </w:numPr>
        <w:contextualSpacing w:val="0"/>
        <w:rPr>
          <w:rFonts w:ascii="Shofar" w:hAnsi="Shofar"/>
        </w:rPr>
      </w:pPr>
      <w:r>
        <w:rPr>
          <w:rFonts w:ascii="Shofar" w:hAnsi="Shofar"/>
          <w:rtl/>
        </w:rPr>
        <w:t>כל דבר נטוע. יש</w:t>
      </w:r>
      <w:r>
        <w:rPr>
          <w:rFonts w:ascii="Shofar" w:hAnsi="Shofar" w:hint="cs"/>
          <w:rtl/>
        </w:rPr>
        <w:t xml:space="preserve"> מקור </w:t>
      </w:r>
      <w:r>
        <w:rPr>
          <w:rFonts w:ascii="Shofar" w:hAnsi="Shofar" w:hint="cs"/>
          <w:b/>
          <w:bCs/>
          <w:rtl/>
        </w:rPr>
        <w:t>אחד</w:t>
      </w:r>
      <w:r>
        <w:rPr>
          <w:rFonts w:ascii="Shofar" w:hAnsi="Shofar" w:hint="cs"/>
          <w:rtl/>
        </w:rPr>
        <w:t>:</w:t>
      </w:r>
    </w:p>
    <w:p w:rsidR="008921C1" w:rsidRPr="00555C33" w:rsidRDefault="00B63280" w:rsidP="008A6DF8">
      <w:pPr>
        <w:pStyle w:val="ListParagraph"/>
        <w:numPr>
          <w:ilvl w:val="2"/>
          <w:numId w:val="50"/>
        </w:numPr>
        <w:contextualSpacing w:val="0"/>
        <w:rPr>
          <w:rFonts w:ascii="Shofar" w:hAnsi="Shofar" w:hint="cs"/>
        </w:rPr>
      </w:pPr>
      <w:r>
        <w:rPr>
          <w:rFonts w:ascii="Shofar" w:hAnsi="Shofar"/>
          <w:rtl/>
        </w:rPr>
        <w:t>כ', "קדש הלולים לה'" גבי נטע רבעי. חול' אם נטע"ר נוהג לכל נטיעות או רק לענבים (כיון שכ', "הלול" או מח' ג"ש).</w:t>
      </w:r>
      <w:r w:rsidR="008109D2">
        <w:rPr>
          <w:rStyle w:val="FootnoteReference"/>
          <w:rFonts w:ascii="Shofar" w:hAnsi="Shofar"/>
          <w:rtl/>
        </w:rPr>
        <w:footnoteReference w:id="17"/>
      </w:r>
    </w:p>
    <w:p w:rsidR="008921C1" w:rsidRDefault="008921C1" w:rsidP="008A6DF8">
      <w:pPr>
        <w:pStyle w:val="ListParagraph"/>
        <w:numPr>
          <w:ilvl w:val="0"/>
          <w:numId w:val="50"/>
        </w:numPr>
      </w:pPr>
      <w:r>
        <w:rPr>
          <w:rFonts w:hint="cs"/>
          <w:rtl/>
        </w:rPr>
        <w:t>ברכה קודם לימוד תורה.</w:t>
      </w:r>
      <w:r w:rsidR="00555C33">
        <w:rPr>
          <w:rFonts w:hint="cs"/>
          <w:rtl/>
        </w:rPr>
        <w:t xml:space="preserve"> חייב אדם לברך קודם לימוד תורה. לומדים את זה ממש"כ, "כי שם ה' אקרא [כשאדם קורא בשם ה'] הבו גודל לאלקינו [חייב לברך את ה']."</w:t>
      </w:r>
      <w:r w:rsidR="00555C33">
        <w:rPr>
          <w:rStyle w:val="FootnoteReference"/>
          <w:rtl/>
        </w:rPr>
        <w:footnoteReference w:id="18"/>
      </w:r>
      <w:r w:rsidR="00604CE1">
        <w:rPr>
          <w:rFonts w:hint="cs"/>
          <w:rtl/>
        </w:rPr>
        <w:t xml:space="preserve"> גם יש מי שלומד את זה מ"ואכל ושבעת וברכת</w:t>
      </w:r>
      <w:r w:rsidR="00604CE1">
        <w:rPr>
          <w:rFonts w:ascii="Times New Roman" w:hAnsi="Times New Roman" w:cs="Times New Roman" w:hint="cs"/>
          <w:rtl/>
        </w:rPr>
        <w:t>…</w:t>
      </w:r>
      <w:r w:rsidR="00604CE1">
        <w:rPr>
          <w:rFonts w:hint="cs"/>
          <w:rtl/>
        </w:rPr>
        <w:t xml:space="preserve"> הארץ הטובה," שתורה נקראת טובה, שכ',</w:t>
      </w:r>
      <w:r w:rsidR="00604CE1">
        <w:rPr>
          <w:rFonts w:hint="cs"/>
        </w:rPr>
        <w:t xml:space="preserve"> </w:t>
      </w:r>
      <w:r w:rsidR="00604CE1">
        <w:rPr>
          <w:rFonts w:hint="cs"/>
          <w:rtl/>
        </w:rPr>
        <w:t xml:space="preserve"> "לקח טוב</w:t>
      </w:r>
      <w:r w:rsidR="00604CE1">
        <w:rPr>
          <w:rFonts w:ascii="Times New Roman" w:hAnsi="Times New Roman" w:cs="Times New Roman" w:hint="cs"/>
          <w:rtl/>
        </w:rPr>
        <w:t>…</w:t>
      </w:r>
      <w:r w:rsidR="00604CE1">
        <w:rPr>
          <w:rFonts w:hint="cs"/>
          <w:rtl/>
        </w:rPr>
        <w:t xml:space="preserve"> תורתי אל תעזובו."</w:t>
      </w:r>
      <w:r w:rsidR="00604CE1">
        <w:rPr>
          <w:rStyle w:val="FootnoteReference"/>
          <w:rtl/>
        </w:rPr>
        <w:footnoteReference w:id="19"/>
      </w:r>
    </w:p>
    <w:p w:rsidR="00974A2D" w:rsidRDefault="008600D4" w:rsidP="00604CE1">
      <w:pPr>
        <w:pStyle w:val="ListParagraph"/>
      </w:pPr>
      <w:r>
        <w:rPr>
          <w:rFonts w:hint="cs"/>
          <w:rtl/>
        </w:rPr>
        <w:t xml:space="preserve">גמ' מבאר </w:t>
      </w:r>
      <w:r w:rsidR="006B5187">
        <w:rPr>
          <w:rFonts w:hint="cs"/>
          <w:rtl/>
        </w:rPr>
        <w:t>מה</w:t>
      </w:r>
      <w:r>
        <w:rPr>
          <w:rFonts w:hint="cs"/>
          <w:rtl/>
        </w:rPr>
        <w:t xml:space="preserve"> מברך.</w:t>
      </w:r>
      <w:r w:rsidR="006B5187">
        <w:rPr>
          <w:rStyle w:val="FootnoteReference"/>
          <w:rtl/>
        </w:rPr>
        <w:footnoteReference w:id="20"/>
      </w:r>
      <w:r>
        <w:rPr>
          <w:rFonts w:hint="cs"/>
          <w:rtl/>
        </w:rPr>
        <w:t xml:space="preserve"> </w:t>
      </w:r>
      <w:r w:rsidR="006F754D">
        <w:rPr>
          <w:rFonts w:hint="cs"/>
          <w:rtl/>
        </w:rPr>
        <w:t>שמואל אומר שמברך: "</w:t>
      </w:r>
      <w:r w:rsidR="006F754D">
        <w:rPr>
          <w:rFonts w:ascii="Times New Roman" w:hAnsi="Times New Roman" w:cs="Times New Roman" w:hint="cs"/>
          <w:rtl/>
        </w:rPr>
        <w:t>…</w:t>
      </w:r>
      <w:r w:rsidR="006F754D">
        <w:rPr>
          <w:rFonts w:hint="cs"/>
          <w:rtl/>
        </w:rPr>
        <w:t xml:space="preserve"> </w:t>
      </w:r>
      <w:r w:rsidR="006B5187" w:rsidRPr="006B5187">
        <w:rPr>
          <w:rtl/>
        </w:rPr>
        <w:t>אשר קדשנו במצותיו וצונו לעסוק בדברי תורה</w:t>
      </w:r>
      <w:r w:rsidR="006F754D">
        <w:rPr>
          <w:rFonts w:hint="cs"/>
          <w:rtl/>
        </w:rPr>
        <w:t>." רבי יוחנן אומר שצריך</w:t>
      </w:r>
      <w:r w:rsidR="006F754D">
        <w:rPr>
          <w:rStyle w:val="FootnoteReference"/>
          <w:rtl/>
        </w:rPr>
        <w:footnoteReference w:id="21"/>
      </w:r>
      <w:r w:rsidR="006F754D">
        <w:rPr>
          <w:rFonts w:hint="cs"/>
          <w:rtl/>
        </w:rPr>
        <w:t xml:space="preserve"> לסיים ככה: "</w:t>
      </w:r>
      <w:r w:rsidR="006F754D">
        <w:rPr>
          <w:rFonts w:ascii="Times New Roman" w:hAnsi="Times New Roman" w:cs="Times New Roman" w:hint="cs"/>
          <w:rtl/>
        </w:rPr>
        <w:t>…</w:t>
      </w:r>
      <w:r w:rsidR="006B5187" w:rsidRPr="006B5187">
        <w:rPr>
          <w:rtl/>
        </w:rPr>
        <w:t>הערב נא ה' אלהינו את דברי תורתך בפינו ובפיפיות עמך בית ישראל ונהיה אנחנו וצאצאינו וצאצאי עמך בית ישראל כלנו יודעי שמך ועוסקי תורתך ברוך אתה ה' המלמד תורה לעמו ישראל</w:t>
      </w:r>
      <w:r w:rsidR="00E30FE8">
        <w:rPr>
          <w:rFonts w:hint="cs"/>
          <w:rtl/>
        </w:rPr>
        <w:t xml:space="preserve">." </w:t>
      </w:r>
      <w:r w:rsidR="006B5187" w:rsidRPr="006B5187">
        <w:rPr>
          <w:rtl/>
        </w:rPr>
        <w:t xml:space="preserve">רב המנונא אמר </w:t>
      </w:r>
      <w:r w:rsidR="00E30FE8">
        <w:rPr>
          <w:rFonts w:hint="cs"/>
          <w:rtl/>
        </w:rPr>
        <w:t>שיברך, "</w:t>
      </w:r>
      <w:r w:rsidR="00E30FE8">
        <w:rPr>
          <w:rFonts w:ascii="Times New Roman" w:hAnsi="Times New Roman" w:cs="Times New Roman" w:hint="cs"/>
          <w:rtl/>
        </w:rPr>
        <w:t>…</w:t>
      </w:r>
      <w:r w:rsidR="00E30FE8">
        <w:rPr>
          <w:rFonts w:hint="cs"/>
          <w:rtl/>
        </w:rPr>
        <w:t xml:space="preserve"> </w:t>
      </w:r>
      <w:r w:rsidR="006B5187" w:rsidRPr="006B5187">
        <w:rPr>
          <w:rtl/>
        </w:rPr>
        <w:t>אשר בחר בנו מכל העמים ונתן לנו את תורתו ברוך אתה ה' נותן התורה</w:t>
      </w:r>
      <w:r w:rsidR="00E30FE8">
        <w:rPr>
          <w:rFonts w:hint="cs"/>
          <w:rtl/>
        </w:rPr>
        <w:t>." מסיק גמ' שכיון שזה מעולה שבברכות</w:t>
      </w:r>
      <w:r w:rsidR="00E30FE8">
        <w:rPr>
          <w:rStyle w:val="FootnoteReference"/>
          <w:rtl/>
        </w:rPr>
        <w:footnoteReference w:id="22"/>
      </w:r>
      <w:r w:rsidR="009B6C48">
        <w:rPr>
          <w:rFonts w:hint="cs"/>
          <w:rtl/>
        </w:rPr>
        <w:t>, ולכן אומר שני הברכות.</w:t>
      </w:r>
      <w:r w:rsidR="009B6C48">
        <w:rPr>
          <w:rStyle w:val="FootnoteReference"/>
          <w:rtl/>
        </w:rPr>
        <w:footnoteReference w:id="23"/>
      </w:r>
      <w:r w:rsidR="008C19FA">
        <w:rPr>
          <w:rStyle w:val="FootnoteReference"/>
          <w:rtl/>
        </w:rPr>
        <w:footnoteReference w:id="24"/>
      </w:r>
      <w:r w:rsidR="008C19FA">
        <w:rPr>
          <w:rFonts w:hint="cs"/>
          <w:rtl/>
        </w:rPr>
        <w:t xml:space="preserve"> אף שאומר לשונות אלו לכתחילה, אם אמר אהבה רבה, יצא ידי חובתו.</w:t>
      </w:r>
      <w:r w:rsidR="008C19FA">
        <w:rPr>
          <w:rStyle w:val="FootnoteReference"/>
          <w:rtl/>
        </w:rPr>
        <w:footnoteReference w:id="25"/>
      </w:r>
    </w:p>
    <w:p w:rsidR="00974A2D" w:rsidRPr="00974A2D" w:rsidRDefault="008C19FA" w:rsidP="00604CE1">
      <w:pPr>
        <w:pStyle w:val="ListParagraph"/>
      </w:pPr>
      <w:r>
        <w:rPr>
          <w:rFonts w:hint="cs"/>
          <w:rtl/>
        </w:rPr>
        <w:t xml:space="preserve">לא לכל השיטות מברך על כל </w:t>
      </w:r>
      <w:r w:rsidR="00F869BF">
        <w:rPr>
          <w:rFonts w:hint="cs"/>
          <w:rtl/>
        </w:rPr>
        <w:t>חלק של</w:t>
      </w:r>
      <w:r>
        <w:rPr>
          <w:rFonts w:hint="cs"/>
          <w:rtl/>
        </w:rPr>
        <w:t xml:space="preserve"> תורה.</w:t>
      </w:r>
      <w:r w:rsidR="00974A2D" w:rsidRPr="00F665B6">
        <w:rPr>
          <w:rtl/>
        </w:rPr>
        <w:t xml:space="preserve"> </w:t>
      </w:r>
      <w:r w:rsidR="00974A2D" w:rsidRPr="00F665B6">
        <w:rPr>
          <w:rFonts w:hint="cs"/>
          <w:rtl/>
        </w:rPr>
        <w:t>רב הונא סובר שצריך לברך למקרא, אבל לא למדרש. רב אלעזר סובר שצריך לברך למקרא ולמדרש, אבל לא למשנה. רבי יוחנן אומר שצריך לברך למקרא, למדרש, ולמשנה, אבל לא לתלמוד. רבא אומר שצריך לברך גם לתלמוד (ואז יוצא שצריך לברך לכל תורה).</w:t>
      </w:r>
      <w:r w:rsidR="009A4D88">
        <w:rPr>
          <w:rStyle w:val="FootnoteReference"/>
          <w:rtl/>
        </w:rPr>
        <w:footnoteReference w:id="26"/>
      </w:r>
      <w:r w:rsidR="00560B86">
        <w:rPr>
          <w:rStyle w:val="FootnoteReference"/>
          <w:rtl/>
        </w:rPr>
        <w:footnoteReference w:id="27"/>
      </w:r>
    </w:p>
    <w:p w:rsidR="008921C1" w:rsidRDefault="008921C1" w:rsidP="008A6DF8">
      <w:pPr>
        <w:pStyle w:val="ListParagraph"/>
        <w:numPr>
          <w:ilvl w:val="0"/>
          <w:numId w:val="50"/>
        </w:numPr>
      </w:pPr>
      <w:r>
        <w:rPr>
          <w:rFonts w:hint="cs"/>
          <w:rtl/>
        </w:rPr>
        <w:t>ברכה אחרי לימוד תורה.</w:t>
      </w:r>
      <w:r w:rsidR="00DD0E74">
        <w:rPr>
          <w:rFonts w:hint="cs"/>
          <w:rtl/>
        </w:rPr>
        <w:t xml:space="preserve"> מצדד גמ' שיברך אחרי לימוד תורה. לומד את זה מקל וחומר מברכת המזון, שאף שלא כתוב שמברך לפניו</w:t>
      </w:r>
      <w:r w:rsidR="00DD0E74">
        <w:rPr>
          <w:rStyle w:val="FootnoteReference"/>
          <w:rtl/>
        </w:rPr>
        <w:footnoteReference w:id="28"/>
      </w:r>
      <w:r w:rsidR="00282B06">
        <w:rPr>
          <w:rFonts w:hint="cs"/>
          <w:rtl/>
        </w:rPr>
        <w:t>, צריך לברך לאחריו. אז, בתורה, שכתוב שצריך לברך לפניו, בוודאי צריך לברך לאחריו.</w:t>
      </w:r>
      <w:r w:rsidR="00560B86">
        <w:rPr>
          <w:rFonts w:hint="cs"/>
          <w:rtl/>
        </w:rPr>
        <w:t xml:space="preserve"> דוחה גמ' שנהנה ממזון (מה שאין כן גבי תורה, שמצוות לאו ליהנות, וגם אין הנאת הגוף), ואז אי אפשר ללמוד ממנו.</w:t>
      </w:r>
      <w:r w:rsidR="00BD6A66">
        <w:rPr>
          <w:rStyle w:val="FootnoteReference"/>
          <w:rtl/>
        </w:rPr>
        <w:footnoteReference w:id="29"/>
      </w:r>
    </w:p>
    <w:p w:rsidR="00482DA7" w:rsidRDefault="00482DA7" w:rsidP="008A6DF8">
      <w:pPr>
        <w:pStyle w:val="ListParagraph"/>
        <w:numPr>
          <w:ilvl w:val="0"/>
          <w:numId w:val="50"/>
        </w:numPr>
        <w:rPr>
          <w:rFonts w:hint="cs"/>
        </w:rPr>
      </w:pPr>
      <w:r>
        <w:rPr>
          <w:rFonts w:hint="cs"/>
          <w:rtl/>
        </w:rPr>
        <w:lastRenderedPageBreak/>
        <w:t>ת</w:t>
      </w:r>
      <w:r w:rsidR="00221499">
        <w:rPr>
          <w:rFonts w:hint="cs"/>
          <w:rtl/>
        </w:rPr>
        <w:t>פלה. רמב"ם</w:t>
      </w:r>
      <w:r w:rsidR="00F433D0">
        <w:rPr>
          <w:rStyle w:val="FootnoteReference"/>
          <w:rtl/>
        </w:rPr>
        <w:footnoteReference w:id="30"/>
      </w:r>
      <w:r w:rsidR="00221499">
        <w:rPr>
          <w:rFonts w:hint="cs"/>
          <w:rtl/>
        </w:rPr>
        <w:t xml:space="preserve"> סוב</w:t>
      </w:r>
      <w:r w:rsidR="00F433D0">
        <w:rPr>
          <w:rFonts w:hint="cs"/>
          <w:rtl/>
        </w:rPr>
        <w:t>ר שיש חיוב מדאו' להתפלל בכל יום, ולומד את זה מ"ועבדתם את ה' אלקיכם," שדורש ספרי שזה תפילה.</w:t>
      </w:r>
      <w:r w:rsidR="00664045">
        <w:rPr>
          <w:rFonts w:hint="cs"/>
          <w:rtl/>
        </w:rPr>
        <w:t xml:space="preserve"> רמב"ן חולק, וסובר שיש חיוב מדאו' להתפלל בשעת צרה.</w:t>
      </w:r>
    </w:p>
    <w:p w:rsidR="00664045" w:rsidRDefault="00664045" w:rsidP="00664045">
      <w:pPr>
        <w:pStyle w:val="ListParagraph"/>
      </w:pPr>
      <w:r>
        <w:rPr>
          <w:rFonts w:hint="cs"/>
          <w:rtl/>
        </w:rPr>
        <w:t>בשנים אלו, יש לדון אם יש חיוב להתפלל בברכה או רק להתפלל.</w:t>
      </w:r>
    </w:p>
    <w:p w:rsidR="00B53C07" w:rsidRDefault="00B53C07" w:rsidP="008A6DF8">
      <w:pPr>
        <w:pStyle w:val="ListParagraph"/>
        <w:numPr>
          <w:ilvl w:val="0"/>
          <w:numId w:val="50"/>
        </w:numPr>
        <w:rPr>
          <w:rFonts w:hint="cs"/>
        </w:rPr>
      </w:pPr>
      <w:r>
        <w:rPr>
          <w:rFonts w:hint="cs"/>
          <w:rtl/>
        </w:rPr>
        <w:t>קידוש היום. זה נלמד ממש"כ, "זכור את יום השבת לקדשו." אבל, לא פשוט לי שמדאו' צריך ברכה.</w:t>
      </w:r>
    </w:p>
    <w:p w:rsidR="008921C1" w:rsidRPr="00A3207E" w:rsidRDefault="00795839" w:rsidP="008A6DF8">
      <w:pPr>
        <w:pStyle w:val="ListParagraph"/>
        <w:numPr>
          <w:ilvl w:val="0"/>
          <w:numId w:val="50"/>
        </w:numPr>
      </w:pPr>
      <w:r>
        <w:rPr>
          <w:rFonts w:hint="cs"/>
          <w:rtl/>
        </w:rPr>
        <w:t>יש גם ברכות שבהם מקיימים מצוות מדאו', כמו ברכות שמזכירים יציאת מצרים. אבל, מדא</w:t>
      </w:r>
      <w:r w:rsidR="00A3207E">
        <w:rPr>
          <w:rFonts w:hint="cs"/>
          <w:rtl/>
        </w:rPr>
        <w:t>ו' אין צורך לומר אותו בתוך ברכה.</w:t>
      </w:r>
    </w:p>
    <w:p w:rsidR="00643327" w:rsidRDefault="00B63280" w:rsidP="008921C1">
      <w:pPr>
        <w:pStyle w:val="Heading1"/>
        <w:rPr>
          <w:rtl/>
        </w:rPr>
      </w:pPr>
      <w:bookmarkStart w:id="3" w:name="__RefHeading___Toc90808_2054497345"/>
      <w:bookmarkEnd w:id="3"/>
      <w:r>
        <w:rPr>
          <w:rtl/>
        </w:rPr>
        <w:t xml:space="preserve"> כללי ברכות:</w:t>
      </w:r>
    </w:p>
    <w:p w:rsidR="00096566" w:rsidRPr="00096566" w:rsidRDefault="00096566" w:rsidP="00096566">
      <w:r>
        <w:rPr>
          <w:rFonts w:hint="cs"/>
          <w:rtl/>
        </w:rPr>
        <w:t>קודם שאדם אוכל (אבל לא קודם שהוא טועם</w:t>
      </w:r>
      <w:r w:rsidR="008C579A">
        <w:rPr>
          <w:rFonts w:hint="cs"/>
          <w:rtl/>
        </w:rPr>
        <w:t xml:space="preserve"> פחות מרביעית</w:t>
      </w:r>
      <w:r>
        <w:rPr>
          <w:rStyle w:val="FootnoteReference"/>
          <w:rtl/>
        </w:rPr>
        <w:footnoteReference w:id="31"/>
      </w:r>
      <w:r>
        <w:rPr>
          <w:rFonts w:hint="cs"/>
          <w:rtl/>
        </w:rPr>
        <w:t>), צריך לברך. אבל, יש ברכות חלוקות למינים חלוקים של מאכל.</w:t>
      </w:r>
    </w:p>
    <w:p w:rsidR="00643327" w:rsidRDefault="00B63280">
      <w:pPr>
        <w:pStyle w:val="Heading2"/>
        <w:rPr>
          <w:rFonts w:ascii="Shofar" w:hAnsi="Shofar" w:cs="Shofar"/>
        </w:rPr>
      </w:pPr>
      <w:bookmarkStart w:id="4" w:name="__RefHeading___Toc90810_2054497345"/>
      <w:bookmarkEnd w:id="4"/>
      <w:r>
        <w:rPr>
          <w:rFonts w:ascii="Shofar" w:hAnsi="Shofar" w:cs="Shofar"/>
          <w:rtl/>
        </w:rPr>
        <w:t>ברכת שהכל:</w:t>
      </w:r>
    </w:p>
    <w:p w:rsidR="00643327" w:rsidRDefault="00B63280">
      <w:pPr>
        <w:rPr>
          <w:rFonts w:ascii="Shofar" w:hAnsi="Shofar"/>
        </w:rPr>
      </w:pPr>
      <w:r>
        <w:rPr>
          <w:rFonts w:ascii="Shofar" w:hAnsi="Shofar"/>
          <w:rtl/>
        </w:rPr>
        <w:t>על כל דבר שלא ינק מן הארץ, מברכים שהכל נהיה</w:t>
      </w:r>
      <w:r>
        <w:rPr>
          <w:rStyle w:val="EndnoteReference"/>
          <w:rFonts w:ascii="Shofar" w:hAnsi="Shofar"/>
          <w:rtl/>
        </w:rPr>
        <w:endnoteReference w:id="20"/>
      </w:r>
      <w:r>
        <w:rPr>
          <w:rFonts w:ascii="Shofar" w:hAnsi="Shofar"/>
          <w:rtl/>
        </w:rPr>
        <w:t xml:space="preserve"> בדברו.</w:t>
      </w:r>
      <w:r>
        <w:rPr>
          <w:rStyle w:val="FootnoteReference"/>
          <w:rFonts w:ascii="Shofar" w:hAnsi="Shofar"/>
          <w:rtl/>
        </w:rPr>
        <w:footnoteReference w:id="32"/>
      </w:r>
      <w:r>
        <w:rPr>
          <w:rFonts w:ascii="Shofar" w:hAnsi="Shofar"/>
          <w:rtl/>
        </w:rPr>
        <w:t>. ר"ל, מברך אותו על דבר שלא התחיל בארץ (כמו בשר), ועל דבר ששינה ממה שהיה כשיצא. גם מברך אותו על דבר שנאכל לרפואה, וכמה מן היוצאים מכלל ברכות אחרות לקמן.</w:t>
      </w:r>
    </w:p>
    <w:p w:rsidR="00643327" w:rsidRDefault="00B63280">
      <w:pPr>
        <w:rPr>
          <w:rFonts w:ascii="Shofar" w:hAnsi="Shofar"/>
        </w:rPr>
      </w:pPr>
      <w:r>
        <w:rPr>
          <w:rFonts w:ascii="Shofar" w:hAnsi="Shofar"/>
          <w:rtl/>
        </w:rPr>
        <w:t>יש רק דבר אחד שיוצא מכלל זה</w:t>
      </w:r>
      <w:r>
        <w:rPr>
          <w:rStyle w:val="FootnoteReference"/>
          <w:rFonts w:ascii="Shofar" w:hAnsi="Shofar"/>
          <w:rtl/>
        </w:rPr>
        <w:footnoteReference w:id="33"/>
      </w:r>
      <w:r>
        <w:rPr>
          <w:rFonts w:ascii="Shofar" w:hAnsi="Shofar"/>
          <w:rtl/>
        </w:rPr>
        <w:t>:</w:t>
      </w:r>
    </w:p>
    <w:p w:rsidR="00643327" w:rsidRDefault="00B63280" w:rsidP="008A6DF8">
      <w:pPr>
        <w:numPr>
          <w:ilvl w:val="0"/>
          <w:numId w:val="28"/>
        </w:numPr>
        <w:rPr>
          <w:rFonts w:ascii="Shofar" w:hAnsi="Shofar"/>
        </w:rPr>
      </w:pPr>
      <w:r>
        <w:rPr>
          <w:rFonts w:ascii="Shofar" w:hAnsi="Shofar"/>
          <w:rtl/>
        </w:rPr>
        <w:t>מים. ר"ט אומר שלא מברכים שהכל נהיה בדברו על מים, אלא בורא נפשות</w:t>
      </w:r>
      <w:r>
        <w:rPr>
          <w:rStyle w:val="FootnoteReference"/>
          <w:rFonts w:ascii="Shofar" w:hAnsi="Shofar"/>
          <w:rtl/>
        </w:rPr>
        <w:footnoteReference w:id="34"/>
      </w:r>
      <w:r>
        <w:rPr>
          <w:rFonts w:ascii="Shofar" w:hAnsi="Shofar"/>
          <w:rtl/>
        </w:rPr>
        <w:t>. רבנן חולק’ עליו, וכן נוהגים</w:t>
      </w:r>
      <w:r>
        <w:rPr>
          <w:rStyle w:val="FootnoteReference"/>
          <w:rFonts w:ascii="Shofar" w:hAnsi="Shofar"/>
          <w:rtl/>
        </w:rPr>
        <w:footnoteReference w:id="35"/>
      </w:r>
      <w:r>
        <w:rPr>
          <w:rFonts w:ascii="Shofar" w:hAnsi="Shofar"/>
          <w:rtl/>
        </w:rPr>
        <w:t>.</w:t>
      </w:r>
    </w:p>
    <w:p w:rsidR="00643327" w:rsidRDefault="00B63280">
      <w:pPr>
        <w:rPr>
          <w:rFonts w:ascii="Shofar" w:hAnsi="Shofar"/>
        </w:rPr>
      </w:pPr>
      <w:r>
        <w:rPr>
          <w:rFonts w:ascii="Shofar" w:hAnsi="Shofar"/>
          <w:rtl/>
        </w:rPr>
        <w:t>אם ברך אותו על כל דבר, יצא.</w:t>
      </w:r>
      <w:r>
        <w:rPr>
          <w:rStyle w:val="FootnoteReference"/>
          <w:rFonts w:ascii="Shofar" w:hAnsi="Shofar"/>
          <w:rtl/>
        </w:rPr>
        <w:footnoteReference w:id="36"/>
      </w:r>
      <w:r>
        <w:rPr>
          <w:rFonts w:ascii="Shofar" w:hAnsi="Shofar"/>
          <w:rtl/>
        </w:rPr>
        <w:t xml:space="preserve"> יש שנים שיוצאים מכלל זה:</w:t>
      </w:r>
    </w:p>
    <w:p w:rsidR="00643327" w:rsidRDefault="00B63280" w:rsidP="008A6DF8">
      <w:pPr>
        <w:pStyle w:val="ListParagraph"/>
        <w:numPr>
          <w:ilvl w:val="0"/>
          <w:numId w:val="7"/>
        </w:numPr>
        <w:contextualSpacing w:val="0"/>
        <w:rPr>
          <w:rFonts w:ascii="Shofar" w:hAnsi="Shofar"/>
        </w:rPr>
      </w:pPr>
      <w:r>
        <w:rPr>
          <w:rFonts w:ascii="Shofar" w:hAnsi="Shofar"/>
          <w:rtl/>
        </w:rPr>
        <w:t>פת. חולקים בזה רב הונא (שסובר שיוצא מן הכלל, ולא יוצא בו), ורבי יוחנן (שסובר שלא יוצא מן הכלל).</w:t>
      </w:r>
    </w:p>
    <w:p w:rsidR="00643327" w:rsidRDefault="00B63280" w:rsidP="008A6DF8">
      <w:pPr>
        <w:pStyle w:val="ListParagraph"/>
        <w:numPr>
          <w:ilvl w:val="0"/>
          <w:numId w:val="7"/>
        </w:numPr>
        <w:contextualSpacing w:val="0"/>
        <w:rPr>
          <w:rFonts w:ascii="Shofar" w:hAnsi="Shofar"/>
        </w:rPr>
      </w:pPr>
      <w:r>
        <w:rPr>
          <w:rFonts w:ascii="Shofar" w:hAnsi="Shofar"/>
          <w:rtl/>
        </w:rPr>
        <w:t>יין. חולקים בזה ר"ה (שסובר שיוצא מן הכלל), ור"י (שסובר שלא יוצא מן הכלל).</w:t>
      </w:r>
      <w:r>
        <w:rPr>
          <w:rStyle w:val="FootnoteReference"/>
          <w:rFonts w:ascii="Shofar" w:hAnsi="Shofar"/>
          <w:rtl/>
        </w:rPr>
        <w:footnoteReference w:id="37"/>
      </w:r>
    </w:p>
    <w:p w:rsidR="00643327" w:rsidRDefault="00B63280">
      <w:pPr>
        <w:pStyle w:val="Heading2"/>
        <w:rPr>
          <w:rFonts w:ascii="Shofar" w:hAnsi="Shofar" w:cs="Shofar"/>
        </w:rPr>
      </w:pPr>
      <w:bookmarkStart w:id="5" w:name="__RefHeading___Toc90812_2054497345"/>
      <w:bookmarkEnd w:id="5"/>
      <w:r>
        <w:rPr>
          <w:rFonts w:ascii="Shofar" w:hAnsi="Shofar" w:cs="Shofar"/>
          <w:rtl/>
        </w:rPr>
        <w:t>ברכת המוציא:</w:t>
      </w:r>
    </w:p>
    <w:p w:rsidR="00643327" w:rsidRDefault="00B63280">
      <w:pPr>
        <w:rPr>
          <w:rFonts w:ascii="Shofar" w:hAnsi="Shofar"/>
        </w:rPr>
      </w:pPr>
      <w:r>
        <w:rPr>
          <w:rFonts w:ascii="Shofar" w:hAnsi="Shofar"/>
          <w:rtl/>
        </w:rPr>
        <w:t>על פת, מברכים (ה)מוציא לחם מן הארץ.</w:t>
      </w:r>
      <w:r>
        <w:rPr>
          <w:rStyle w:val="FootnoteReference"/>
          <w:rFonts w:ascii="Shofar" w:hAnsi="Shofar"/>
          <w:rtl/>
        </w:rPr>
        <w:footnoteReference w:id="38"/>
      </w:r>
    </w:p>
    <w:p w:rsidR="00643327" w:rsidRDefault="00B63280">
      <w:pPr>
        <w:rPr>
          <w:rFonts w:ascii="Shofar" w:hAnsi="Shofar"/>
        </w:rPr>
      </w:pPr>
      <w:r>
        <w:rPr>
          <w:rFonts w:ascii="Shofar" w:hAnsi="Shofar"/>
          <w:rtl/>
        </w:rPr>
        <w:t>מהו פת:</w:t>
      </w:r>
    </w:p>
    <w:p w:rsidR="00643327" w:rsidRDefault="00B63280" w:rsidP="008A6DF8">
      <w:pPr>
        <w:numPr>
          <w:ilvl w:val="0"/>
          <w:numId w:val="11"/>
        </w:numPr>
        <w:rPr>
          <w:rFonts w:ascii="Shofar" w:hAnsi="Shofar"/>
        </w:rPr>
      </w:pPr>
      <w:r>
        <w:rPr>
          <w:rFonts w:ascii="Shofar" w:hAnsi="Shofar"/>
          <w:rtl/>
        </w:rPr>
        <w:t>צריך להיות מחמשת המינים (חטה, שעורה, שבלת שועל, שיפון, כוסמין). ריב"נ מוסיף אורז ודוחן</w:t>
      </w:r>
      <w:r>
        <w:rPr>
          <w:rStyle w:val="FootnoteReference"/>
          <w:rFonts w:ascii="Shofar" w:hAnsi="Shofar"/>
          <w:rtl/>
        </w:rPr>
        <w:footnoteReference w:id="39"/>
      </w:r>
      <w:r>
        <w:rPr>
          <w:rFonts w:ascii="Shofar" w:hAnsi="Shofar"/>
          <w:rtl/>
        </w:rPr>
        <w:t>.</w:t>
      </w:r>
    </w:p>
    <w:p w:rsidR="00643327" w:rsidRDefault="00B63280" w:rsidP="008A6DF8">
      <w:pPr>
        <w:numPr>
          <w:ilvl w:val="0"/>
          <w:numId w:val="11"/>
        </w:numPr>
        <w:rPr>
          <w:rFonts w:ascii="Shofar" w:hAnsi="Shofar"/>
        </w:rPr>
      </w:pPr>
      <w:r>
        <w:rPr>
          <w:rFonts w:ascii="Shofar" w:hAnsi="Shofar"/>
          <w:rtl/>
        </w:rPr>
        <w:t>צריך להיות גוש.</w:t>
      </w:r>
      <w:r>
        <w:rPr>
          <w:rStyle w:val="FootnoteReference"/>
          <w:rFonts w:ascii="Shofar" w:hAnsi="Shofar"/>
          <w:rtl/>
        </w:rPr>
        <w:footnoteReference w:id="40"/>
      </w:r>
    </w:p>
    <w:p w:rsidR="00643327" w:rsidRDefault="00B63280" w:rsidP="008A6DF8">
      <w:pPr>
        <w:numPr>
          <w:ilvl w:val="0"/>
          <w:numId w:val="11"/>
        </w:numPr>
        <w:rPr>
          <w:rFonts w:ascii="Shofar" w:hAnsi="Shofar"/>
        </w:rPr>
      </w:pPr>
      <w:r>
        <w:rPr>
          <w:rFonts w:ascii="Shofar" w:hAnsi="Shofar"/>
          <w:rtl/>
        </w:rPr>
        <w:t>צריך להיות נאפה, מבושל, או מטוגן.</w:t>
      </w:r>
      <w:r>
        <w:rPr>
          <w:rStyle w:val="FootnoteReference"/>
          <w:rFonts w:ascii="Shofar" w:hAnsi="Shofar"/>
          <w:rtl/>
        </w:rPr>
        <w:footnoteReference w:id="41"/>
      </w:r>
      <w:r>
        <w:rPr>
          <w:rFonts w:ascii="Shofar" w:hAnsi="Shofar"/>
          <w:rtl/>
        </w:rPr>
        <w:t xml:space="preserve"> (עיין בגמ' כאן</w:t>
      </w:r>
      <w:r>
        <w:rPr>
          <w:rStyle w:val="FootnoteReference"/>
          <w:rFonts w:ascii="Shofar" w:hAnsi="Shofar"/>
          <w:rtl/>
        </w:rPr>
        <w:footnoteReference w:id="42"/>
      </w:r>
      <w:r>
        <w:rPr>
          <w:rFonts w:ascii="Shofar" w:hAnsi="Shofar"/>
          <w:rtl/>
        </w:rPr>
        <w:t xml:space="preserve"> ובפסחים</w:t>
      </w:r>
      <w:r>
        <w:rPr>
          <w:rStyle w:val="FootnoteReference"/>
          <w:rFonts w:ascii="Shofar" w:hAnsi="Shofar"/>
          <w:rtl/>
        </w:rPr>
        <w:footnoteReference w:id="43"/>
      </w:r>
      <w:r>
        <w:rPr>
          <w:rFonts w:ascii="Shofar" w:hAnsi="Shofar"/>
          <w:rtl/>
        </w:rPr>
        <w:t xml:space="preserve"> שמבאר דיני אפייתו.)</w:t>
      </w:r>
      <w:r>
        <w:rPr>
          <w:rStyle w:val="EndnoteReference"/>
          <w:rFonts w:ascii="Shofar" w:hAnsi="Shofar"/>
          <w:rtl/>
        </w:rPr>
        <w:endnoteReference w:id="21"/>
      </w:r>
    </w:p>
    <w:p w:rsidR="00643327" w:rsidRDefault="00B63280" w:rsidP="008A6DF8">
      <w:pPr>
        <w:numPr>
          <w:ilvl w:val="0"/>
          <w:numId w:val="11"/>
        </w:numPr>
        <w:rPr>
          <w:rFonts w:ascii="Shofar" w:hAnsi="Shofar"/>
        </w:rPr>
      </w:pPr>
      <w:r>
        <w:rPr>
          <w:rFonts w:ascii="Shofar" w:hAnsi="Shofar"/>
          <w:rtl/>
        </w:rPr>
        <w:t>צריך להיות לו צורת הפת.</w:t>
      </w:r>
      <w:r>
        <w:rPr>
          <w:rStyle w:val="FootnoteReference"/>
          <w:rFonts w:ascii="Shofar" w:hAnsi="Shofar"/>
          <w:rtl/>
        </w:rPr>
        <w:footnoteReference w:id="44"/>
      </w:r>
    </w:p>
    <w:p w:rsidR="00643327" w:rsidRDefault="00B63280" w:rsidP="008A6DF8">
      <w:pPr>
        <w:numPr>
          <w:ilvl w:val="0"/>
          <w:numId w:val="11"/>
        </w:numPr>
        <w:rPr>
          <w:rFonts w:ascii="Shofar" w:hAnsi="Shofar"/>
        </w:rPr>
      </w:pPr>
      <w:r>
        <w:rPr>
          <w:rFonts w:ascii="Shofar" w:hAnsi="Shofar"/>
          <w:rtl/>
        </w:rPr>
        <w:t>צריך להיות שכזית ממנו קיים בעולם.</w:t>
      </w:r>
      <w:r>
        <w:rPr>
          <w:rStyle w:val="FootnoteReference"/>
          <w:rFonts w:ascii="Shofar" w:hAnsi="Shofar"/>
          <w:rtl/>
        </w:rPr>
        <w:footnoteReference w:id="45"/>
      </w:r>
      <w:r>
        <w:rPr>
          <w:rFonts w:ascii="Shofar" w:hAnsi="Shofar"/>
          <w:rtl/>
        </w:rPr>
        <w:t xml:space="preserve"> חול' בזה, ולהל' אצ"ל כזית.</w:t>
      </w:r>
      <w:r>
        <w:rPr>
          <w:rStyle w:val="EndnoteReference"/>
          <w:rFonts w:ascii="Shofar" w:hAnsi="Shofar"/>
          <w:rtl/>
        </w:rPr>
        <w:endnoteReference w:id="22"/>
      </w:r>
    </w:p>
    <w:p w:rsidR="00643327" w:rsidRDefault="00B63280" w:rsidP="008A6DF8">
      <w:pPr>
        <w:numPr>
          <w:ilvl w:val="0"/>
          <w:numId w:val="11"/>
        </w:numPr>
        <w:rPr>
          <w:rFonts w:ascii="Shofar" w:hAnsi="Shofar"/>
        </w:rPr>
      </w:pPr>
      <w:r>
        <w:rPr>
          <w:rFonts w:ascii="Shofar" w:hAnsi="Shofar"/>
          <w:rtl/>
        </w:rPr>
        <w:t>לא יכול להיות בא בכסנים, אא"כ אוכל ממנו קביעות סעודה.</w:t>
      </w:r>
      <w:r>
        <w:rPr>
          <w:rStyle w:val="FootnoteReference"/>
          <w:rFonts w:ascii="Shofar" w:hAnsi="Shofar"/>
          <w:rtl/>
        </w:rPr>
        <w:footnoteReference w:id="46"/>
      </w:r>
    </w:p>
    <w:p w:rsidR="00643327" w:rsidRDefault="00B63280" w:rsidP="008A6DF8">
      <w:pPr>
        <w:numPr>
          <w:ilvl w:val="0"/>
          <w:numId w:val="11"/>
        </w:numPr>
        <w:rPr>
          <w:rFonts w:ascii="Shofar" w:hAnsi="Shofar"/>
        </w:rPr>
      </w:pPr>
      <w:r>
        <w:rPr>
          <w:rFonts w:ascii="Shofar" w:hAnsi="Shofar"/>
          <w:rtl/>
        </w:rPr>
        <w:t>צ"ל נעשה לאכילה, ולא לרפואה.</w:t>
      </w:r>
      <w:r>
        <w:rPr>
          <w:rStyle w:val="EndnoteReference"/>
          <w:rFonts w:ascii="Shofar" w:hAnsi="Shofar"/>
          <w:rtl/>
        </w:rPr>
        <w:endnoteReference w:id="23"/>
      </w:r>
      <w:r>
        <w:rPr>
          <w:rStyle w:val="FootnoteReference"/>
          <w:rFonts w:ascii="Shofar" w:hAnsi="Shofar"/>
          <w:rtl/>
        </w:rPr>
        <w:footnoteReference w:id="47"/>
      </w:r>
    </w:p>
    <w:p w:rsidR="00643327" w:rsidRDefault="00B63280" w:rsidP="008A6DF8">
      <w:pPr>
        <w:numPr>
          <w:ilvl w:val="0"/>
          <w:numId w:val="11"/>
        </w:numPr>
        <w:rPr>
          <w:rFonts w:ascii="Shofar" w:hAnsi="Shofar"/>
        </w:rPr>
      </w:pPr>
      <w:r>
        <w:rPr>
          <w:rFonts w:ascii="Shofar" w:hAnsi="Shofar"/>
          <w:rtl/>
        </w:rPr>
        <w:lastRenderedPageBreak/>
        <w:t>חול’ אם צריך להיות שלא פרוס כבר.</w:t>
      </w:r>
      <w:r>
        <w:rPr>
          <w:rStyle w:val="FootnoteReference"/>
          <w:rFonts w:ascii="Shofar" w:hAnsi="Shofar"/>
          <w:rtl/>
        </w:rPr>
        <w:footnoteReference w:id="48"/>
      </w:r>
      <w:r>
        <w:rPr>
          <w:rFonts w:ascii="Shofar" w:hAnsi="Shofar"/>
          <w:rtl/>
        </w:rPr>
        <w:t xml:space="preserve"> </w:t>
      </w:r>
    </w:p>
    <w:p w:rsidR="00643327" w:rsidRDefault="00B63280">
      <w:pPr>
        <w:rPr>
          <w:rFonts w:ascii="Shofar" w:hAnsi="Shofar"/>
        </w:rPr>
      </w:pPr>
      <w:r>
        <w:rPr>
          <w:rFonts w:ascii="Shofar" w:hAnsi="Shofar"/>
          <w:rtl/>
        </w:rPr>
        <w:t>חול' מה מברכים עליו:</w:t>
      </w:r>
    </w:p>
    <w:p w:rsidR="00643327" w:rsidRDefault="00B63280" w:rsidP="008A6DF8">
      <w:pPr>
        <w:numPr>
          <w:ilvl w:val="0"/>
          <w:numId w:val="10"/>
        </w:numPr>
        <w:rPr>
          <w:rFonts w:ascii="Shofar" w:hAnsi="Shofar"/>
        </w:rPr>
      </w:pPr>
      <w:r>
        <w:rPr>
          <w:rFonts w:ascii="Shofar" w:hAnsi="Shofar"/>
          <w:rtl/>
        </w:rPr>
        <w:t xml:space="preserve">מוציא לחם מן הארץ. כולי עלמא מודים שזה כשר, כיון שהוא לשון עבר. </w:t>
      </w:r>
    </w:p>
    <w:p w:rsidR="00643327" w:rsidRDefault="00B63280" w:rsidP="008A6DF8">
      <w:pPr>
        <w:numPr>
          <w:ilvl w:val="0"/>
          <w:numId w:val="10"/>
        </w:numPr>
        <w:rPr>
          <w:rFonts w:ascii="Shofar" w:hAnsi="Shofar"/>
        </w:rPr>
      </w:pPr>
      <w:r>
        <w:rPr>
          <w:rFonts w:ascii="Shofar" w:hAnsi="Shofar"/>
          <w:rtl/>
        </w:rPr>
        <w:t>המוציא לחם. חולקים רבנן ור"נ אם זה כשר (שהוא לשון עבר) או לא (שהוא לשון עתיד).</w:t>
      </w:r>
      <w:r>
        <w:rPr>
          <w:rStyle w:val="FootnoteReference"/>
          <w:rFonts w:ascii="Shofar" w:hAnsi="Shofar"/>
          <w:rtl/>
        </w:rPr>
        <w:footnoteReference w:id="49"/>
      </w:r>
    </w:p>
    <w:p w:rsidR="00643327" w:rsidRDefault="00B63280">
      <w:pPr>
        <w:pStyle w:val="Heading2"/>
        <w:rPr>
          <w:rFonts w:ascii="Shofar" w:hAnsi="Shofar" w:cs="Shofar"/>
        </w:rPr>
      </w:pPr>
      <w:bookmarkStart w:id="6" w:name="__RefHeading___Toc90814_2054497345"/>
      <w:bookmarkEnd w:id="6"/>
      <w:r>
        <w:rPr>
          <w:rFonts w:ascii="Shofar" w:hAnsi="Shofar" w:cs="Shofar"/>
          <w:rtl/>
        </w:rPr>
        <w:t>ברכת מזונות:</w:t>
      </w:r>
    </w:p>
    <w:p w:rsidR="00643327" w:rsidRDefault="00B63280">
      <w:pPr>
        <w:rPr>
          <w:rFonts w:ascii="Shofar" w:hAnsi="Shofar"/>
        </w:rPr>
      </w:pPr>
      <w:r>
        <w:rPr>
          <w:rFonts w:ascii="Shofar" w:hAnsi="Shofar"/>
          <w:rtl/>
        </w:rPr>
        <w:t>על שלש דברים מברכים בורא מיני מזונות:</w:t>
      </w:r>
    </w:p>
    <w:p w:rsidR="00643327" w:rsidRDefault="00B63280" w:rsidP="008A6DF8">
      <w:pPr>
        <w:numPr>
          <w:ilvl w:val="0"/>
          <w:numId w:val="9"/>
        </w:numPr>
        <w:rPr>
          <w:rFonts w:ascii="Shofar" w:hAnsi="Shofar"/>
        </w:rPr>
      </w:pPr>
      <w:r>
        <w:rPr>
          <w:rFonts w:ascii="Shofar" w:hAnsi="Shofar"/>
          <w:rtl/>
        </w:rPr>
        <w:t>פת הבאה בכסנים, כשלא קובע עליו סעודה</w:t>
      </w:r>
      <w:r>
        <w:rPr>
          <w:rStyle w:val="FootnoteReference"/>
          <w:rFonts w:ascii="Shofar" w:hAnsi="Shofar"/>
          <w:rtl/>
        </w:rPr>
        <w:footnoteReference w:id="50"/>
      </w:r>
      <w:r>
        <w:rPr>
          <w:rFonts w:ascii="Shofar" w:hAnsi="Shofar"/>
          <w:rtl/>
        </w:rPr>
        <w:t>. זה מין פת שאינו ממש כפת</w:t>
      </w:r>
      <w:r>
        <w:rPr>
          <w:rStyle w:val="FootnoteReference"/>
          <w:rFonts w:ascii="Shofar" w:hAnsi="Shofar"/>
          <w:rtl/>
        </w:rPr>
        <w:footnoteReference w:id="51"/>
      </w:r>
      <w:r>
        <w:rPr>
          <w:rFonts w:ascii="Shofar" w:hAnsi="Shofar"/>
          <w:rtl/>
        </w:rPr>
        <w:t xml:space="preserve">. </w:t>
      </w:r>
    </w:p>
    <w:p w:rsidR="00643327" w:rsidRDefault="00B63280" w:rsidP="008A6DF8">
      <w:pPr>
        <w:numPr>
          <w:ilvl w:val="0"/>
          <w:numId w:val="9"/>
        </w:numPr>
        <w:rPr>
          <w:rFonts w:ascii="Shofar" w:hAnsi="Shofar"/>
        </w:rPr>
      </w:pPr>
      <w:r>
        <w:rPr>
          <w:rFonts w:ascii="Shofar" w:hAnsi="Shofar"/>
          <w:rtl/>
        </w:rPr>
        <w:t>מעשה קדרה שיש בו מחמש (לריב"נ, שבעת) מיני דגן.</w:t>
      </w:r>
      <w:r>
        <w:rPr>
          <w:rStyle w:val="FootnoteReference"/>
          <w:rFonts w:ascii="Shofar" w:hAnsi="Shofar"/>
          <w:rtl/>
        </w:rPr>
        <w:footnoteReference w:id="52"/>
      </w:r>
      <w:r>
        <w:rPr>
          <w:rFonts w:ascii="Shofar" w:hAnsi="Shofar"/>
          <w:rtl/>
        </w:rPr>
        <w:t xml:space="preserve"> יש שני יוצאים מן הכלל:</w:t>
      </w:r>
    </w:p>
    <w:p w:rsidR="00643327" w:rsidRDefault="00B63280" w:rsidP="008A6DF8">
      <w:pPr>
        <w:numPr>
          <w:ilvl w:val="1"/>
          <w:numId w:val="9"/>
        </w:numPr>
        <w:rPr>
          <w:rFonts w:ascii="Shofar" w:hAnsi="Shofar"/>
        </w:rPr>
      </w:pPr>
      <w:r>
        <w:rPr>
          <w:rFonts w:ascii="Shofar" w:hAnsi="Shofar"/>
          <w:rtl/>
        </w:rPr>
        <w:t>אם נעשה לרפואה, אז ברכתו שהכל.</w:t>
      </w:r>
      <w:r>
        <w:rPr>
          <w:rStyle w:val="FootnoteReference"/>
          <w:rFonts w:ascii="Shofar" w:hAnsi="Shofar"/>
          <w:rtl/>
        </w:rPr>
        <w:footnoteReference w:id="53"/>
      </w:r>
    </w:p>
    <w:p w:rsidR="00643327" w:rsidRDefault="00B63280" w:rsidP="008A6DF8">
      <w:pPr>
        <w:numPr>
          <w:ilvl w:val="1"/>
          <w:numId w:val="9"/>
        </w:numPr>
        <w:rPr>
          <w:rFonts w:ascii="Shofar" w:hAnsi="Shofar"/>
        </w:rPr>
      </w:pPr>
      <w:r>
        <w:rPr>
          <w:rFonts w:ascii="Shofar" w:hAnsi="Shofar"/>
          <w:rtl/>
        </w:rPr>
        <w:t>אם חמשת המינים הם רק לדבק, אז בטלים</w:t>
      </w:r>
      <w:r>
        <w:rPr>
          <w:rStyle w:val="FootnoteReference"/>
          <w:rFonts w:ascii="Shofar" w:hAnsi="Shofar"/>
          <w:rtl/>
        </w:rPr>
        <w:footnoteReference w:id="54"/>
      </w:r>
    </w:p>
    <w:p w:rsidR="00643327" w:rsidRDefault="00B63280" w:rsidP="008A6DF8">
      <w:pPr>
        <w:numPr>
          <w:ilvl w:val="0"/>
          <w:numId w:val="9"/>
        </w:numPr>
        <w:rPr>
          <w:rFonts w:ascii="Shofar" w:hAnsi="Shofar"/>
        </w:rPr>
      </w:pPr>
      <w:r>
        <w:rPr>
          <w:rFonts w:ascii="Shofar" w:hAnsi="Shofar"/>
          <w:rtl/>
        </w:rPr>
        <w:t>אורז ודוחן מבושל</w:t>
      </w:r>
      <w:r>
        <w:rPr>
          <w:rStyle w:val="EndnoteReference"/>
          <w:rFonts w:ascii="Shofar" w:hAnsi="Shofar"/>
          <w:rtl/>
        </w:rPr>
        <w:endnoteReference w:id="24"/>
      </w:r>
      <w:r>
        <w:rPr>
          <w:rFonts w:ascii="Shofar" w:hAnsi="Shofar"/>
          <w:rtl/>
        </w:rPr>
        <w:t>.</w:t>
      </w:r>
      <w:r>
        <w:rPr>
          <w:rStyle w:val="FootnoteReference"/>
          <w:rFonts w:ascii="Shofar" w:hAnsi="Shofar"/>
          <w:rtl/>
        </w:rPr>
        <w:footnoteReference w:id="55"/>
      </w:r>
      <w:r>
        <w:rPr>
          <w:rFonts w:ascii="Shofar" w:hAnsi="Shofar"/>
          <w:rtl/>
        </w:rPr>
        <w:t xml:space="preserve"> יש שני יוצאים מן הכלל:</w:t>
      </w:r>
    </w:p>
    <w:p w:rsidR="00643327" w:rsidRDefault="00B63280" w:rsidP="008A6DF8">
      <w:pPr>
        <w:numPr>
          <w:ilvl w:val="1"/>
          <w:numId w:val="9"/>
        </w:numPr>
        <w:rPr>
          <w:rFonts w:ascii="Shofar" w:hAnsi="Shofar"/>
        </w:rPr>
      </w:pPr>
      <w:r>
        <w:rPr>
          <w:rFonts w:ascii="Shofar" w:hAnsi="Shofar"/>
          <w:rtl/>
        </w:rPr>
        <w:t>אם האורז אינו העיקר.</w:t>
      </w:r>
    </w:p>
    <w:p w:rsidR="00643327" w:rsidRDefault="00B63280" w:rsidP="008A6DF8">
      <w:pPr>
        <w:numPr>
          <w:ilvl w:val="1"/>
          <w:numId w:val="9"/>
        </w:numPr>
        <w:rPr>
          <w:rFonts w:ascii="Shofar" w:hAnsi="Shofar"/>
        </w:rPr>
      </w:pPr>
      <w:r>
        <w:rPr>
          <w:rFonts w:ascii="Shofar" w:hAnsi="Shofar"/>
          <w:rtl/>
        </w:rPr>
        <w:t>אם נעשה לרפואה.</w:t>
      </w:r>
      <w:r>
        <w:rPr>
          <w:rStyle w:val="EndnoteReference"/>
          <w:rFonts w:ascii="Shofar" w:hAnsi="Shofar"/>
          <w:rtl/>
        </w:rPr>
        <w:endnoteReference w:id="25"/>
      </w:r>
    </w:p>
    <w:p w:rsidR="00643327" w:rsidRDefault="00B63280">
      <w:pPr>
        <w:pStyle w:val="Heading2"/>
        <w:rPr>
          <w:rFonts w:ascii="Shofar" w:hAnsi="Shofar" w:cs="Shofar"/>
        </w:rPr>
      </w:pPr>
      <w:bookmarkStart w:id="7" w:name="__RefHeading___Toc90816_2054497345"/>
      <w:bookmarkEnd w:id="7"/>
      <w:r>
        <w:rPr>
          <w:rFonts w:ascii="Shofar" w:hAnsi="Shofar" w:cs="Shofar"/>
          <w:rtl/>
        </w:rPr>
        <w:t>ברכת הגפן:</w:t>
      </w:r>
    </w:p>
    <w:p w:rsidR="00643327" w:rsidRDefault="00B63280">
      <w:pPr>
        <w:rPr>
          <w:rFonts w:ascii="Shofar" w:hAnsi="Shofar"/>
        </w:rPr>
      </w:pPr>
      <w:r>
        <w:rPr>
          <w:rFonts w:ascii="Shofar" w:hAnsi="Shofar"/>
          <w:rtl/>
        </w:rPr>
        <w:t>על יין מענבים, מברכים בורא פרי הגפן</w:t>
      </w:r>
      <w:r>
        <w:rPr>
          <w:rStyle w:val="FootnoteReference"/>
          <w:rFonts w:ascii="Shofar" w:hAnsi="Shofar"/>
          <w:rtl/>
        </w:rPr>
        <w:footnoteReference w:id="56"/>
      </w:r>
      <w:r>
        <w:rPr>
          <w:rFonts w:ascii="Shofar" w:hAnsi="Shofar"/>
          <w:rtl/>
        </w:rPr>
        <w:t>. על יין, מברכים בורא פרי הגפן.</w:t>
      </w:r>
      <w:r>
        <w:rPr>
          <w:rStyle w:val="FootnoteReference"/>
          <w:rFonts w:ascii="Shofar" w:hAnsi="Shofar"/>
          <w:rtl/>
        </w:rPr>
        <w:footnoteReference w:id="57"/>
      </w:r>
      <w:r>
        <w:rPr>
          <w:rFonts w:ascii="Shofar" w:hAnsi="Shofar"/>
          <w:rtl/>
        </w:rPr>
        <w:t xml:space="preserve"> גמרא נותן </w:t>
      </w:r>
      <w:r>
        <w:rPr>
          <w:rFonts w:ascii="Shofar" w:hAnsi="Shofar"/>
          <w:b/>
          <w:bCs/>
          <w:rtl/>
        </w:rPr>
        <w:t xml:space="preserve">שלש </w:t>
      </w:r>
      <w:r>
        <w:rPr>
          <w:rFonts w:ascii="Shofar" w:hAnsi="Shofar"/>
          <w:rtl/>
        </w:rPr>
        <w:t>טעמים לשינוי ברכתו (ו</w:t>
      </w:r>
      <w:r>
        <w:rPr>
          <w:rFonts w:ascii="Shofar" w:hAnsi="Shofar"/>
          <w:b/>
          <w:bCs/>
          <w:rtl/>
        </w:rPr>
        <w:t>אחד</w:t>
      </w:r>
      <w:r>
        <w:rPr>
          <w:rFonts w:ascii="Shofar" w:hAnsi="Shofar"/>
          <w:rtl/>
        </w:rPr>
        <w:t xml:space="preserve"> נדחה):</w:t>
      </w:r>
    </w:p>
    <w:p w:rsidR="00643327" w:rsidRDefault="00B63280" w:rsidP="008A6DF8">
      <w:pPr>
        <w:numPr>
          <w:ilvl w:val="0"/>
          <w:numId w:val="12"/>
        </w:numPr>
        <w:rPr>
          <w:rFonts w:ascii="Shofar" w:hAnsi="Shofar"/>
        </w:rPr>
      </w:pPr>
      <w:r>
        <w:rPr>
          <w:rFonts w:ascii="Shofar" w:hAnsi="Shofar"/>
          <w:rtl/>
        </w:rPr>
        <w:t>כיון ששינה לטוב, שינה ברכתו. מק' גמ' ל"ל משנה ברכת זית ל"בורא פרי עץ זית."</w:t>
      </w:r>
    </w:p>
    <w:p w:rsidR="00643327" w:rsidRDefault="00B63280" w:rsidP="008A6DF8">
      <w:pPr>
        <w:numPr>
          <w:ilvl w:val="0"/>
          <w:numId w:val="12"/>
        </w:numPr>
        <w:rPr>
          <w:rFonts w:ascii="Shofar" w:hAnsi="Shofar"/>
        </w:rPr>
      </w:pPr>
      <w:r>
        <w:rPr>
          <w:rFonts w:ascii="Shofar" w:hAnsi="Shofar"/>
          <w:rtl/>
        </w:rPr>
        <w:t>כיון שהוא זן. מק' גמ' שכל דבר זן.</w:t>
      </w:r>
    </w:p>
    <w:p w:rsidR="00643327" w:rsidRDefault="00B63280" w:rsidP="008A6DF8">
      <w:pPr>
        <w:numPr>
          <w:ilvl w:val="0"/>
          <w:numId w:val="12"/>
        </w:numPr>
        <w:rPr>
          <w:rFonts w:ascii="Shofar" w:hAnsi="Shofar"/>
        </w:rPr>
      </w:pPr>
      <w:r>
        <w:rPr>
          <w:rFonts w:ascii="Shofar" w:hAnsi="Shofar"/>
          <w:rtl/>
        </w:rPr>
        <w:t>כיון שהוא סעיד (אם שותה מעט). מק' גמ' מ"יין ישמח לבב אנוש ולחם לבב אנוש יסעד." מת' שסועד ומשמח. (ואם תאמר ל"ל יברך בה"מ עליו לדברי חכמים. וי"ל שלא קובעים עליו סעודה. אף אם קובע, בטל דעתו.)</w:t>
      </w:r>
      <w:r>
        <w:rPr>
          <w:rStyle w:val="FootnoteReference"/>
          <w:rFonts w:ascii="Shofar" w:hAnsi="Shofar"/>
          <w:rtl/>
        </w:rPr>
        <w:footnoteReference w:id="58"/>
      </w:r>
    </w:p>
    <w:p w:rsidR="00643327" w:rsidRDefault="00B63280">
      <w:pPr>
        <w:pStyle w:val="Heading2"/>
        <w:rPr>
          <w:rFonts w:ascii="Shofar" w:hAnsi="Shofar" w:cs="Shofar"/>
        </w:rPr>
      </w:pPr>
      <w:bookmarkStart w:id="8" w:name="__RefHeading___Toc90818_2054497345"/>
      <w:bookmarkEnd w:id="8"/>
      <w:r>
        <w:rPr>
          <w:rFonts w:ascii="Shofar" w:hAnsi="Shofar" w:cs="Shofar"/>
          <w:rtl/>
        </w:rPr>
        <w:t>ברכת העץ:</w:t>
      </w:r>
    </w:p>
    <w:p w:rsidR="00643327" w:rsidRDefault="00B63280">
      <w:pPr>
        <w:rPr>
          <w:rFonts w:ascii="Shofar" w:hAnsi="Shofar"/>
        </w:rPr>
      </w:pPr>
      <w:r>
        <w:rPr>
          <w:rFonts w:ascii="Shofar" w:hAnsi="Shofar"/>
          <w:rtl/>
        </w:rPr>
        <w:t>על פרי שיוצא מאילן (אילן הוא עץ שעושה פרי אחר פרי</w:t>
      </w:r>
      <w:r>
        <w:rPr>
          <w:rStyle w:val="FootnoteReference"/>
          <w:rFonts w:ascii="Shofar" w:hAnsi="Shofar"/>
          <w:rtl/>
        </w:rPr>
        <w:footnoteReference w:id="59"/>
      </w:r>
      <w:r>
        <w:rPr>
          <w:rFonts w:ascii="Shofar" w:hAnsi="Shofar"/>
          <w:rtl/>
        </w:rPr>
        <w:t>), וכן על מה שיוצא מן הפרי, מברכים בורא פרי העץ</w:t>
      </w:r>
      <w:r>
        <w:rPr>
          <w:rStyle w:val="FootnoteReference"/>
          <w:rFonts w:ascii="Shofar" w:hAnsi="Shofar"/>
          <w:rtl/>
        </w:rPr>
        <w:footnoteReference w:id="60"/>
      </w:r>
      <w:r>
        <w:rPr>
          <w:rFonts w:ascii="Shofar" w:hAnsi="Shofar"/>
          <w:rtl/>
        </w:rPr>
        <w:t xml:space="preserve">. </w:t>
      </w:r>
    </w:p>
    <w:p w:rsidR="00643327" w:rsidRDefault="00B63280">
      <w:pPr>
        <w:rPr>
          <w:rFonts w:ascii="Shofar" w:hAnsi="Shofar"/>
        </w:rPr>
      </w:pPr>
      <w:r>
        <w:rPr>
          <w:rFonts w:ascii="Shofar" w:hAnsi="Shofar"/>
          <w:rtl/>
        </w:rPr>
        <w:t>יש</w:t>
      </w:r>
      <w:r>
        <w:rPr>
          <w:rFonts w:ascii="Shofar" w:hAnsi="Shofar"/>
          <w:b/>
          <w:bCs/>
          <w:rtl/>
        </w:rPr>
        <w:t xml:space="preserve"> שבע </w:t>
      </w:r>
      <w:r>
        <w:rPr>
          <w:rFonts w:ascii="Shofar" w:hAnsi="Shofar"/>
          <w:rtl/>
        </w:rPr>
        <w:t>יוצאים מן הכלל:</w:t>
      </w:r>
    </w:p>
    <w:p w:rsidR="00643327" w:rsidRDefault="00B63280" w:rsidP="008A6DF8">
      <w:pPr>
        <w:pStyle w:val="ListParagraph"/>
        <w:numPr>
          <w:ilvl w:val="0"/>
          <w:numId w:val="4"/>
        </w:numPr>
        <w:contextualSpacing w:val="0"/>
        <w:rPr>
          <w:rFonts w:ascii="Shofar" w:hAnsi="Shofar"/>
        </w:rPr>
      </w:pPr>
      <w:r>
        <w:rPr>
          <w:rFonts w:ascii="Shofar" w:hAnsi="Shofar"/>
          <w:rtl/>
        </w:rPr>
        <w:t>על יין, מברכים בורא פרי הגפן.</w:t>
      </w:r>
      <w:r>
        <w:rPr>
          <w:rStyle w:val="FootnoteReference"/>
          <w:rFonts w:ascii="Shofar" w:hAnsi="Shofar"/>
          <w:rtl/>
        </w:rPr>
        <w:footnoteReference w:id="61"/>
      </w:r>
      <w:r>
        <w:rPr>
          <w:rFonts w:ascii="Shofar" w:hAnsi="Shofar"/>
          <w:rtl/>
        </w:rPr>
        <w:t xml:space="preserve"> גמרא נותן </w:t>
      </w:r>
      <w:r>
        <w:rPr>
          <w:rFonts w:ascii="Shofar" w:hAnsi="Shofar"/>
          <w:b/>
          <w:bCs/>
          <w:rtl/>
        </w:rPr>
        <w:t xml:space="preserve">שלש </w:t>
      </w:r>
      <w:r>
        <w:rPr>
          <w:rFonts w:ascii="Shofar" w:hAnsi="Shofar"/>
          <w:rtl/>
        </w:rPr>
        <w:t>טעמים לשינוי ברכתו (ו</w:t>
      </w:r>
      <w:r>
        <w:rPr>
          <w:rFonts w:ascii="Shofar" w:hAnsi="Shofar"/>
          <w:b/>
          <w:bCs/>
          <w:rtl/>
        </w:rPr>
        <w:t>אחד</w:t>
      </w:r>
      <w:r>
        <w:rPr>
          <w:rFonts w:ascii="Shofar" w:hAnsi="Shofar"/>
          <w:rtl/>
        </w:rPr>
        <w:t xml:space="preserve"> נדחה):</w:t>
      </w:r>
    </w:p>
    <w:p w:rsidR="00643327" w:rsidRDefault="00B63280" w:rsidP="008A6DF8">
      <w:pPr>
        <w:pStyle w:val="ListParagraph"/>
        <w:numPr>
          <w:ilvl w:val="1"/>
          <w:numId w:val="4"/>
        </w:numPr>
        <w:contextualSpacing w:val="0"/>
        <w:rPr>
          <w:rFonts w:ascii="Shofar" w:hAnsi="Shofar"/>
        </w:rPr>
      </w:pPr>
      <w:r>
        <w:rPr>
          <w:rFonts w:ascii="Shofar" w:hAnsi="Shofar"/>
          <w:rtl/>
        </w:rPr>
        <w:t>כיון ששינה לטוב, שינה ברכתו. מק' גמ' ל"ל משנה ברכת זית ל"בורא פרי עץ זית."</w:t>
      </w:r>
    </w:p>
    <w:p w:rsidR="00643327" w:rsidRDefault="00B63280" w:rsidP="008A6DF8">
      <w:pPr>
        <w:pStyle w:val="ListParagraph"/>
        <w:numPr>
          <w:ilvl w:val="1"/>
          <w:numId w:val="4"/>
        </w:numPr>
        <w:contextualSpacing w:val="0"/>
        <w:rPr>
          <w:rFonts w:ascii="Shofar" w:hAnsi="Shofar"/>
        </w:rPr>
      </w:pPr>
      <w:r>
        <w:rPr>
          <w:rFonts w:ascii="Shofar" w:hAnsi="Shofar"/>
          <w:rtl/>
        </w:rPr>
        <w:t>כיון שהוא זן. מק' גמ' שכל דבר זן.</w:t>
      </w:r>
    </w:p>
    <w:p w:rsidR="00643327" w:rsidRDefault="00B63280" w:rsidP="008A6DF8">
      <w:pPr>
        <w:pStyle w:val="ListParagraph"/>
        <w:numPr>
          <w:ilvl w:val="1"/>
          <w:numId w:val="4"/>
        </w:numPr>
        <w:contextualSpacing w:val="0"/>
        <w:rPr>
          <w:rFonts w:ascii="Shofar" w:hAnsi="Shofar"/>
        </w:rPr>
      </w:pPr>
      <w:r>
        <w:rPr>
          <w:rFonts w:ascii="Shofar" w:hAnsi="Shofar"/>
          <w:rtl/>
        </w:rPr>
        <w:t>כיון שהוא סעיד (אם שותה מעט). מק' גמ' מ"יין ישמח לבב אנוש ולחם לבב אנוש יסעד." מת' שסועד ומשמח. (ואם תאמר ל"ל יברך בה"מ עליו לדברי חכמים</w:t>
      </w:r>
      <w:r>
        <w:rPr>
          <w:rStyle w:val="FootnoteReference"/>
          <w:rFonts w:ascii="Shofar" w:hAnsi="Shofar"/>
          <w:rtl/>
        </w:rPr>
        <w:footnoteReference w:id="62"/>
      </w:r>
      <w:r>
        <w:rPr>
          <w:rFonts w:ascii="Shofar" w:hAnsi="Shofar"/>
          <w:rtl/>
        </w:rPr>
        <w:t>. וי"ל שלא קובעים עליו סעודה. אף אם קובע, בטל דעתו.)</w:t>
      </w:r>
      <w:r>
        <w:rPr>
          <w:rStyle w:val="FootnoteReference"/>
          <w:rFonts w:ascii="Shofar" w:hAnsi="Shofar"/>
          <w:rtl/>
        </w:rPr>
        <w:footnoteReference w:id="63"/>
      </w:r>
      <w:r>
        <w:rPr>
          <w:rFonts w:ascii="Shofar" w:hAnsi="Shofar"/>
          <w:rtl/>
        </w:rPr>
        <w:t xml:space="preserve"> </w:t>
      </w:r>
    </w:p>
    <w:p w:rsidR="00643327" w:rsidRDefault="00B63280" w:rsidP="008A6DF8">
      <w:pPr>
        <w:pStyle w:val="ListParagraph"/>
        <w:numPr>
          <w:ilvl w:val="0"/>
          <w:numId w:val="4"/>
        </w:numPr>
        <w:contextualSpacing w:val="0"/>
        <w:rPr>
          <w:rFonts w:ascii="Shofar" w:hAnsi="Shofar"/>
        </w:rPr>
      </w:pPr>
      <w:r>
        <w:rPr>
          <w:rStyle w:val="FootnoteReference"/>
          <w:rFonts w:ascii="Shofar" w:hAnsi="Shofar"/>
          <w:rtl/>
        </w:rPr>
        <w:footnoteReference w:id="64"/>
      </w:r>
      <w:r>
        <w:rPr>
          <w:rFonts w:ascii="Shofar" w:hAnsi="Shofar"/>
          <w:rtl/>
        </w:rPr>
        <w:t>על דבר ששינה אותו, אם יש שינוי</w:t>
      </w:r>
      <w:bookmarkStart w:id="9" w:name="_GoBack"/>
      <w:bookmarkEnd w:id="9"/>
      <w:r>
        <w:rPr>
          <w:rFonts w:ascii="Shofar" w:hAnsi="Shofar"/>
          <w:rtl/>
        </w:rPr>
        <w:t xml:space="preserve"> יותר טוב, חולקים רב נחמן ורב יהודה אם אומרים עליו שהכל או ב"פ העץ.</w:t>
      </w:r>
      <w:r>
        <w:rPr>
          <w:rStyle w:val="FootnoteReference"/>
          <w:rFonts w:ascii="Shofar" w:hAnsi="Shofar"/>
          <w:rtl/>
        </w:rPr>
        <w:footnoteReference w:id="65"/>
      </w:r>
    </w:p>
    <w:p w:rsidR="00643327" w:rsidRDefault="00B63280" w:rsidP="008A6DF8">
      <w:pPr>
        <w:pStyle w:val="ListParagraph"/>
        <w:numPr>
          <w:ilvl w:val="0"/>
          <w:numId w:val="4"/>
        </w:numPr>
        <w:contextualSpacing w:val="0"/>
        <w:rPr>
          <w:rFonts w:ascii="Shofar" w:hAnsi="Shofar"/>
        </w:rPr>
      </w:pPr>
      <w:r>
        <w:rPr>
          <w:rFonts w:ascii="Shofar" w:hAnsi="Shofar"/>
          <w:rtl/>
        </w:rPr>
        <w:lastRenderedPageBreak/>
        <w:t>על דבר שסופו להיות קשה (ולא נאכל), חולקים רב יהודה ושמואל אם מברכים בפה"ע או שהכל. גמרא מסיק כרב יהודה.</w:t>
      </w:r>
      <w:r>
        <w:rPr>
          <w:rStyle w:val="FootnoteReference"/>
          <w:rFonts w:ascii="Shofar" w:hAnsi="Shofar"/>
          <w:rtl/>
        </w:rPr>
        <w:footnoteReference w:id="66"/>
      </w:r>
    </w:p>
    <w:p w:rsidR="00643327" w:rsidRDefault="00B63280" w:rsidP="008A6DF8">
      <w:pPr>
        <w:pStyle w:val="ListParagraph"/>
        <w:numPr>
          <w:ilvl w:val="0"/>
          <w:numId w:val="4"/>
        </w:numPr>
        <w:contextualSpacing w:val="0"/>
        <w:rPr>
          <w:rFonts w:ascii="Shofar" w:hAnsi="Shofar"/>
        </w:rPr>
      </w:pPr>
      <w:r>
        <w:rPr>
          <w:rFonts w:ascii="Shofar" w:hAnsi="Shofar"/>
          <w:rtl/>
        </w:rPr>
        <w:t>על דבר שלא נזרע לו, חולקים ר"י ושמואל אם מברכים בפה"ע או שהכל. הלכה כשמואל.</w:t>
      </w:r>
      <w:r>
        <w:rPr>
          <w:rStyle w:val="EndnoteReference"/>
          <w:rFonts w:ascii="Shofar" w:hAnsi="Shofar"/>
          <w:rtl/>
        </w:rPr>
        <w:endnoteReference w:id="26"/>
      </w:r>
      <w:r>
        <w:rPr>
          <w:rStyle w:val="FootnoteReference"/>
          <w:rFonts w:ascii="Shofar" w:hAnsi="Shofar"/>
          <w:rtl/>
        </w:rPr>
        <w:footnoteReference w:id="67"/>
      </w:r>
    </w:p>
    <w:p w:rsidR="00643327" w:rsidRDefault="00B63280" w:rsidP="008A6DF8">
      <w:pPr>
        <w:pStyle w:val="ListParagraph"/>
        <w:numPr>
          <w:ilvl w:val="0"/>
          <w:numId w:val="4"/>
        </w:numPr>
        <w:contextualSpacing w:val="0"/>
        <w:rPr>
          <w:rFonts w:ascii="Shofar" w:hAnsi="Shofar"/>
        </w:rPr>
      </w:pPr>
      <w:r>
        <w:rPr>
          <w:rFonts w:ascii="Shofar" w:hAnsi="Shofar"/>
          <w:rtl/>
        </w:rPr>
        <w:t>יש דברים שגדלים באילן אבל אינם נחשבים פירות האילן. (חולקים אם קפריסים הם כן.</w:t>
      </w:r>
      <w:r>
        <w:rPr>
          <w:rStyle w:val="FootnoteReference"/>
          <w:rFonts w:ascii="Shofar" w:hAnsi="Shofar"/>
          <w:rtl/>
        </w:rPr>
        <w:footnoteReference w:id="68"/>
      </w:r>
      <w:r>
        <w:rPr>
          <w:rFonts w:ascii="Shofar" w:hAnsi="Shofar"/>
          <w:rtl/>
        </w:rPr>
        <w:t>) על אלו, מברכים בפה"א.</w:t>
      </w:r>
      <w:r>
        <w:rPr>
          <w:rStyle w:val="FootnoteReference"/>
          <w:rFonts w:ascii="Shofar" w:hAnsi="Shofar"/>
          <w:rtl/>
        </w:rPr>
        <w:footnoteReference w:id="69"/>
      </w:r>
      <w:r>
        <w:rPr>
          <w:rStyle w:val="EndnoteReference"/>
          <w:rFonts w:ascii="Shofar" w:hAnsi="Shofar"/>
          <w:rtl/>
        </w:rPr>
        <w:endnoteReference w:id="27"/>
      </w:r>
    </w:p>
    <w:p w:rsidR="00643327" w:rsidRDefault="00B63280" w:rsidP="008A6DF8">
      <w:pPr>
        <w:pStyle w:val="ListParagraph"/>
        <w:numPr>
          <w:ilvl w:val="0"/>
          <w:numId w:val="4"/>
        </w:numPr>
        <w:contextualSpacing w:val="0"/>
        <w:rPr>
          <w:rFonts w:ascii="Shofar" w:hAnsi="Shofar"/>
        </w:rPr>
      </w:pPr>
      <w:r>
        <w:rPr>
          <w:rFonts w:ascii="Shofar" w:hAnsi="Shofar"/>
          <w:rtl/>
        </w:rPr>
        <w:t>על דבר שלא נאכל כדרכו, מברכים שהכל.</w:t>
      </w:r>
      <w:r>
        <w:rPr>
          <w:rStyle w:val="FootnoteReference"/>
          <w:rFonts w:ascii="Shofar" w:hAnsi="Shofar"/>
          <w:rtl/>
        </w:rPr>
        <w:footnoteReference w:id="70"/>
      </w:r>
    </w:p>
    <w:p w:rsidR="00643327" w:rsidRDefault="00B63280" w:rsidP="008A6DF8">
      <w:pPr>
        <w:pStyle w:val="ListParagraph"/>
        <w:numPr>
          <w:ilvl w:val="0"/>
          <w:numId w:val="4"/>
        </w:numPr>
        <w:contextualSpacing w:val="0"/>
        <w:rPr>
          <w:rFonts w:ascii="Shofar" w:hAnsi="Shofar"/>
        </w:rPr>
      </w:pPr>
      <w:r>
        <w:rPr>
          <w:rFonts w:ascii="Shofar" w:hAnsi="Shofar"/>
          <w:rtl/>
        </w:rPr>
        <w:t>על דבר שנשלק:</w:t>
      </w:r>
    </w:p>
    <w:p w:rsidR="00643327" w:rsidRDefault="00B63280" w:rsidP="008A6DF8">
      <w:pPr>
        <w:pStyle w:val="ListParagraph"/>
        <w:numPr>
          <w:ilvl w:val="1"/>
          <w:numId w:val="4"/>
        </w:numPr>
        <w:contextualSpacing w:val="0"/>
        <w:rPr>
          <w:rFonts w:ascii="Shofar" w:hAnsi="Shofar"/>
        </w:rPr>
      </w:pPr>
      <w:r>
        <w:rPr>
          <w:rFonts w:ascii="Shofar" w:hAnsi="Shofar"/>
          <w:rtl/>
        </w:rPr>
        <w:t>אם דרכו לאכול בלי שליקה, חולקים אם ברכתו בפה"ע או שהכל.</w:t>
      </w:r>
    </w:p>
    <w:p w:rsidR="00643327" w:rsidRDefault="00B63280" w:rsidP="008A6DF8">
      <w:pPr>
        <w:pStyle w:val="ListParagraph"/>
        <w:numPr>
          <w:ilvl w:val="1"/>
          <w:numId w:val="4"/>
        </w:numPr>
        <w:contextualSpacing w:val="0"/>
        <w:rPr>
          <w:rFonts w:ascii="Shofar" w:hAnsi="Shofar"/>
        </w:rPr>
      </w:pPr>
      <w:r>
        <w:rPr>
          <w:rFonts w:ascii="Shofar" w:hAnsi="Shofar"/>
          <w:rtl/>
        </w:rPr>
        <w:t>אם אין דרכו לאכול בלי שליקה, ברכתו בפה"ע.</w:t>
      </w:r>
      <w:r>
        <w:rPr>
          <w:rStyle w:val="EndnoteReference"/>
          <w:rFonts w:ascii="Shofar" w:hAnsi="Shofar"/>
          <w:rtl/>
        </w:rPr>
        <w:endnoteReference w:id="28"/>
      </w:r>
      <w:r>
        <w:rPr>
          <w:rStyle w:val="FootnoteReference"/>
          <w:rFonts w:ascii="Shofar" w:hAnsi="Shofar"/>
          <w:rtl/>
        </w:rPr>
        <w:footnoteReference w:id="71"/>
      </w:r>
      <w:r>
        <w:rPr>
          <w:rStyle w:val="EndnoteReference"/>
          <w:rFonts w:ascii="Shofar" w:hAnsi="Shofar"/>
          <w:rtl/>
        </w:rPr>
        <w:endnoteReference w:id="29"/>
      </w:r>
    </w:p>
    <w:p w:rsidR="00643327" w:rsidRDefault="00B63280">
      <w:pPr>
        <w:pStyle w:val="Heading2"/>
        <w:rPr>
          <w:rFonts w:ascii="Shofar" w:hAnsi="Shofar" w:cs="Shofar"/>
        </w:rPr>
      </w:pPr>
      <w:bookmarkStart w:id="10" w:name="__RefHeading___Toc90820_2054497345"/>
      <w:bookmarkEnd w:id="10"/>
      <w:r>
        <w:rPr>
          <w:rFonts w:ascii="Shofar" w:hAnsi="Shofar" w:cs="Shofar"/>
          <w:rtl/>
        </w:rPr>
        <w:t>ברכת האדמה:</w:t>
      </w:r>
    </w:p>
    <w:p w:rsidR="00643327" w:rsidRDefault="00B63280">
      <w:pPr>
        <w:rPr>
          <w:rFonts w:ascii="Shofar" w:hAnsi="Shofar"/>
        </w:rPr>
      </w:pPr>
      <w:r>
        <w:rPr>
          <w:rFonts w:ascii="Shofar" w:hAnsi="Shofar"/>
          <w:rtl/>
        </w:rPr>
        <w:t>על פרי שיוצא מן הארץ ואינו פרי האילן מברכים בורא פרי האדמה</w:t>
      </w:r>
      <w:r>
        <w:rPr>
          <w:rStyle w:val="FootnoteReference"/>
          <w:rFonts w:ascii="Shofar" w:hAnsi="Shofar"/>
          <w:rtl/>
        </w:rPr>
        <w:footnoteReference w:id="72"/>
      </w:r>
      <w:r>
        <w:rPr>
          <w:rFonts w:ascii="Shofar" w:hAnsi="Shofar"/>
          <w:rtl/>
        </w:rPr>
        <w:t>.</w:t>
      </w:r>
    </w:p>
    <w:p w:rsidR="00643327" w:rsidRDefault="00B63280">
      <w:pPr>
        <w:rPr>
          <w:rFonts w:ascii="Shofar" w:hAnsi="Shofar"/>
        </w:rPr>
      </w:pPr>
      <w:r>
        <w:rPr>
          <w:rFonts w:ascii="Shofar" w:hAnsi="Shofar"/>
          <w:rtl/>
        </w:rPr>
        <w:t>יש</w:t>
      </w:r>
      <w:r>
        <w:rPr>
          <w:rFonts w:ascii="Shofar" w:hAnsi="Shofar"/>
          <w:b/>
          <w:bCs/>
          <w:rtl/>
        </w:rPr>
        <w:t xml:space="preserve"> שמנה </w:t>
      </w:r>
      <w:r>
        <w:rPr>
          <w:rFonts w:ascii="Shofar" w:hAnsi="Shofar"/>
          <w:rtl/>
        </w:rPr>
        <w:t>יוצאים מן הכלל:</w:t>
      </w:r>
    </w:p>
    <w:p w:rsidR="00643327" w:rsidRDefault="00B63280" w:rsidP="008A6DF8">
      <w:pPr>
        <w:pStyle w:val="ListParagraph"/>
        <w:numPr>
          <w:ilvl w:val="0"/>
          <w:numId w:val="5"/>
        </w:numPr>
        <w:contextualSpacing w:val="0"/>
        <w:rPr>
          <w:rFonts w:ascii="Shofar" w:hAnsi="Shofar"/>
        </w:rPr>
      </w:pPr>
      <w:r>
        <w:rPr>
          <w:rFonts w:ascii="Shofar" w:hAnsi="Shofar"/>
          <w:rtl/>
        </w:rPr>
        <w:t>פת</w:t>
      </w:r>
      <w:r>
        <w:rPr>
          <w:rStyle w:val="FootnoteReference"/>
          <w:rFonts w:ascii="Shofar" w:hAnsi="Shofar"/>
          <w:rtl/>
        </w:rPr>
        <w:footnoteReference w:id="73"/>
      </w:r>
      <w:r>
        <w:rPr>
          <w:rFonts w:ascii="Shofar" w:hAnsi="Shofar"/>
          <w:rtl/>
        </w:rPr>
        <w:t xml:space="preserve"> (הוא כל דבר אפוי מבושל או מטוגן שהוא גוש</w:t>
      </w:r>
      <w:r>
        <w:rPr>
          <w:rStyle w:val="FootnoteReference"/>
          <w:rFonts w:ascii="Shofar" w:hAnsi="Shofar"/>
          <w:rtl/>
        </w:rPr>
        <w:footnoteReference w:id="74"/>
      </w:r>
      <w:r>
        <w:rPr>
          <w:rFonts w:ascii="Shofar" w:hAnsi="Shofar"/>
          <w:rtl/>
        </w:rPr>
        <w:t>) של חמש המינים (חטה, שעורה, שבלת שועל, שיפון, כוסמין). ריב"נ מוסיף אורז ודוחן.</w:t>
      </w:r>
      <w:r>
        <w:rPr>
          <w:rStyle w:val="FootnoteReference"/>
          <w:rFonts w:ascii="Shofar" w:hAnsi="Shofar"/>
          <w:rtl/>
        </w:rPr>
        <w:footnoteReference w:id="75"/>
      </w:r>
      <w:r>
        <w:rPr>
          <w:rFonts w:ascii="Shofar" w:hAnsi="Shofar"/>
          <w:rtl/>
        </w:rPr>
        <w:t xml:space="preserve"> לכאו’, ברכתו חלוק כיון שהוא סועד. </w:t>
      </w:r>
    </w:p>
    <w:p w:rsidR="00643327" w:rsidRDefault="00B63280">
      <w:pPr>
        <w:pStyle w:val="ListParagraph"/>
        <w:contextualSpacing w:val="0"/>
        <w:rPr>
          <w:rFonts w:ascii="Shofar" w:hAnsi="Shofar"/>
        </w:rPr>
      </w:pPr>
      <w:r>
        <w:rPr>
          <w:rFonts w:ascii="Shofar" w:hAnsi="Shofar"/>
          <w:rtl/>
        </w:rPr>
        <w:t>חול' מה מברכים עליו:</w:t>
      </w:r>
    </w:p>
    <w:p w:rsidR="00643327" w:rsidRDefault="00B63280" w:rsidP="008A6DF8">
      <w:pPr>
        <w:pStyle w:val="ListParagraph"/>
        <w:numPr>
          <w:ilvl w:val="1"/>
          <w:numId w:val="5"/>
        </w:numPr>
        <w:contextualSpacing w:val="0"/>
        <w:rPr>
          <w:rFonts w:ascii="Shofar" w:hAnsi="Shofar"/>
        </w:rPr>
      </w:pPr>
      <w:r>
        <w:rPr>
          <w:rFonts w:ascii="Shofar" w:hAnsi="Shofar"/>
          <w:rtl/>
        </w:rPr>
        <w:t xml:space="preserve">מוציא לחם מן הארץ. כולי עלמא מודים שזה כשר, כיון שהוא לשון עבר. </w:t>
      </w:r>
    </w:p>
    <w:p w:rsidR="00643327" w:rsidRDefault="00B63280" w:rsidP="008A6DF8">
      <w:pPr>
        <w:pStyle w:val="ListParagraph"/>
        <w:numPr>
          <w:ilvl w:val="1"/>
          <w:numId w:val="5"/>
        </w:numPr>
        <w:contextualSpacing w:val="0"/>
        <w:rPr>
          <w:rFonts w:ascii="Shofar" w:hAnsi="Shofar"/>
        </w:rPr>
      </w:pPr>
      <w:r>
        <w:rPr>
          <w:rFonts w:ascii="Shofar" w:hAnsi="Shofar"/>
          <w:rtl/>
        </w:rPr>
        <w:t>המוצאי לחם. חולקים רבנן ור"נ אם זה כשר (שהוא לשון עבר) או לא (שהוא לשון עתיד).</w:t>
      </w:r>
      <w:r>
        <w:rPr>
          <w:rStyle w:val="FootnoteReference"/>
          <w:rFonts w:ascii="Shofar" w:hAnsi="Shofar"/>
          <w:rtl/>
        </w:rPr>
        <w:footnoteReference w:id="76"/>
      </w:r>
    </w:p>
    <w:p w:rsidR="00643327" w:rsidRDefault="00B63280">
      <w:pPr>
        <w:pStyle w:val="ListParagraph"/>
        <w:ind w:left="1080"/>
        <w:contextualSpacing w:val="0"/>
        <w:rPr>
          <w:rFonts w:ascii="Shofar" w:hAnsi="Shofar"/>
        </w:rPr>
      </w:pPr>
      <w:r>
        <w:rPr>
          <w:rFonts w:ascii="Shofar" w:hAnsi="Shofar"/>
          <w:rtl/>
        </w:rPr>
        <w:t>(מהו פת:</w:t>
      </w:r>
    </w:p>
    <w:p w:rsidR="00643327" w:rsidRDefault="00B63280" w:rsidP="008A6DF8">
      <w:pPr>
        <w:pStyle w:val="ListParagraph"/>
        <w:numPr>
          <w:ilvl w:val="0"/>
          <w:numId w:val="6"/>
        </w:numPr>
        <w:contextualSpacing w:val="0"/>
        <w:rPr>
          <w:rFonts w:ascii="Shofar" w:hAnsi="Shofar"/>
        </w:rPr>
      </w:pPr>
      <w:r>
        <w:rPr>
          <w:rFonts w:ascii="Shofar" w:hAnsi="Shofar"/>
          <w:rtl/>
        </w:rPr>
        <w:t>צריך להיות מחמשת המינים (או שבעת המינים, לריב"נ).</w:t>
      </w:r>
    </w:p>
    <w:p w:rsidR="00643327" w:rsidRDefault="00B63280" w:rsidP="008A6DF8">
      <w:pPr>
        <w:pStyle w:val="ListParagraph"/>
        <w:numPr>
          <w:ilvl w:val="0"/>
          <w:numId w:val="6"/>
        </w:numPr>
        <w:contextualSpacing w:val="0"/>
        <w:rPr>
          <w:rFonts w:ascii="Shofar" w:hAnsi="Shofar"/>
        </w:rPr>
      </w:pPr>
      <w:r>
        <w:rPr>
          <w:rFonts w:ascii="Shofar" w:hAnsi="Shofar"/>
          <w:rtl/>
        </w:rPr>
        <w:t>צריך להיות נאפה, מבושל, או מטוגן.</w:t>
      </w:r>
      <w:r>
        <w:rPr>
          <w:rStyle w:val="FootnoteReference"/>
          <w:rFonts w:ascii="Shofar" w:hAnsi="Shofar"/>
          <w:rtl/>
        </w:rPr>
        <w:footnoteReference w:id="77"/>
      </w:r>
      <w:r>
        <w:rPr>
          <w:rFonts w:ascii="Shofar" w:hAnsi="Shofar"/>
          <w:rtl/>
        </w:rPr>
        <w:t xml:space="preserve"> (עיין בגמ' כאן</w:t>
      </w:r>
      <w:r>
        <w:rPr>
          <w:rStyle w:val="FootnoteReference"/>
          <w:rFonts w:ascii="Shofar" w:hAnsi="Shofar"/>
          <w:rtl/>
        </w:rPr>
        <w:footnoteReference w:id="78"/>
      </w:r>
      <w:r>
        <w:rPr>
          <w:rFonts w:ascii="Shofar" w:hAnsi="Shofar"/>
          <w:rtl/>
        </w:rPr>
        <w:t xml:space="preserve"> ובפסחים</w:t>
      </w:r>
      <w:r>
        <w:rPr>
          <w:rStyle w:val="FootnoteReference"/>
          <w:rFonts w:ascii="Shofar" w:hAnsi="Shofar"/>
          <w:rtl/>
        </w:rPr>
        <w:footnoteReference w:id="79"/>
      </w:r>
      <w:r>
        <w:rPr>
          <w:rFonts w:ascii="Shofar" w:hAnsi="Shofar"/>
          <w:rtl/>
        </w:rPr>
        <w:t xml:space="preserve"> שמבאר דיני אפייתו.)</w:t>
      </w:r>
      <w:r>
        <w:rPr>
          <w:rStyle w:val="EndnoteReference"/>
          <w:rFonts w:ascii="Shofar" w:hAnsi="Shofar"/>
          <w:rtl/>
        </w:rPr>
        <w:endnoteReference w:id="30"/>
      </w:r>
    </w:p>
    <w:p w:rsidR="00643327" w:rsidRDefault="00B63280" w:rsidP="008A6DF8">
      <w:pPr>
        <w:pStyle w:val="ListParagraph"/>
        <w:numPr>
          <w:ilvl w:val="0"/>
          <w:numId w:val="6"/>
        </w:numPr>
        <w:contextualSpacing w:val="0"/>
        <w:rPr>
          <w:rFonts w:ascii="Shofar" w:hAnsi="Shofar"/>
        </w:rPr>
      </w:pPr>
      <w:r>
        <w:rPr>
          <w:rFonts w:ascii="Shofar" w:hAnsi="Shofar"/>
          <w:rtl/>
        </w:rPr>
        <w:t>צריך להיות גוש.</w:t>
      </w:r>
      <w:r>
        <w:rPr>
          <w:rStyle w:val="FootnoteReference"/>
          <w:rFonts w:ascii="Shofar" w:hAnsi="Shofar"/>
          <w:rtl/>
        </w:rPr>
        <w:footnoteReference w:id="80"/>
      </w:r>
    </w:p>
    <w:p w:rsidR="00643327" w:rsidRDefault="00B63280" w:rsidP="008A6DF8">
      <w:pPr>
        <w:pStyle w:val="ListParagraph"/>
        <w:numPr>
          <w:ilvl w:val="0"/>
          <w:numId w:val="6"/>
        </w:numPr>
        <w:contextualSpacing w:val="0"/>
        <w:rPr>
          <w:rFonts w:ascii="Shofar" w:hAnsi="Shofar"/>
        </w:rPr>
      </w:pPr>
      <w:r>
        <w:rPr>
          <w:rFonts w:ascii="Shofar" w:hAnsi="Shofar"/>
          <w:rtl/>
        </w:rPr>
        <w:t>צריך להיות לו צורת הפת.</w:t>
      </w:r>
      <w:r>
        <w:rPr>
          <w:rStyle w:val="FootnoteReference"/>
          <w:rFonts w:ascii="Shofar" w:hAnsi="Shofar"/>
          <w:rtl/>
        </w:rPr>
        <w:footnoteReference w:id="81"/>
      </w:r>
    </w:p>
    <w:p w:rsidR="00643327" w:rsidRDefault="00B63280" w:rsidP="008A6DF8">
      <w:pPr>
        <w:pStyle w:val="ListParagraph"/>
        <w:numPr>
          <w:ilvl w:val="0"/>
          <w:numId w:val="6"/>
        </w:numPr>
        <w:contextualSpacing w:val="0"/>
        <w:rPr>
          <w:rFonts w:ascii="Shofar" w:hAnsi="Shofar"/>
        </w:rPr>
      </w:pPr>
      <w:r>
        <w:rPr>
          <w:rFonts w:ascii="Shofar" w:hAnsi="Shofar"/>
          <w:rtl/>
        </w:rPr>
        <w:t>צריך להיות שכזית ממנו קיים.</w:t>
      </w:r>
      <w:r>
        <w:rPr>
          <w:rStyle w:val="FootnoteReference"/>
          <w:rFonts w:ascii="Shofar" w:hAnsi="Shofar"/>
          <w:rtl/>
        </w:rPr>
        <w:footnoteReference w:id="82"/>
      </w:r>
      <w:r>
        <w:rPr>
          <w:rFonts w:ascii="Shofar" w:hAnsi="Shofar"/>
          <w:rtl/>
        </w:rPr>
        <w:t xml:space="preserve"> חול' בזה, ולהל' אצ"ל כזית.</w:t>
      </w:r>
      <w:r>
        <w:rPr>
          <w:rStyle w:val="EndnoteReference"/>
          <w:rFonts w:ascii="Shofar" w:hAnsi="Shofar"/>
          <w:rtl/>
        </w:rPr>
        <w:endnoteReference w:id="31"/>
      </w:r>
    </w:p>
    <w:p w:rsidR="00643327" w:rsidRDefault="00B63280" w:rsidP="008A6DF8">
      <w:pPr>
        <w:pStyle w:val="ListParagraph"/>
        <w:numPr>
          <w:ilvl w:val="0"/>
          <w:numId w:val="6"/>
        </w:numPr>
        <w:contextualSpacing w:val="0"/>
        <w:rPr>
          <w:rFonts w:ascii="Shofar" w:hAnsi="Shofar"/>
        </w:rPr>
      </w:pPr>
      <w:r>
        <w:rPr>
          <w:rFonts w:ascii="Shofar" w:hAnsi="Shofar"/>
          <w:rtl/>
        </w:rPr>
        <w:t>צ"ל נעשה לאכילה, ולא לרפואה.</w:t>
      </w:r>
      <w:r>
        <w:rPr>
          <w:rStyle w:val="EndnoteReference"/>
          <w:rFonts w:ascii="Shofar" w:hAnsi="Shofar"/>
          <w:rtl/>
        </w:rPr>
        <w:endnoteReference w:id="32"/>
      </w:r>
      <w:r>
        <w:rPr>
          <w:rStyle w:val="FootnoteReference"/>
          <w:rFonts w:ascii="Shofar" w:hAnsi="Shofar"/>
          <w:rtl/>
        </w:rPr>
        <w:footnoteReference w:id="83"/>
      </w:r>
      <w:r>
        <w:rPr>
          <w:rFonts w:ascii="Shofar" w:hAnsi="Shofar"/>
          <w:rtl/>
        </w:rPr>
        <w:t>)</w:t>
      </w:r>
    </w:p>
    <w:p w:rsidR="00643327" w:rsidRDefault="00B63280" w:rsidP="008A6DF8">
      <w:pPr>
        <w:pStyle w:val="ListParagraph"/>
        <w:numPr>
          <w:ilvl w:val="0"/>
          <w:numId w:val="5"/>
        </w:numPr>
        <w:contextualSpacing w:val="0"/>
        <w:rPr>
          <w:rFonts w:ascii="Shofar" w:hAnsi="Shofar"/>
        </w:rPr>
      </w:pPr>
      <w:r>
        <w:rPr>
          <w:rFonts w:ascii="Shofar" w:hAnsi="Shofar"/>
          <w:rtl/>
        </w:rPr>
        <w:t>תבשיל</w:t>
      </w:r>
      <w:r>
        <w:rPr>
          <w:rStyle w:val="FootnoteReference"/>
          <w:rFonts w:ascii="Shofar" w:hAnsi="Shofar"/>
          <w:rtl/>
        </w:rPr>
        <w:footnoteReference w:id="84"/>
      </w:r>
      <w:r>
        <w:rPr>
          <w:rFonts w:ascii="Shofar" w:hAnsi="Shofar"/>
          <w:rtl/>
        </w:rPr>
        <w:t xml:space="preserve"> שיש בו חמשת מינים. עליו מברכים במ"מ. יש </w:t>
      </w:r>
      <w:r>
        <w:rPr>
          <w:rFonts w:ascii="Shofar" w:hAnsi="Shofar"/>
          <w:b/>
          <w:bCs/>
          <w:rtl/>
        </w:rPr>
        <w:t>שלש</w:t>
      </w:r>
      <w:r>
        <w:rPr>
          <w:rFonts w:ascii="Shofar" w:hAnsi="Shofar"/>
          <w:rtl/>
        </w:rPr>
        <w:t xml:space="preserve"> יוצאים מן הכלל:</w:t>
      </w:r>
    </w:p>
    <w:p w:rsidR="00643327" w:rsidRDefault="00B63280" w:rsidP="008A6DF8">
      <w:pPr>
        <w:pStyle w:val="ListParagraph"/>
        <w:numPr>
          <w:ilvl w:val="1"/>
          <w:numId w:val="5"/>
        </w:numPr>
        <w:contextualSpacing w:val="0"/>
        <w:rPr>
          <w:rFonts w:ascii="Shofar" w:hAnsi="Shofar"/>
        </w:rPr>
      </w:pPr>
      <w:r>
        <w:rPr>
          <w:rFonts w:ascii="Shofar" w:hAnsi="Shofar"/>
          <w:rtl/>
        </w:rPr>
        <w:t>אם הוא פת, שאז צל"ע ליעל.</w:t>
      </w:r>
    </w:p>
    <w:p w:rsidR="00643327" w:rsidRDefault="00B63280" w:rsidP="008A6DF8">
      <w:pPr>
        <w:pStyle w:val="ListParagraph"/>
        <w:numPr>
          <w:ilvl w:val="1"/>
          <w:numId w:val="5"/>
        </w:numPr>
        <w:contextualSpacing w:val="0"/>
        <w:rPr>
          <w:rFonts w:ascii="Shofar" w:hAnsi="Shofar"/>
        </w:rPr>
      </w:pPr>
      <w:r>
        <w:rPr>
          <w:rFonts w:ascii="Shofar" w:hAnsi="Shofar"/>
          <w:rtl/>
        </w:rPr>
        <w:t>אם הוא לרפואה, שאז ברכתו שהכל.</w:t>
      </w:r>
      <w:r>
        <w:rPr>
          <w:rStyle w:val="FootnoteReference"/>
          <w:rFonts w:ascii="Shofar" w:hAnsi="Shofar"/>
          <w:rtl/>
        </w:rPr>
        <w:footnoteReference w:id="85"/>
      </w:r>
    </w:p>
    <w:p w:rsidR="00643327" w:rsidRDefault="00B63280" w:rsidP="008A6DF8">
      <w:pPr>
        <w:pStyle w:val="ListParagraph"/>
        <w:numPr>
          <w:ilvl w:val="1"/>
          <w:numId w:val="5"/>
        </w:numPr>
        <w:contextualSpacing w:val="0"/>
        <w:rPr>
          <w:rFonts w:ascii="Shofar" w:hAnsi="Shofar"/>
        </w:rPr>
      </w:pPr>
      <w:r>
        <w:rPr>
          <w:rFonts w:ascii="Shofar" w:hAnsi="Shofar"/>
          <w:rtl/>
        </w:rPr>
        <w:t>אם חמשת המינים הם רק לדבק</w:t>
      </w:r>
      <w:r>
        <w:rPr>
          <w:rStyle w:val="FootnoteReference"/>
          <w:rFonts w:ascii="Shofar" w:hAnsi="Shofar"/>
          <w:rtl/>
        </w:rPr>
        <w:footnoteReference w:id="86"/>
      </w:r>
      <w:r>
        <w:rPr>
          <w:rFonts w:ascii="Shofar" w:hAnsi="Shofar"/>
          <w:rtl/>
        </w:rPr>
        <w:t>, שאז בטלים.</w:t>
      </w:r>
    </w:p>
    <w:p w:rsidR="00643327" w:rsidRDefault="00B63280" w:rsidP="008A6DF8">
      <w:pPr>
        <w:pStyle w:val="ListParagraph"/>
        <w:numPr>
          <w:ilvl w:val="0"/>
          <w:numId w:val="5"/>
        </w:numPr>
        <w:contextualSpacing w:val="0"/>
        <w:rPr>
          <w:rFonts w:ascii="Shofar" w:hAnsi="Shofar"/>
        </w:rPr>
      </w:pPr>
      <w:r>
        <w:rPr>
          <w:rFonts w:ascii="Shofar" w:hAnsi="Shofar"/>
          <w:rtl/>
        </w:rPr>
        <w:t>תבשיל של אורז ודוחן, מברכים במ"מ. (אא"כ נעשה לרפואה, שאז ברכתו שהכל).</w:t>
      </w:r>
    </w:p>
    <w:p w:rsidR="00643327" w:rsidRDefault="00B63280" w:rsidP="008A6DF8">
      <w:pPr>
        <w:pStyle w:val="ListParagraph"/>
        <w:numPr>
          <w:ilvl w:val="0"/>
          <w:numId w:val="5"/>
        </w:numPr>
        <w:contextualSpacing w:val="0"/>
      </w:pPr>
      <w:r>
        <w:rPr>
          <w:rFonts w:ascii="Shofar" w:hAnsi="Shofar"/>
          <w:rtl/>
        </w:rPr>
        <w:lastRenderedPageBreak/>
        <w:t>על דבר ששינה אותו, אם יש שינוי יותר טוב, חולקים ר"נ ור"י אם אומרים עליו שהכל או בפה"א.</w:t>
      </w:r>
      <w:r>
        <w:rPr>
          <w:rStyle w:val="FootnoteCharacters"/>
          <w:rFonts w:ascii="Shofar" w:hAnsi="Shofar"/>
          <w:rtl/>
        </w:rPr>
        <w:t xml:space="preserve"> </w:t>
      </w:r>
    </w:p>
    <w:p w:rsidR="00643327" w:rsidRDefault="00B63280" w:rsidP="008A6DF8">
      <w:pPr>
        <w:pStyle w:val="ListParagraph"/>
        <w:numPr>
          <w:ilvl w:val="0"/>
          <w:numId w:val="5"/>
        </w:numPr>
        <w:contextualSpacing w:val="0"/>
        <w:rPr>
          <w:rFonts w:ascii="Shofar" w:hAnsi="Shofar"/>
        </w:rPr>
      </w:pPr>
      <w:r>
        <w:rPr>
          <w:rFonts w:ascii="Shofar" w:hAnsi="Shofar"/>
          <w:rtl/>
        </w:rPr>
        <w:t>על דבר שסופו להיות קשה (ולא נאכל), חולקים רב יהודה ושמואל אם מברכים בפה"א או שהכל. גמרא מסיק כרב יהודה.</w:t>
      </w:r>
      <w:r>
        <w:rPr>
          <w:rStyle w:val="FootnoteReference"/>
          <w:rFonts w:ascii="Shofar" w:hAnsi="Shofar"/>
          <w:rtl/>
        </w:rPr>
        <w:footnoteReference w:id="87"/>
      </w:r>
    </w:p>
    <w:p w:rsidR="00643327" w:rsidRDefault="00B63280" w:rsidP="008A6DF8">
      <w:pPr>
        <w:pStyle w:val="ListParagraph"/>
        <w:numPr>
          <w:ilvl w:val="0"/>
          <w:numId w:val="5"/>
        </w:numPr>
        <w:contextualSpacing w:val="0"/>
        <w:rPr>
          <w:rFonts w:ascii="Shofar" w:hAnsi="Shofar"/>
        </w:rPr>
      </w:pPr>
      <w:r>
        <w:rPr>
          <w:rFonts w:ascii="Shofar" w:hAnsi="Shofar"/>
          <w:rtl/>
        </w:rPr>
        <w:t>על דבר שלא נזרע לו, חולקים ר"י ושמואל אם מברכים בפה"א או שהכל. הלכה כשמואל.</w:t>
      </w:r>
      <w:r>
        <w:rPr>
          <w:rStyle w:val="FootnoteReference"/>
          <w:rFonts w:ascii="Shofar" w:hAnsi="Shofar"/>
          <w:rtl/>
        </w:rPr>
        <w:footnoteReference w:id="88"/>
      </w:r>
    </w:p>
    <w:p w:rsidR="00643327" w:rsidRDefault="00B63280" w:rsidP="008A6DF8">
      <w:pPr>
        <w:pStyle w:val="ListParagraph"/>
        <w:numPr>
          <w:ilvl w:val="0"/>
          <w:numId w:val="5"/>
        </w:numPr>
        <w:contextualSpacing w:val="0"/>
        <w:rPr>
          <w:rFonts w:ascii="Shofar" w:hAnsi="Shofar"/>
        </w:rPr>
      </w:pPr>
      <w:r>
        <w:rPr>
          <w:rFonts w:ascii="Shofar" w:hAnsi="Shofar"/>
          <w:rtl/>
        </w:rPr>
        <w:t>על דבר שלא נאכל כדרכו, מברכים שהכל.</w:t>
      </w:r>
      <w:r>
        <w:rPr>
          <w:rStyle w:val="FootnoteReference"/>
          <w:rFonts w:ascii="Shofar" w:hAnsi="Shofar"/>
          <w:rtl/>
        </w:rPr>
        <w:footnoteReference w:id="89"/>
      </w:r>
    </w:p>
    <w:p w:rsidR="00643327" w:rsidRDefault="00B63280" w:rsidP="008A6DF8">
      <w:pPr>
        <w:pStyle w:val="ListParagraph"/>
        <w:numPr>
          <w:ilvl w:val="0"/>
          <w:numId w:val="5"/>
        </w:numPr>
        <w:contextualSpacing w:val="0"/>
        <w:rPr>
          <w:rFonts w:ascii="Shofar" w:hAnsi="Shofar"/>
        </w:rPr>
      </w:pPr>
      <w:r>
        <w:rPr>
          <w:rFonts w:ascii="Shofar" w:hAnsi="Shofar"/>
          <w:rtl/>
        </w:rPr>
        <w:t>על דבר שנשלק:</w:t>
      </w:r>
    </w:p>
    <w:p w:rsidR="00643327" w:rsidRDefault="00B63280" w:rsidP="008A6DF8">
      <w:pPr>
        <w:pStyle w:val="ListParagraph"/>
        <w:numPr>
          <w:ilvl w:val="1"/>
          <w:numId w:val="5"/>
        </w:numPr>
        <w:contextualSpacing w:val="0"/>
        <w:rPr>
          <w:rFonts w:ascii="Shofar" w:hAnsi="Shofar"/>
        </w:rPr>
      </w:pPr>
      <w:r>
        <w:rPr>
          <w:rFonts w:ascii="Shofar" w:hAnsi="Shofar"/>
          <w:rtl/>
        </w:rPr>
        <w:t>אם דרכו לאכול בלי שליקה, חולקים אם ברכתו בפה"א או שהכל.</w:t>
      </w:r>
    </w:p>
    <w:p w:rsidR="00643327" w:rsidRDefault="00B63280" w:rsidP="008A6DF8">
      <w:pPr>
        <w:pStyle w:val="ListParagraph"/>
        <w:numPr>
          <w:ilvl w:val="1"/>
          <w:numId w:val="5"/>
        </w:numPr>
        <w:contextualSpacing w:val="0"/>
        <w:rPr>
          <w:rFonts w:ascii="Shofar" w:hAnsi="Shofar"/>
        </w:rPr>
      </w:pPr>
      <w:r>
        <w:rPr>
          <w:rFonts w:ascii="Shofar" w:hAnsi="Shofar"/>
          <w:rtl/>
        </w:rPr>
        <w:t>אם אין דרכו לאכול בלי שליקה, ברכתו בפה"א.</w:t>
      </w:r>
      <w:r>
        <w:rPr>
          <w:rStyle w:val="EndnoteReference"/>
          <w:rFonts w:ascii="Shofar" w:hAnsi="Shofar"/>
          <w:rtl/>
        </w:rPr>
        <w:endnoteReference w:id="33"/>
      </w:r>
      <w:r>
        <w:rPr>
          <w:rStyle w:val="FootnoteReference"/>
          <w:rFonts w:ascii="Shofar" w:hAnsi="Shofar"/>
          <w:rtl/>
        </w:rPr>
        <w:footnoteReference w:id="90"/>
      </w:r>
    </w:p>
    <w:p w:rsidR="00643327" w:rsidRDefault="00B63280">
      <w:pPr>
        <w:rPr>
          <w:rFonts w:ascii="Shofar" w:hAnsi="Shofar"/>
        </w:rPr>
      </w:pPr>
      <w:r>
        <w:rPr>
          <w:rFonts w:ascii="Shofar" w:hAnsi="Shofar"/>
          <w:rtl/>
        </w:rPr>
        <w:t xml:space="preserve">אם ברך אותו על פרי האילן, חלקו רבי יהודה ורבנן אם יצא (כיון שעיקר של האילן הוא הקרקע) או לא יצא  (שאין עיקר האילן הקרקע). </w:t>
      </w:r>
      <w:r>
        <w:rPr>
          <w:rStyle w:val="EndnoteReference"/>
          <w:rFonts w:ascii="Shofar" w:hAnsi="Shofar"/>
          <w:rtl/>
        </w:rPr>
        <w:endnoteReference w:id="34"/>
      </w:r>
      <w:r>
        <w:rPr>
          <w:rStyle w:val="FootnoteReference"/>
          <w:rFonts w:ascii="Shofar" w:hAnsi="Shofar"/>
          <w:rtl/>
        </w:rPr>
        <w:footnoteReference w:id="91"/>
      </w:r>
    </w:p>
    <w:p w:rsidR="00643327" w:rsidRDefault="00B63280">
      <w:pPr>
        <w:pStyle w:val="Heading2"/>
        <w:rPr>
          <w:rFonts w:ascii="Shofar" w:hAnsi="Shofar" w:cs="Shofar"/>
        </w:rPr>
      </w:pPr>
      <w:bookmarkStart w:id="11" w:name="__RefHeading___Toc90822_2054497345"/>
      <w:bookmarkEnd w:id="11"/>
      <w:r>
        <w:rPr>
          <w:rFonts w:ascii="Shofar" w:hAnsi="Shofar" w:cs="Shofar"/>
          <w:rtl/>
        </w:rPr>
        <w:t>ברכת המזון:</w:t>
      </w:r>
    </w:p>
    <w:p w:rsidR="00643327" w:rsidRDefault="00B63280" w:rsidP="00625D22">
      <w:pPr>
        <w:rPr>
          <w:rFonts w:ascii="Shofar" w:hAnsi="Shofar"/>
        </w:rPr>
      </w:pPr>
      <w:r>
        <w:rPr>
          <w:rFonts w:ascii="Shofar" w:hAnsi="Shofar"/>
          <w:rtl/>
        </w:rPr>
        <w:t xml:space="preserve">אחר כל מה שמברכים עליו המוציא, מברכים ברכת המזון. יש </w:t>
      </w:r>
      <w:r w:rsidR="00625D22">
        <w:rPr>
          <w:rFonts w:ascii="Shofar" w:hAnsi="Shofar" w:hint="cs"/>
          <w:rtl/>
        </w:rPr>
        <w:t>שלש</w:t>
      </w:r>
      <w:r>
        <w:rPr>
          <w:rFonts w:ascii="Shofar" w:hAnsi="Shofar"/>
          <w:rtl/>
        </w:rPr>
        <w:t xml:space="preserve"> דברים נוספים:</w:t>
      </w:r>
    </w:p>
    <w:p w:rsidR="00643327" w:rsidRDefault="00B63280" w:rsidP="008A6DF8">
      <w:pPr>
        <w:numPr>
          <w:ilvl w:val="0"/>
          <w:numId w:val="24"/>
        </w:numPr>
        <w:rPr>
          <w:rFonts w:ascii="Shofar" w:hAnsi="Shofar"/>
        </w:rPr>
      </w:pPr>
      <w:r>
        <w:rPr>
          <w:rFonts w:ascii="Shofar" w:hAnsi="Shofar"/>
          <w:rtl/>
        </w:rPr>
        <w:t>שבעת המינים. חול’ ר"ג ורבנן אם מברכים אחריו ברכת המזון; תלוי אם "ואכלת ושבעת" קאי עליהם או אם "ארץ הפסיק את הענין.</w:t>
      </w:r>
      <w:r>
        <w:rPr>
          <w:rStyle w:val="FootnoteReference"/>
          <w:rFonts w:ascii="Shofar" w:hAnsi="Shofar"/>
          <w:rtl/>
        </w:rPr>
        <w:footnoteReference w:id="92"/>
      </w:r>
    </w:p>
    <w:p w:rsidR="00643327" w:rsidRDefault="00B63280" w:rsidP="008A6DF8">
      <w:pPr>
        <w:numPr>
          <w:ilvl w:val="0"/>
          <w:numId w:val="24"/>
        </w:numPr>
        <w:rPr>
          <w:rFonts w:ascii="Shofar" w:hAnsi="Shofar"/>
        </w:rPr>
      </w:pPr>
      <w:r>
        <w:rPr>
          <w:rFonts w:ascii="Shofar" w:hAnsi="Shofar"/>
          <w:rtl/>
        </w:rPr>
        <w:t>מה שאוכל לסעודתו. חול’ ר"ע ורבנן אם מברכים עליו ברכת המזון או לא.</w:t>
      </w:r>
      <w:r>
        <w:rPr>
          <w:rStyle w:val="FootnoteReference"/>
          <w:rFonts w:ascii="Shofar" w:hAnsi="Shofar"/>
          <w:rtl/>
        </w:rPr>
        <w:footnoteReference w:id="93"/>
      </w:r>
    </w:p>
    <w:p w:rsidR="00625D22" w:rsidRDefault="00625D22" w:rsidP="008A6DF8">
      <w:pPr>
        <w:numPr>
          <w:ilvl w:val="0"/>
          <w:numId w:val="24"/>
        </w:numPr>
        <w:rPr>
          <w:rFonts w:ascii="Shofar" w:hAnsi="Shofar"/>
        </w:rPr>
      </w:pPr>
      <w:r>
        <w:rPr>
          <w:rFonts w:ascii="Shofar" w:hAnsi="Shofar" w:hint="cs"/>
          <w:rtl/>
        </w:rPr>
        <w:t>דבר המיזן. אם ברך אחרי דבר המיזן ברכת המזון, יצא. (מאירי כ' שצ"ל גם משבעת המינים.)</w:t>
      </w:r>
      <w:r>
        <w:rPr>
          <w:rStyle w:val="FootnoteReference"/>
          <w:rFonts w:ascii="Shofar" w:hAnsi="Shofar"/>
          <w:rtl/>
        </w:rPr>
        <w:footnoteReference w:id="94"/>
      </w:r>
    </w:p>
    <w:p w:rsidR="009944E1" w:rsidRDefault="009944E1" w:rsidP="009944E1">
      <w:pPr>
        <w:rPr>
          <w:rFonts w:ascii="Shofar" w:hAnsi="Shofar"/>
          <w:rtl/>
        </w:rPr>
      </w:pPr>
      <w:r>
        <w:rPr>
          <w:rFonts w:ascii="Shofar" w:hAnsi="Shofar" w:hint="cs"/>
          <w:rtl/>
        </w:rPr>
        <w:t>כמה צריך לאכול:</w:t>
      </w:r>
    </w:p>
    <w:p w:rsidR="00FA07FE" w:rsidRDefault="009944E1" w:rsidP="00FA07FE">
      <w:pPr>
        <w:rPr>
          <w:rFonts w:ascii="Shofar" w:hAnsi="Shofar"/>
          <w:rtl/>
        </w:rPr>
      </w:pPr>
      <w:r>
        <w:rPr>
          <w:rFonts w:ascii="Shofar" w:hAnsi="Shofar" w:hint="cs"/>
          <w:rtl/>
        </w:rPr>
        <w:t>מדאו', חייב לברך ברכת המזון כיון שהוא שבע.</w:t>
      </w:r>
      <w:r w:rsidR="00336969">
        <w:rPr>
          <w:rStyle w:val="FootnoteReference"/>
          <w:rFonts w:ascii="Shofar" w:hAnsi="Shofar"/>
          <w:rtl/>
        </w:rPr>
        <w:footnoteReference w:id="95"/>
      </w:r>
      <w:r w:rsidR="001E2B34">
        <w:rPr>
          <w:rFonts w:ascii="Shofar" w:hAnsi="Shofar" w:hint="cs"/>
          <w:rtl/>
        </w:rPr>
        <w:t xml:space="preserve"> מדרבנן, מברך גם על פחות. רבי מאיר סובר שמברכים על כזית, שכ' בו לשון אכילה</w:t>
      </w:r>
      <w:r w:rsidR="001517CE">
        <w:rPr>
          <w:rStyle w:val="FootnoteReference"/>
          <w:rFonts w:ascii="Shofar" w:hAnsi="Shofar"/>
          <w:rtl/>
        </w:rPr>
        <w:footnoteReference w:id="96"/>
      </w:r>
      <w:r w:rsidR="001E2B34">
        <w:rPr>
          <w:rFonts w:ascii="Shofar" w:hAnsi="Shofar" w:hint="cs"/>
          <w:rtl/>
        </w:rPr>
        <w:t>, ורבי יהודה סובר שמברכים על כביצה, שכ' בו לשון אכילה ולשון שביעה.</w:t>
      </w:r>
    </w:p>
    <w:p w:rsidR="006B4EE9" w:rsidRDefault="006B4EE9" w:rsidP="00FA07FE">
      <w:pPr>
        <w:rPr>
          <w:rFonts w:ascii="Shofar" w:hAnsi="Shofar"/>
          <w:rtl/>
        </w:rPr>
      </w:pPr>
      <w:r>
        <w:rPr>
          <w:rFonts w:ascii="Shofar" w:hAnsi="Shofar" w:hint="cs"/>
          <w:rtl/>
        </w:rPr>
        <w:t>פטורים מברכת המזון:</w:t>
      </w:r>
    </w:p>
    <w:p w:rsidR="00FA07FE" w:rsidRDefault="00FA07FE" w:rsidP="00FA07FE">
      <w:pPr>
        <w:rPr>
          <w:rFonts w:ascii="Shofar" w:hAnsi="Shofar"/>
          <w:rtl/>
        </w:rPr>
      </w:pPr>
      <w:r>
        <w:rPr>
          <w:rFonts w:ascii="Shofar" w:hAnsi="Shofar" w:hint="cs"/>
          <w:rtl/>
        </w:rPr>
        <w:t>נשים חייבות בברכת המזון</w:t>
      </w:r>
      <w:r>
        <w:rPr>
          <w:rStyle w:val="FootnoteReference"/>
          <w:rFonts w:ascii="Shofar" w:hAnsi="Shofar"/>
          <w:rtl/>
        </w:rPr>
        <w:footnoteReference w:id="97"/>
      </w:r>
      <w:r>
        <w:rPr>
          <w:rFonts w:ascii="Shofar" w:hAnsi="Shofar" w:hint="cs"/>
          <w:rtl/>
        </w:rPr>
        <w:t>. אבל, מסופק גמ' אם חייבים מדאו'</w:t>
      </w:r>
      <w:r w:rsidR="003C4F19">
        <w:rPr>
          <w:rFonts w:ascii="Shofar" w:hAnsi="Shofar" w:hint="cs"/>
          <w:rtl/>
        </w:rPr>
        <w:t xml:space="preserve"> או מרדבנן (שכ', "על הארץ הטובה," והרי להן לא ניתן ארץ</w:t>
      </w:r>
      <w:r w:rsidR="003C4F19">
        <w:rPr>
          <w:rStyle w:val="FootnoteReference"/>
          <w:rFonts w:ascii="Shofar" w:hAnsi="Shofar"/>
          <w:rtl/>
        </w:rPr>
        <w:footnoteReference w:id="98"/>
      </w:r>
      <w:r w:rsidR="003C4F19">
        <w:rPr>
          <w:rFonts w:ascii="Shofar" w:hAnsi="Shofar" w:hint="cs"/>
          <w:rtl/>
        </w:rPr>
        <w:t>)</w:t>
      </w:r>
      <w:r w:rsidR="00A02D41">
        <w:rPr>
          <w:rFonts w:ascii="Shofar" w:hAnsi="Shofar" w:hint="cs"/>
          <w:rtl/>
        </w:rPr>
        <w:t>.</w:t>
      </w:r>
      <w:r w:rsidR="00454E8C">
        <w:rPr>
          <w:rStyle w:val="FootnoteReference"/>
          <w:rFonts w:ascii="Shofar" w:hAnsi="Shofar"/>
          <w:rtl/>
        </w:rPr>
        <w:footnoteReference w:id="99"/>
      </w:r>
      <w:r w:rsidR="00A02D41">
        <w:rPr>
          <w:rFonts w:ascii="Shofar" w:hAnsi="Shofar" w:hint="cs"/>
          <w:rtl/>
        </w:rPr>
        <w:t xml:space="preserve"> לכאו', ספק זה גם נוגע לעבדים.</w:t>
      </w:r>
    </w:p>
    <w:p w:rsidR="00127B78" w:rsidRDefault="006B4EE9" w:rsidP="006B4EE9">
      <w:pPr>
        <w:rPr>
          <w:rFonts w:ascii="Shofar" w:hAnsi="Shofar"/>
        </w:rPr>
      </w:pPr>
      <w:r>
        <w:rPr>
          <w:rFonts w:ascii="Shofar" w:hAnsi="Shofar" w:hint="cs"/>
          <w:rtl/>
        </w:rPr>
        <w:t>בעל קרי מברך, אבל חולקים אם מברך בדיבור או רק בהרהור.</w:t>
      </w:r>
    </w:p>
    <w:p w:rsidR="00643327" w:rsidRDefault="00B63280">
      <w:pPr>
        <w:rPr>
          <w:rFonts w:ascii="Shofar" w:hAnsi="Shofar"/>
        </w:rPr>
      </w:pPr>
      <w:r>
        <w:rPr>
          <w:rFonts w:ascii="Shofar" w:hAnsi="Shofar"/>
          <w:rtl/>
        </w:rPr>
        <w:t>יש שלשה חלקי ברכת המזון:</w:t>
      </w:r>
    </w:p>
    <w:p w:rsidR="00643327" w:rsidRDefault="00B63280" w:rsidP="008A6DF8">
      <w:pPr>
        <w:numPr>
          <w:ilvl w:val="0"/>
          <w:numId w:val="13"/>
        </w:numPr>
        <w:rPr>
          <w:rFonts w:ascii="Shofar" w:hAnsi="Shofar"/>
        </w:rPr>
      </w:pPr>
      <w:r>
        <w:rPr>
          <w:rFonts w:ascii="Shofar" w:hAnsi="Shofar"/>
          <w:rtl/>
        </w:rPr>
        <w:t>ברכת הזימון. לא לעולם אומרים אותו, אלא רק אם יש חבורת בני אדם שאכלו ביחד</w:t>
      </w:r>
      <w:r>
        <w:rPr>
          <w:rStyle w:val="FootnoteReference"/>
          <w:rFonts w:ascii="Shofar" w:hAnsi="Shofar"/>
          <w:rtl/>
        </w:rPr>
        <w:footnoteReference w:id="100"/>
      </w:r>
      <w:r>
        <w:rPr>
          <w:rFonts w:ascii="Shofar" w:hAnsi="Shofar"/>
          <w:rtl/>
        </w:rPr>
        <w:t>:</w:t>
      </w:r>
    </w:p>
    <w:p w:rsidR="00643327" w:rsidRDefault="00B63280" w:rsidP="008A6DF8">
      <w:pPr>
        <w:numPr>
          <w:ilvl w:val="1"/>
          <w:numId w:val="13"/>
        </w:numPr>
        <w:rPr>
          <w:rFonts w:ascii="Shofar" w:hAnsi="Shofar"/>
        </w:rPr>
      </w:pPr>
      <w:r>
        <w:rPr>
          <w:rFonts w:ascii="Shofar" w:hAnsi="Shofar"/>
          <w:rtl/>
        </w:rPr>
        <w:t>אם יש שנים, לא חייבים לזמן</w:t>
      </w:r>
      <w:r>
        <w:rPr>
          <w:rStyle w:val="FootnoteReference"/>
          <w:rFonts w:ascii="Shofar" w:hAnsi="Shofar"/>
          <w:rtl/>
        </w:rPr>
        <w:footnoteReference w:id="101"/>
      </w:r>
      <w:r>
        <w:rPr>
          <w:rFonts w:ascii="Shofar" w:hAnsi="Shofar"/>
          <w:rtl/>
        </w:rPr>
        <w:t>. חולקים רב ורבי יוחנן אם יכולים לזמן או לא יכולים לזמן.</w:t>
      </w:r>
      <w:r>
        <w:rPr>
          <w:rStyle w:val="FootnoteReference"/>
          <w:rFonts w:ascii="Shofar" w:hAnsi="Shofar"/>
          <w:rtl/>
        </w:rPr>
        <w:footnoteReference w:id="102"/>
      </w:r>
    </w:p>
    <w:p w:rsidR="00643327" w:rsidRDefault="00B63280" w:rsidP="008A6DF8">
      <w:pPr>
        <w:numPr>
          <w:ilvl w:val="1"/>
          <w:numId w:val="13"/>
        </w:numPr>
        <w:rPr>
          <w:rFonts w:ascii="Shofar" w:hAnsi="Shofar"/>
        </w:rPr>
      </w:pPr>
      <w:r>
        <w:rPr>
          <w:rFonts w:ascii="Shofar" w:hAnsi="Shofar"/>
          <w:rtl/>
        </w:rPr>
        <w:lastRenderedPageBreak/>
        <w:t>אם יש שלש, חייבים לזמן, ואף אם אוכלים משלהם, ואף אם רק ישבו לאכול (חייבים לאכול ביחד)</w:t>
      </w:r>
      <w:r>
        <w:rPr>
          <w:rStyle w:val="EndnoteReference"/>
          <w:rFonts w:ascii="Shofar" w:hAnsi="Shofar"/>
          <w:rtl/>
        </w:rPr>
        <w:endnoteReference w:id="35"/>
      </w:r>
      <w:r>
        <w:rPr>
          <w:rStyle w:val="FootnoteReference"/>
          <w:rFonts w:ascii="Shofar" w:hAnsi="Shofar"/>
          <w:rtl/>
        </w:rPr>
        <w:footnoteReference w:id="103"/>
      </w:r>
      <w:r>
        <w:rPr>
          <w:rFonts w:ascii="Shofar" w:hAnsi="Shofar"/>
          <w:rtl/>
        </w:rPr>
        <w:t>. יש שני מקורות שהחיוב מתחיל בשלש:</w:t>
      </w:r>
    </w:p>
    <w:p w:rsidR="00643327" w:rsidRDefault="00B63280" w:rsidP="008A6DF8">
      <w:pPr>
        <w:numPr>
          <w:ilvl w:val="2"/>
          <w:numId w:val="13"/>
        </w:numPr>
        <w:rPr>
          <w:rFonts w:ascii="Shofar" w:hAnsi="Shofar"/>
        </w:rPr>
      </w:pPr>
      <w:r>
        <w:rPr>
          <w:rFonts w:ascii="Shofar" w:hAnsi="Shofar"/>
          <w:rtl/>
        </w:rPr>
        <w:t>"גדלו לה' אתי…"</w:t>
      </w:r>
    </w:p>
    <w:p w:rsidR="00643327" w:rsidRDefault="00B63280" w:rsidP="008A6DF8">
      <w:pPr>
        <w:numPr>
          <w:ilvl w:val="2"/>
          <w:numId w:val="13"/>
        </w:numPr>
        <w:rPr>
          <w:rFonts w:ascii="Shofar" w:hAnsi="Shofar"/>
        </w:rPr>
      </w:pPr>
      <w:r>
        <w:rPr>
          <w:rFonts w:ascii="Shofar" w:hAnsi="Shofar"/>
          <w:rtl/>
        </w:rPr>
        <w:t>"הבו גודל לאלקינו.</w:t>
      </w:r>
      <w:r>
        <w:rPr>
          <w:rStyle w:val="FootnoteReference"/>
          <w:rFonts w:ascii="Shofar" w:hAnsi="Shofar"/>
          <w:rtl/>
        </w:rPr>
        <w:footnoteReference w:id="104"/>
      </w:r>
      <w:r>
        <w:rPr>
          <w:rStyle w:val="EndnoteReference"/>
          <w:rFonts w:ascii="Shofar" w:hAnsi="Shofar"/>
          <w:rtl/>
        </w:rPr>
        <w:endnoteReference w:id="36"/>
      </w:r>
    </w:p>
    <w:p w:rsidR="00643327" w:rsidRDefault="00B63280">
      <w:pPr>
        <w:ind w:left="1440"/>
        <w:rPr>
          <w:rFonts w:ascii="Shofar" w:hAnsi="Shofar"/>
        </w:rPr>
      </w:pPr>
      <w:r>
        <w:rPr>
          <w:rFonts w:ascii="Shofar" w:hAnsi="Shofar"/>
          <w:rtl/>
        </w:rPr>
        <w:t>לא יכולים שלש לחלק (אף לזמן בשנים, כיון שאינו חיוב</w:t>
      </w:r>
      <w:r>
        <w:rPr>
          <w:rStyle w:val="FootnoteReference"/>
          <w:rFonts w:ascii="Shofar" w:hAnsi="Shofar"/>
          <w:rtl/>
        </w:rPr>
        <w:footnoteReference w:id="105"/>
      </w:r>
      <w:r>
        <w:rPr>
          <w:rFonts w:ascii="Shofar" w:hAnsi="Shofar"/>
          <w:rtl/>
        </w:rPr>
        <w:t>), כיון שצ' לזמן.</w:t>
      </w:r>
      <w:r>
        <w:rPr>
          <w:rStyle w:val="FootnoteReference"/>
          <w:rFonts w:ascii="Shofar" w:hAnsi="Shofar"/>
          <w:rtl/>
        </w:rPr>
        <w:footnoteReference w:id="106"/>
      </w:r>
    </w:p>
    <w:p w:rsidR="00643327" w:rsidRDefault="00B63280">
      <w:pPr>
        <w:ind w:left="720"/>
        <w:rPr>
          <w:rFonts w:ascii="Shofar" w:hAnsi="Shofar"/>
        </w:rPr>
      </w:pPr>
      <w:r>
        <w:rPr>
          <w:rFonts w:ascii="Shofar" w:hAnsi="Shofar"/>
          <w:rtl/>
        </w:rPr>
        <w:t>מה מברכים:</w:t>
      </w:r>
    </w:p>
    <w:p w:rsidR="00643327" w:rsidRDefault="00B63280" w:rsidP="008A6DF8">
      <w:pPr>
        <w:numPr>
          <w:ilvl w:val="1"/>
          <w:numId w:val="46"/>
        </w:numPr>
      </w:pPr>
      <w:r>
        <w:rPr>
          <w:rFonts w:ascii="Shofar" w:hAnsi="Shofar"/>
          <w:rtl/>
        </w:rPr>
        <w:t>בשנים או שלש (עד עשר), לא מברך בשם, שאין דבר שבק' נאמר בלי עשר, שכ', "ונק' בתוך בנ"י" (ודור' ג"ש).</w:t>
      </w:r>
      <w:r>
        <w:rPr>
          <w:rStyle w:val="FootnoteCharacters"/>
          <w:rFonts w:ascii="Shofar" w:hAnsi="Shofar"/>
          <w:rtl/>
        </w:rPr>
        <w:t xml:space="preserve"> </w:t>
      </w:r>
      <w:r>
        <w:rPr>
          <w:rStyle w:val="FootnoteReference"/>
          <w:rFonts w:ascii="Shofar" w:hAnsi="Shofar"/>
          <w:rtl/>
        </w:rPr>
        <w:footnoteReference w:id="107"/>
      </w:r>
    </w:p>
    <w:p w:rsidR="00643327" w:rsidRDefault="00B63280" w:rsidP="008A6DF8">
      <w:pPr>
        <w:numPr>
          <w:ilvl w:val="1"/>
          <w:numId w:val="13"/>
        </w:numPr>
        <w:rPr>
          <w:rFonts w:ascii="Shofar" w:hAnsi="Shofar"/>
        </w:rPr>
      </w:pPr>
      <w:r>
        <w:rPr>
          <w:rFonts w:ascii="Shofar" w:hAnsi="Shofar"/>
          <w:rtl/>
        </w:rPr>
        <w:t>בעשר, מזמנים בשם ה'. לכן, לא יכולים עשר לחלק.</w:t>
      </w:r>
      <w:r>
        <w:rPr>
          <w:rStyle w:val="FootnoteReference"/>
          <w:rFonts w:ascii="Shofar" w:hAnsi="Shofar"/>
          <w:rtl/>
        </w:rPr>
        <w:footnoteReference w:id="108"/>
      </w:r>
    </w:p>
    <w:p w:rsidR="00643327" w:rsidRDefault="00B63280" w:rsidP="008A6DF8">
      <w:pPr>
        <w:numPr>
          <w:ilvl w:val="1"/>
          <w:numId w:val="13"/>
        </w:numPr>
        <w:rPr>
          <w:rFonts w:ascii="Shofar" w:hAnsi="Shofar"/>
        </w:rPr>
      </w:pPr>
      <w:r>
        <w:rPr>
          <w:rFonts w:ascii="Shofar" w:hAnsi="Shofar"/>
          <w:rtl/>
        </w:rPr>
        <w:t>במאה, חול' אם אומר כעין עשרה, או שמזמנים בשם "ה' אלקינו."</w:t>
      </w:r>
      <w:r>
        <w:rPr>
          <w:rStyle w:val="FootnoteReference"/>
          <w:rFonts w:ascii="Shofar" w:hAnsi="Shofar"/>
          <w:rtl/>
        </w:rPr>
        <w:footnoteReference w:id="109"/>
      </w:r>
      <w:r>
        <w:rPr>
          <w:rFonts w:ascii="Shofar" w:hAnsi="Shofar"/>
          <w:rtl/>
        </w:rPr>
        <w:t xml:space="preserve"> להל' אומר כעין עשרה.</w:t>
      </w:r>
      <w:r>
        <w:rPr>
          <w:rStyle w:val="FootnoteReference"/>
          <w:rFonts w:ascii="Shofar" w:hAnsi="Shofar"/>
          <w:rtl/>
        </w:rPr>
        <w:footnoteReference w:id="110"/>
      </w:r>
      <w:r>
        <w:rPr>
          <w:rStyle w:val="EndnoteReference"/>
          <w:rFonts w:ascii="Shofar" w:hAnsi="Shofar"/>
          <w:rtl/>
        </w:rPr>
        <w:endnoteReference w:id="37"/>
      </w:r>
    </w:p>
    <w:p w:rsidR="00643327" w:rsidRDefault="00B63280" w:rsidP="008A6DF8">
      <w:pPr>
        <w:numPr>
          <w:ilvl w:val="1"/>
          <w:numId w:val="13"/>
        </w:numPr>
        <w:rPr>
          <w:rFonts w:ascii="Shofar" w:hAnsi="Shofar"/>
        </w:rPr>
      </w:pPr>
      <w:r>
        <w:rPr>
          <w:rFonts w:ascii="Shofar" w:hAnsi="Shofar"/>
          <w:rtl/>
        </w:rPr>
        <w:t>באלף, חול' אם אומר כעין עשרה, או שמזמנים בשם "ה' אלקינו אלקי ישראל."</w:t>
      </w:r>
      <w:r>
        <w:rPr>
          <w:rStyle w:val="FootnoteReference"/>
          <w:rFonts w:ascii="Shofar" w:hAnsi="Shofar"/>
          <w:rtl/>
        </w:rPr>
        <w:footnoteReference w:id="111"/>
      </w:r>
      <w:r>
        <w:rPr>
          <w:rFonts w:ascii="Shofar" w:hAnsi="Shofar"/>
          <w:rtl/>
        </w:rPr>
        <w:t xml:space="preserve"> להל' אומר כעין עשרה.</w:t>
      </w:r>
      <w:r>
        <w:rPr>
          <w:rStyle w:val="FootnoteReference"/>
          <w:rFonts w:ascii="Shofar" w:hAnsi="Shofar"/>
          <w:rtl/>
        </w:rPr>
        <w:footnoteReference w:id="112"/>
      </w:r>
    </w:p>
    <w:p w:rsidR="00643327" w:rsidRDefault="00B63280" w:rsidP="008A6DF8">
      <w:pPr>
        <w:numPr>
          <w:ilvl w:val="1"/>
          <w:numId w:val="13"/>
        </w:numPr>
        <w:rPr>
          <w:rFonts w:ascii="Shofar" w:hAnsi="Shofar"/>
        </w:rPr>
      </w:pPr>
      <w:r>
        <w:rPr>
          <w:rFonts w:ascii="Shofar" w:hAnsi="Shofar"/>
          <w:rtl/>
        </w:rPr>
        <w:t>בעשר אלפים, חול'</w:t>
      </w:r>
      <w:r>
        <w:rPr>
          <w:rStyle w:val="FootnoteReference"/>
          <w:rFonts w:ascii="Shofar" w:hAnsi="Shofar"/>
          <w:rtl/>
        </w:rPr>
        <w:footnoteReference w:id="113"/>
      </w:r>
      <w:r>
        <w:rPr>
          <w:rFonts w:ascii="Shofar" w:hAnsi="Shofar"/>
          <w:rtl/>
        </w:rPr>
        <w:t xml:space="preserve"> אם אומר כעין עשרה, או שמזמנים בשם "ה' אלקינו אלקי ישראל אלקי הצבאות יושב הכרובים."</w:t>
      </w:r>
      <w:r>
        <w:rPr>
          <w:rStyle w:val="FootnoteReference"/>
          <w:rFonts w:ascii="Shofar" w:hAnsi="Shofar"/>
          <w:rtl/>
        </w:rPr>
        <w:footnoteReference w:id="114"/>
      </w:r>
      <w:r>
        <w:rPr>
          <w:rFonts w:ascii="Shofar" w:hAnsi="Shofar"/>
          <w:rtl/>
        </w:rPr>
        <w:t xml:space="preserve"> להל' אומר כעין עשרה.</w:t>
      </w:r>
      <w:r>
        <w:rPr>
          <w:rStyle w:val="FootnoteReference"/>
          <w:rFonts w:ascii="Shofar" w:hAnsi="Shofar"/>
          <w:rtl/>
        </w:rPr>
        <w:footnoteReference w:id="115"/>
      </w:r>
    </w:p>
    <w:p w:rsidR="00643327" w:rsidRDefault="00B63280">
      <w:pPr>
        <w:ind w:left="720"/>
        <w:rPr>
          <w:rFonts w:ascii="Shofar" w:hAnsi="Shofar"/>
        </w:rPr>
      </w:pPr>
      <w:r>
        <w:rPr>
          <w:rFonts w:ascii="Shofar" w:hAnsi="Shofar"/>
          <w:rtl/>
        </w:rPr>
        <w:t>אם יש מנין הזה עם המברך, אומר "נברך.” אם יש מנין בלי המברך, טוב לומר</w:t>
      </w:r>
      <w:r>
        <w:rPr>
          <w:rStyle w:val="FootnoteReference"/>
          <w:rFonts w:ascii="Shofar" w:hAnsi="Shofar"/>
          <w:rtl/>
        </w:rPr>
        <w:footnoteReference w:id="116"/>
      </w:r>
      <w:r>
        <w:rPr>
          <w:rFonts w:ascii="Shofar" w:hAnsi="Shofar"/>
          <w:rtl/>
        </w:rPr>
        <w:t xml:space="preserve"> "נברך, אבל יכול לומר "ברכו."</w:t>
      </w:r>
      <w:r>
        <w:rPr>
          <w:rStyle w:val="FootnoteReference"/>
          <w:rFonts w:ascii="Shofar" w:hAnsi="Shofar"/>
          <w:rtl/>
        </w:rPr>
        <w:footnoteReference w:id="117"/>
      </w:r>
    </w:p>
    <w:p w:rsidR="00643327" w:rsidRDefault="00B63280">
      <w:pPr>
        <w:ind w:left="720"/>
        <w:rPr>
          <w:rFonts w:ascii="Shofar" w:hAnsi="Shofar"/>
        </w:rPr>
      </w:pPr>
      <w:r>
        <w:rPr>
          <w:rFonts w:ascii="Shofar" w:hAnsi="Shofar"/>
          <w:rtl/>
        </w:rPr>
        <w:t>לפעמים, לא צריך אותו מנין ממש:</w:t>
      </w:r>
    </w:p>
    <w:p w:rsidR="00643327" w:rsidRDefault="00B63280" w:rsidP="008A6DF8">
      <w:pPr>
        <w:numPr>
          <w:ilvl w:val="1"/>
          <w:numId w:val="47"/>
        </w:numPr>
        <w:rPr>
          <w:rFonts w:ascii="Shofar" w:hAnsi="Shofar"/>
        </w:rPr>
      </w:pPr>
      <w:r>
        <w:rPr>
          <w:rFonts w:ascii="Shofar" w:hAnsi="Shofar"/>
          <w:rtl/>
        </w:rPr>
        <w:t>יש קולות שנאמרו לעשרה:</w:t>
      </w:r>
    </w:p>
    <w:p w:rsidR="00643327" w:rsidRDefault="00B63280" w:rsidP="008A6DF8">
      <w:pPr>
        <w:numPr>
          <w:ilvl w:val="2"/>
          <w:numId w:val="13"/>
        </w:numPr>
        <w:rPr>
          <w:rFonts w:ascii="Shofar" w:hAnsi="Shofar"/>
        </w:rPr>
      </w:pPr>
      <w:r>
        <w:rPr>
          <w:rFonts w:ascii="Shofar" w:hAnsi="Shofar"/>
          <w:rtl/>
        </w:rPr>
        <w:t>יש ארבע צירופים (ואחד נדחה):</w:t>
      </w:r>
    </w:p>
    <w:p w:rsidR="00643327" w:rsidRDefault="00B63280" w:rsidP="008A6DF8">
      <w:pPr>
        <w:numPr>
          <w:ilvl w:val="3"/>
          <w:numId w:val="13"/>
        </w:numPr>
        <w:rPr>
          <w:rFonts w:ascii="Shofar" w:hAnsi="Shofar"/>
        </w:rPr>
      </w:pPr>
      <w:r>
        <w:rPr>
          <w:rFonts w:ascii="Shofar" w:hAnsi="Shofar"/>
          <w:rtl/>
        </w:rPr>
        <w:t>אחד שאכל ירק (ולא חייב בברכת המזון, אלא בברכת בורא נפשות) מצרף עם תשע. מסופק גמ’ אם מצרפים שנים עם שמנה או שלש עם שבע. חול’ אם יש להסתפק אם מצטרפים ארבע עם שש או לא מצטרף, כיון שאין רוב ניכרים.</w:t>
      </w:r>
      <w:r>
        <w:rPr>
          <w:rStyle w:val="FootnoteReference"/>
          <w:rFonts w:ascii="Shofar" w:hAnsi="Shofar"/>
          <w:rtl/>
        </w:rPr>
        <w:footnoteReference w:id="118"/>
      </w:r>
    </w:p>
    <w:p w:rsidR="00643327" w:rsidRDefault="00B63280" w:rsidP="008A6DF8">
      <w:pPr>
        <w:numPr>
          <w:ilvl w:val="3"/>
          <w:numId w:val="13"/>
        </w:numPr>
        <w:rPr>
          <w:rFonts w:ascii="Shofar" w:hAnsi="Shofar"/>
        </w:rPr>
      </w:pPr>
      <w:r>
        <w:rPr>
          <w:rFonts w:ascii="Shofar" w:hAnsi="Shofar"/>
          <w:rtl/>
        </w:rPr>
        <w:t>קטן (פחות מבן שלש עשרה) מצטרף. יש שני שיעורים:</w:t>
      </w:r>
    </w:p>
    <w:p w:rsidR="00643327" w:rsidRDefault="00B63280" w:rsidP="008A6DF8">
      <w:pPr>
        <w:numPr>
          <w:ilvl w:val="4"/>
          <w:numId w:val="13"/>
        </w:numPr>
        <w:rPr>
          <w:rFonts w:ascii="Shofar" w:hAnsi="Shofar"/>
        </w:rPr>
      </w:pPr>
      <w:r>
        <w:rPr>
          <w:rFonts w:ascii="Shofar" w:hAnsi="Shofar"/>
          <w:rtl/>
        </w:rPr>
        <w:t>שהביא סימנים</w:t>
      </w:r>
      <w:r>
        <w:rPr>
          <w:rStyle w:val="FootnoteReference"/>
          <w:rFonts w:ascii="Shofar" w:hAnsi="Shofar"/>
          <w:rtl/>
        </w:rPr>
        <w:footnoteReference w:id="119"/>
      </w:r>
      <w:r>
        <w:rPr>
          <w:rFonts w:ascii="Shofar" w:hAnsi="Shofar"/>
          <w:rtl/>
        </w:rPr>
        <w:t>.</w:t>
      </w:r>
      <w:r>
        <w:rPr>
          <w:rStyle w:val="FootnoteReference"/>
          <w:rFonts w:ascii="Shofar" w:hAnsi="Shofar"/>
          <w:rtl/>
        </w:rPr>
        <w:footnoteReference w:id="120"/>
      </w:r>
    </w:p>
    <w:p w:rsidR="00643327" w:rsidRDefault="00B63280" w:rsidP="008A6DF8">
      <w:pPr>
        <w:numPr>
          <w:ilvl w:val="4"/>
          <w:numId w:val="13"/>
        </w:numPr>
        <w:rPr>
          <w:rFonts w:ascii="Shofar" w:hAnsi="Shofar"/>
        </w:rPr>
      </w:pPr>
      <w:r>
        <w:rPr>
          <w:rtl/>
        </w:rPr>
        <w:t>שמכיר למי מברכים.</w:t>
      </w:r>
      <w:r>
        <w:rPr>
          <w:rStyle w:val="FootnoteReference"/>
          <w:rtl/>
        </w:rPr>
        <w:footnoteReference w:id="121"/>
      </w:r>
      <w:r>
        <w:rPr>
          <w:rtl/>
        </w:rPr>
        <w:t xml:space="preserve"> כן הלכה.</w:t>
      </w:r>
      <w:r>
        <w:rPr>
          <w:rStyle w:val="FootnoteReference"/>
          <w:rtl/>
        </w:rPr>
        <w:footnoteReference w:id="122"/>
      </w:r>
    </w:p>
    <w:p w:rsidR="00643327" w:rsidRDefault="00B63280" w:rsidP="008A6DF8">
      <w:pPr>
        <w:numPr>
          <w:ilvl w:val="3"/>
          <w:numId w:val="13"/>
        </w:numPr>
        <w:rPr>
          <w:rFonts w:ascii="Shofar" w:hAnsi="Shofar"/>
        </w:rPr>
      </w:pPr>
      <w:r>
        <w:rPr>
          <w:rFonts w:ascii="Shofar" w:hAnsi="Shofar"/>
          <w:rtl/>
        </w:rPr>
        <w:t>ארון מצרף עם תשע</w:t>
      </w:r>
      <w:r>
        <w:rPr>
          <w:rStyle w:val="FootnoteReference"/>
          <w:rFonts w:ascii="Shofar" w:hAnsi="Shofar"/>
          <w:rtl/>
        </w:rPr>
        <w:footnoteReference w:id="123"/>
      </w:r>
      <w:r>
        <w:rPr>
          <w:rFonts w:ascii="Shofar" w:hAnsi="Shofar"/>
          <w:rtl/>
        </w:rPr>
        <w:t>. דוחה גמ’ שאין ארון איש.</w:t>
      </w:r>
      <w:r>
        <w:rPr>
          <w:rStyle w:val="FootnoteReference"/>
          <w:rFonts w:ascii="Shofar" w:hAnsi="Shofar"/>
          <w:rtl/>
        </w:rPr>
        <w:footnoteReference w:id="124"/>
      </w:r>
    </w:p>
    <w:p w:rsidR="00643327" w:rsidRDefault="00B63280" w:rsidP="008A6DF8">
      <w:pPr>
        <w:numPr>
          <w:ilvl w:val="3"/>
          <w:numId w:val="13"/>
        </w:numPr>
        <w:rPr>
          <w:rFonts w:ascii="Shofar" w:hAnsi="Shofar"/>
        </w:rPr>
      </w:pPr>
      <w:r>
        <w:rPr>
          <w:rtl/>
        </w:rPr>
        <w:lastRenderedPageBreak/>
        <w:t>אם אחד כבר רץ לשוק, אם עונה, מצטרף.</w:t>
      </w:r>
      <w:r>
        <w:rPr>
          <w:rStyle w:val="FootnoteReference"/>
          <w:rtl/>
        </w:rPr>
        <w:footnoteReference w:id="125"/>
      </w:r>
      <w:r>
        <w:rPr>
          <w:rtl/>
        </w:rPr>
        <w:t xml:space="preserve"> חול’ בזה</w:t>
      </w:r>
      <w:r>
        <w:rPr>
          <w:rStyle w:val="EndnoteReference"/>
          <w:rtl/>
        </w:rPr>
        <w:endnoteReference w:id="38"/>
      </w:r>
      <w:r>
        <w:rPr>
          <w:rtl/>
        </w:rPr>
        <w:t>, ולהל’ אינו נכון.</w:t>
      </w:r>
    </w:p>
    <w:p w:rsidR="00643327" w:rsidRDefault="00B63280" w:rsidP="008A6DF8">
      <w:pPr>
        <w:numPr>
          <w:ilvl w:val="2"/>
          <w:numId w:val="13"/>
        </w:numPr>
        <w:rPr>
          <w:rFonts w:ascii="Shofar" w:hAnsi="Shofar"/>
        </w:rPr>
      </w:pPr>
      <w:r>
        <w:rPr>
          <w:rFonts w:ascii="Shofar" w:hAnsi="Shofar"/>
          <w:rtl/>
        </w:rPr>
        <w:t>יש עוד היתר:</w:t>
      </w:r>
    </w:p>
    <w:p w:rsidR="00643327" w:rsidRDefault="00B63280" w:rsidP="008A6DF8">
      <w:pPr>
        <w:numPr>
          <w:ilvl w:val="3"/>
          <w:numId w:val="13"/>
        </w:numPr>
        <w:rPr>
          <w:rFonts w:ascii="Shofar" w:hAnsi="Shofar"/>
        </w:rPr>
      </w:pPr>
      <w:r>
        <w:rPr>
          <w:rFonts w:ascii="Shofar" w:hAnsi="Shofar"/>
          <w:rtl/>
        </w:rPr>
        <w:t>תשע שנראים כעשרה (מסופק גמ’ אם זה כשהם מכונסים או מפוזרים) נחשבים כעשר.</w:t>
      </w:r>
      <w:r>
        <w:rPr>
          <w:rStyle w:val="FootnoteReference"/>
          <w:rFonts w:ascii="Shofar" w:hAnsi="Shofar"/>
          <w:rtl/>
        </w:rPr>
        <w:footnoteReference w:id="126"/>
      </w:r>
    </w:p>
    <w:p w:rsidR="00643327" w:rsidRDefault="00B63280" w:rsidP="008A6DF8">
      <w:pPr>
        <w:numPr>
          <w:ilvl w:val="1"/>
          <w:numId w:val="13"/>
        </w:numPr>
        <w:rPr>
          <w:rFonts w:ascii="Shofar" w:hAnsi="Shofar"/>
        </w:rPr>
      </w:pPr>
      <w:r>
        <w:rPr>
          <w:rFonts w:ascii="Shofar" w:hAnsi="Shofar"/>
          <w:rtl/>
        </w:rPr>
        <w:t>יש קולות שנאמרו לשלש</w:t>
      </w:r>
      <w:r>
        <w:rPr>
          <w:rStyle w:val="EndnoteReference"/>
          <w:rFonts w:ascii="Shofar" w:hAnsi="Shofar"/>
          <w:rtl/>
        </w:rPr>
        <w:endnoteReference w:id="39"/>
      </w:r>
      <w:r>
        <w:rPr>
          <w:rFonts w:ascii="Shofar" w:hAnsi="Shofar"/>
          <w:rtl/>
        </w:rPr>
        <w:t>:</w:t>
      </w:r>
    </w:p>
    <w:p w:rsidR="00643327" w:rsidRDefault="00B63280" w:rsidP="008A6DF8">
      <w:pPr>
        <w:numPr>
          <w:ilvl w:val="2"/>
          <w:numId w:val="13"/>
        </w:numPr>
        <w:rPr>
          <w:rFonts w:ascii="Shofar" w:hAnsi="Shofar"/>
        </w:rPr>
      </w:pPr>
      <w:r>
        <w:rPr>
          <w:rFonts w:ascii="Shofar" w:hAnsi="Shofar"/>
          <w:rtl/>
        </w:rPr>
        <w:t>יש שלש צירופים (ואחד נדחה):</w:t>
      </w:r>
    </w:p>
    <w:p w:rsidR="00643327" w:rsidRDefault="00B63280" w:rsidP="008A6DF8">
      <w:pPr>
        <w:numPr>
          <w:ilvl w:val="3"/>
          <w:numId w:val="13"/>
        </w:numPr>
        <w:rPr>
          <w:rFonts w:ascii="Shofar" w:hAnsi="Shofar"/>
        </w:rPr>
      </w:pPr>
      <w:r>
        <w:rPr>
          <w:rFonts w:ascii="Shofar" w:hAnsi="Shofar"/>
          <w:rtl/>
        </w:rPr>
        <w:t>קטן (פחות מבן שלש עשרה) שהביא סימנים מצטרף עם שנים.</w:t>
      </w:r>
      <w:r>
        <w:rPr>
          <w:rStyle w:val="FootnoteReference"/>
          <w:rFonts w:ascii="Shofar" w:hAnsi="Shofar"/>
          <w:rtl/>
        </w:rPr>
        <w:footnoteReference w:id="127"/>
      </w:r>
    </w:p>
    <w:p w:rsidR="00643327" w:rsidRDefault="00B63280" w:rsidP="008A6DF8">
      <w:pPr>
        <w:numPr>
          <w:ilvl w:val="3"/>
          <w:numId w:val="13"/>
        </w:numPr>
        <w:rPr>
          <w:rFonts w:ascii="Shofar" w:hAnsi="Shofar"/>
        </w:rPr>
      </w:pPr>
      <w:r>
        <w:rPr>
          <w:rFonts w:ascii="Shofar" w:hAnsi="Shofar"/>
          <w:rtl/>
        </w:rPr>
        <w:t>שבת מצטרף עם שנים. דוחה גמ’ שאין שבת איש.</w:t>
      </w:r>
      <w:r>
        <w:rPr>
          <w:rStyle w:val="FootnoteReference"/>
          <w:rFonts w:ascii="Shofar" w:hAnsi="Shofar"/>
          <w:rtl/>
        </w:rPr>
        <w:footnoteReference w:id="128"/>
      </w:r>
    </w:p>
    <w:p w:rsidR="00643327" w:rsidRDefault="00B63280" w:rsidP="008A6DF8">
      <w:pPr>
        <w:numPr>
          <w:ilvl w:val="3"/>
          <w:numId w:val="13"/>
        </w:numPr>
        <w:rPr>
          <w:rFonts w:ascii="Shofar" w:hAnsi="Shofar"/>
        </w:rPr>
      </w:pPr>
      <w:r>
        <w:rPr>
          <w:rtl/>
        </w:rPr>
        <w:t>אם אחד כבר רץ לשוק, אם עונה, מצטרף.</w:t>
      </w:r>
      <w:r>
        <w:rPr>
          <w:rStyle w:val="FootnoteReference"/>
          <w:rtl/>
        </w:rPr>
        <w:footnoteReference w:id="129"/>
      </w:r>
      <w:r>
        <w:rPr>
          <w:rtl/>
        </w:rPr>
        <w:t xml:space="preserve"> חול’ בזה, ולהל’ נכון.</w:t>
      </w:r>
    </w:p>
    <w:p w:rsidR="00643327" w:rsidRDefault="00B63280" w:rsidP="008A6DF8">
      <w:pPr>
        <w:numPr>
          <w:ilvl w:val="2"/>
          <w:numId w:val="13"/>
        </w:numPr>
        <w:rPr>
          <w:rFonts w:ascii="Shofar" w:hAnsi="Shofar"/>
        </w:rPr>
      </w:pPr>
      <w:r>
        <w:rPr>
          <w:rFonts w:ascii="Shofar" w:hAnsi="Shofar"/>
          <w:rtl/>
        </w:rPr>
        <w:t>יש עוד היתר:</w:t>
      </w:r>
    </w:p>
    <w:p w:rsidR="00643327" w:rsidRDefault="00B63280" w:rsidP="008A6DF8">
      <w:pPr>
        <w:numPr>
          <w:ilvl w:val="3"/>
          <w:numId w:val="13"/>
        </w:numPr>
        <w:rPr>
          <w:rFonts w:ascii="Shofar" w:hAnsi="Shofar"/>
        </w:rPr>
      </w:pPr>
      <w:r>
        <w:rPr>
          <w:rFonts w:ascii="Shofar" w:hAnsi="Shofar"/>
          <w:rtl/>
        </w:rPr>
        <w:t>שני ת"ח שמחדדים זא"ז</w:t>
      </w:r>
      <w:r>
        <w:rPr>
          <w:rStyle w:val="EndnoteReference"/>
          <w:rFonts w:ascii="Shofar" w:hAnsi="Shofar"/>
          <w:rtl/>
        </w:rPr>
        <w:endnoteReference w:id="40"/>
      </w:r>
      <w:r>
        <w:rPr>
          <w:rFonts w:ascii="Shofar" w:hAnsi="Shofar"/>
          <w:rtl/>
        </w:rPr>
        <w:t xml:space="preserve"> נחשבים שלש</w:t>
      </w:r>
      <w:r>
        <w:rPr>
          <w:rStyle w:val="FootnoteReference"/>
          <w:rFonts w:ascii="Shofar" w:hAnsi="Shofar"/>
          <w:rtl/>
        </w:rPr>
        <w:footnoteReference w:id="130"/>
      </w:r>
      <w:r>
        <w:rPr>
          <w:rFonts w:ascii="Shofar" w:hAnsi="Shofar"/>
          <w:rtl/>
        </w:rPr>
        <w:t>.</w:t>
      </w:r>
      <w:r>
        <w:rPr>
          <w:rStyle w:val="FootnoteReference"/>
          <w:rFonts w:ascii="Shofar" w:hAnsi="Shofar"/>
          <w:rtl/>
        </w:rPr>
        <w:footnoteReference w:id="131"/>
      </w:r>
    </w:p>
    <w:p w:rsidR="00643327" w:rsidRDefault="00B63280">
      <w:pPr>
        <w:ind w:left="720"/>
        <w:rPr>
          <w:rFonts w:ascii="Shofar" w:hAnsi="Shofar"/>
        </w:rPr>
      </w:pPr>
      <w:r>
        <w:rPr>
          <w:rFonts w:ascii="Shofar" w:hAnsi="Shofar"/>
          <w:rtl/>
        </w:rPr>
        <w:t xml:space="preserve"> חול’ מה בכלל ברכת הזימון:</w:t>
      </w:r>
    </w:p>
    <w:p w:rsidR="00643327" w:rsidRDefault="00B63280" w:rsidP="008A6DF8">
      <w:pPr>
        <w:numPr>
          <w:ilvl w:val="1"/>
          <w:numId w:val="48"/>
        </w:numPr>
        <w:rPr>
          <w:rFonts w:ascii="Shofar" w:hAnsi="Shofar"/>
        </w:rPr>
      </w:pPr>
      <w:r>
        <w:rPr>
          <w:rFonts w:ascii="Shofar" w:hAnsi="Shofar"/>
          <w:rtl/>
        </w:rPr>
        <w:t>מ”נברך" עד תחילת ברכת הזן. כ"א ר"נ.</w:t>
      </w:r>
      <w:r>
        <w:rPr>
          <w:rStyle w:val="FootnoteReference"/>
          <w:rFonts w:ascii="Shofar" w:hAnsi="Shofar"/>
          <w:rtl/>
        </w:rPr>
        <w:footnoteReference w:id="132"/>
      </w:r>
    </w:p>
    <w:p w:rsidR="00643327" w:rsidRDefault="00B63280" w:rsidP="008A6DF8">
      <w:pPr>
        <w:numPr>
          <w:ilvl w:val="1"/>
          <w:numId w:val="13"/>
        </w:numPr>
        <w:rPr>
          <w:rFonts w:ascii="Shofar" w:hAnsi="Shofar"/>
        </w:rPr>
      </w:pPr>
      <w:r>
        <w:rPr>
          <w:rFonts w:ascii="Shofar" w:hAnsi="Shofar"/>
          <w:rtl/>
        </w:rPr>
        <w:t>מ"נברך" עד סוף ברכת הזן. כ"א ר"ש.</w:t>
      </w:r>
      <w:r>
        <w:rPr>
          <w:rStyle w:val="FootnoteReference"/>
          <w:rFonts w:ascii="Shofar" w:hAnsi="Shofar"/>
          <w:rtl/>
        </w:rPr>
        <w:footnoteReference w:id="133"/>
      </w:r>
    </w:p>
    <w:p w:rsidR="00643327" w:rsidRDefault="00B63280">
      <w:pPr>
        <w:ind w:left="720"/>
        <w:rPr>
          <w:rFonts w:ascii="Shofar" w:hAnsi="Shofar"/>
        </w:rPr>
      </w:pPr>
      <w:r>
        <w:rPr>
          <w:rFonts w:ascii="Shofar" w:hAnsi="Shofar"/>
          <w:rtl/>
        </w:rPr>
        <w:t>חייב מדאו'. יש שני מקורות:</w:t>
      </w:r>
    </w:p>
    <w:p w:rsidR="00643327" w:rsidRDefault="00B63280" w:rsidP="008A6DF8">
      <w:pPr>
        <w:pStyle w:val="ListParagraph"/>
        <w:numPr>
          <w:ilvl w:val="1"/>
          <w:numId w:val="38"/>
        </w:numPr>
        <w:rPr>
          <w:rFonts w:ascii="Shofar" w:hAnsi="Shofar"/>
        </w:rPr>
      </w:pPr>
      <w:r>
        <w:rPr>
          <w:rFonts w:ascii="Shofar" w:hAnsi="Shofar"/>
          <w:rtl/>
        </w:rPr>
        <w:t>"ואכלת</w:t>
      </w:r>
      <w:r>
        <w:rPr>
          <w:rFonts w:ascii="Times New Roman" w:hAnsi="Times New Roman" w:cs="Times New Roman"/>
          <w:rtl/>
        </w:rPr>
        <w:t>…</w:t>
      </w:r>
      <w:r>
        <w:rPr>
          <w:rFonts w:ascii="Shofar" w:hAnsi="Shofar"/>
          <w:rtl/>
        </w:rPr>
        <w:t xml:space="preserve"> את ה' אלקיך."</w:t>
      </w:r>
      <w:r>
        <w:rPr>
          <w:rStyle w:val="FootnoteReference"/>
          <w:rFonts w:ascii="Shofar" w:hAnsi="Shofar"/>
          <w:rtl/>
        </w:rPr>
        <w:footnoteReference w:id="134"/>
      </w:r>
    </w:p>
    <w:p w:rsidR="00643327" w:rsidRDefault="00B63280" w:rsidP="008A6DF8">
      <w:pPr>
        <w:pStyle w:val="ListParagraph"/>
        <w:numPr>
          <w:ilvl w:val="1"/>
          <w:numId w:val="38"/>
        </w:numPr>
        <w:rPr>
          <w:rFonts w:ascii="Shofar" w:hAnsi="Shofar"/>
        </w:rPr>
      </w:pPr>
      <w:r>
        <w:rPr>
          <w:rFonts w:ascii="Shofar" w:hAnsi="Shofar"/>
          <w:rtl/>
        </w:rPr>
        <w:t>"גדלו לה' אתי."</w:t>
      </w:r>
      <w:r>
        <w:rPr>
          <w:rStyle w:val="FootnoteReference"/>
          <w:rFonts w:ascii="Shofar" w:hAnsi="Shofar"/>
          <w:rtl/>
        </w:rPr>
        <w:footnoteReference w:id="135"/>
      </w:r>
      <w:r>
        <w:rPr>
          <w:rStyle w:val="FootnoteReference"/>
          <w:rFonts w:ascii="Shofar" w:hAnsi="Shofar"/>
          <w:rtl/>
        </w:rPr>
        <w:footnoteReference w:id="136"/>
      </w:r>
    </w:p>
    <w:p w:rsidR="00643327" w:rsidRDefault="00B63280" w:rsidP="008A6DF8">
      <w:pPr>
        <w:numPr>
          <w:ilvl w:val="0"/>
          <w:numId w:val="38"/>
        </w:numPr>
        <w:rPr>
          <w:rFonts w:ascii="Shofar" w:hAnsi="Shofar"/>
        </w:rPr>
      </w:pPr>
      <w:r>
        <w:rPr>
          <w:rFonts w:ascii="Shofar" w:hAnsi="Shofar"/>
          <w:rtl/>
        </w:rPr>
        <w:t>ברכות אמצעיות. זהו הברכות מסוף ברכת הזימון לברכת הטוב והמיטב. נאכלים בכל ברכת המזון, והם מדאו’.</w:t>
      </w:r>
    </w:p>
    <w:p w:rsidR="00643327" w:rsidRDefault="00B63280">
      <w:pPr>
        <w:ind w:left="720"/>
        <w:rPr>
          <w:rFonts w:ascii="Shofar" w:hAnsi="Shofar"/>
        </w:rPr>
      </w:pPr>
      <w:r>
        <w:rPr>
          <w:rFonts w:ascii="Shofar" w:hAnsi="Shofar"/>
          <w:rtl/>
        </w:rPr>
        <w:t>יש בכלל זה שלש ברכות</w:t>
      </w:r>
      <w:r>
        <w:rPr>
          <w:rStyle w:val="FootnoteReference"/>
          <w:rFonts w:ascii="Shofar" w:hAnsi="Shofar"/>
          <w:rtl/>
        </w:rPr>
        <w:footnoteReference w:id="137"/>
      </w:r>
      <w:r>
        <w:rPr>
          <w:rFonts w:ascii="Shofar" w:hAnsi="Shofar"/>
          <w:rtl/>
        </w:rPr>
        <w:t>:</w:t>
      </w:r>
    </w:p>
    <w:p w:rsidR="00643327" w:rsidRDefault="00B63280" w:rsidP="008A6DF8">
      <w:pPr>
        <w:pStyle w:val="ListParagraph"/>
        <w:numPr>
          <w:ilvl w:val="1"/>
          <w:numId w:val="38"/>
        </w:numPr>
        <w:rPr>
          <w:rFonts w:ascii="Shofar" w:hAnsi="Shofar"/>
        </w:rPr>
      </w:pPr>
      <w:r>
        <w:rPr>
          <w:rFonts w:ascii="Shofar" w:hAnsi="Shofar"/>
          <w:rtl/>
        </w:rPr>
        <w:t>ברכת הזן. ברכה זה נלמד ממש"כ, "ואכלת ושבעת וברכת."</w:t>
      </w:r>
      <w:r>
        <w:rPr>
          <w:rStyle w:val="EndnoteReference"/>
          <w:rFonts w:ascii="Shofar" w:hAnsi="Shofar"/>
          <w:rtl/>
        </w:rPr>
        <w:endnoteReference w:id="41"/>
      </w:r>
      <w:r>
        <w:rPr>
          <w:rFonts w:ascii="Shofar" w:hAnsi="Shofar"/>
          <w:rtl/>
        </w:rPr>
        <w:t xml:space="preserve"> משה תקן ברכה זה</w:t>
      </w:r>
      <w:r>
        <w:rPr>
          <w:rStyle w:val="EndnoteReference"/>
          <w:rFonts w:ascii="Shofar" w:hAnsi="Shofar"/>
          <w:rtl/>
        </w:rPr>
        <w:endnoteReference w:id="42"/>
      </w:r>
      <w:r>
        <w:rPr>
          <w:rFonts w:ascii="Shofar" w:hAnsi="Shofar"/>
          <w:rtl/>
        </w:rPr>
        <w:t xml:space="preserve"> בשעה שירד להם מן.</w:t>
      </w:r>
      <w:r>
        <w:rPr>
          <w:rStyle w:val="FootnoteReference"/>
          <w:rFonts w:ascii="Shofar" w:hAnsi="Shofar"/>
          <w:rtl/>
        </w:rPr>
        <w:footnoteReference w:id="138"/>
      </w:r>
    </w:p>
    <w:p w:rsidR="00643327" w:rsidRDefault="00B63280" w:rsidP="008A6DF8">
      <w:pPr>
        <w:pStyle w:val="ListParagraph"/>
        <w:numPr>
          <w:ilvl w:val="1"/>
          <w:numId w:val="38"/>
        </w:numPr>
        <w:rPr>
          <w:rFonts w:ascii="Shofar" w:hAnsi="Shofar"/>
        </w:rPr>
      </w:pPr>
      <w:r>
        <w:rPr>
          <w:rFonts w:ascii="Shofar" w:hAnsi="Shofar"/>
          <w:rtl/>
        </w:rPr>
        <w:t>ברכת הארץ. ברכה זה נלמד ממש"כ, "על הארץ." יהושע תקן ברכה זה כשבאו לא"י.</w:t>
      </w:r>
    </w:p>
    <w:p w:rsidR="00643327" w:rsidRDefault="00B63280" w:rsidP="008A6DF8">
      <w:pPr>
        <w:pStyle w:val="ListParagraph"/>
        <w:numPr>
          <w:ilvl w:val="1"/>
          <w:numId w:val="38"/>
        </w:numPr>
        <w:rPr>
          <w:rFonts w:ascii="Shofar" w:hAnsi="Shofar"/>
        </w:rPr>
      </w:pPr>
      <w:r>
        <w:rPr>
          <w:rFonts w:ascii="Shofar" w:hAnsi="Shofar"/>
          <w:rtl/>
        </w:rPr>
        <w:t>ברכת בונה ירושלים. זה נלמד ממש"כ, "הטובה" (שכ', "ההר הטוב הזה והלבנון" בירושלים ובית המקדש). דוד תקן החלק שמזכיר ירושלים, ושלמה תקן החלק שמזכיר בית המקדש.</w:t>
      </w:r>
      <w:r>
        <w:rPr>
          <w:rStyle w:val="FootnoteReference"/>
          <w:rFonts w:ascii="Shofar" w:hAnsi="Shofar"/>
          <w:rtl/>
        </w:rPr>
        <w:footnoteReference w:id="139"/>
      </w:r>
    </w:p>
    <w:p w:rsidR="00643327" w:rsidRDefault="00B63280" w:rsidP="008A6DF8">
      <w:pPr>
        <w:numPr>
          <w:ilvl w:val="0"/>
          <w:numId w:val="38"/>
        </w:numPr>
        <w:rPr>
          <w:rFonts w:ascii="Shofar" w:hAnsi="Shofar"/>
        </w:rPr>
      </w:pPr>
      <w:r>
        <w:rPr>
          <w:rFonts w:ascii="Shofar" w:hAnsi="Shofar"/>
          <w:rtl/>
        </w:rPr>
        <w:t>ברכת הטוב והמיטב. חול’ אם הוא מדאו’ או מדרבנן.</w:t>
      </w:r>
      <w:r>
        <w:rPr>
          <w:rStyle w:val="FootnoteReference"/>
          <w:rFonts w:ascii="Shofar" w:hAnsi="Shofar"/>
          <w:rtl/>
        </w:rPr>
        <w:footnoteReference w:id="140"/>
      </w:r>
      <w:r>
        <w:rPr>
          <w:rFonts w:ascii="Shofar" w:hAnsi="Shofar"/>
          <w:rtl/>
        </w:rPr>
        <w:t xml:space="preserve"> אם הוא מדאו', נל' ממש"כ, "אשר נתן לך." (אם הוא מדרבנן, אולי דורשים מזה ברכה ראשונה.) חכמים תקנו אותו אחר שנתנו הרוגי ביתר לקבורה, ונמצא שלא הסריחו. על שני טובות אלו כפלו לשון טובה.</w:t>
      </w:r>
      <w:r>
        <w:rPr>
          <w:rStyle w:val="FootnoteReference"/>
          <w:rFonts w:ascii="Shofar" w:hAnsi="Shofar"/>
          <w:rtl/>
        </w:rPr>
        <w:footnoteReference w:id="141"/>
      </w:r>
      <w:r>
        <w:rPr>
          <w:rFonts w:ascii="Shofar" w:hAnsi="Shofar"/>
          <w:rtl/>
        </w:rPr>
        <w:t xml:space="preserve"> אין פועל חייב לומר אותם.</w:t>
      </w:r>
      <w:r>
        <w:rPr>
          <w:rStyle w:val="FootnoteReference"/>
          <w:rFonts w:ascii="Shofar" w:hAnsi="Shofar"/>
          <w:rtl/>
        </w:rPr>
        <w:footnoteReference w:id="142"/>
      </w:r>
      <w:r>
        <w:rPr>
          <w:rFonts w:ascii="Shofar" w:hAnsi="Shofar"/>
          <w:rtl/>
        </w:rPr>
        <w:t xml:space="preserve"> אין אומרים אותו בבית אבל.</w:t>
      </w:r>
      <w:r>
        <w:rPr>
          <w:rStyle w:val="FootnoteReference"/>
          <w:rFonts w:ascii="Shofar" w:hAnsi="Shofar"/>
          <w:rtl/>
        </w:rPr>
        <w:footnoteReference w:id="143"/>
      </w:r>
    </w:p>
    <w:p w:rsidR="00643327" w:rsidRDefault="00B63280">
      <w:pPr>
        <w:pStyle w:val="Heading2"/>
        <w:rPr>
          <w:rFonts w:ascii="Shofar" w:hAnsi="Shofar" w:cs="Shofar"/>
        </w:rPr>
      </w:pPr>
      <w:bookmarkStart w:id="12" w:name="__RefHeading___Toc90824_2054497345"/>
      <w:bookmarkEnd w:id="12"/>
      <w:r>
        <w:rPr>
          <w:rFonts w:ascii="Shofar" w:hAnsi="Shofar" w:cs="Shofar"/>
          <w:rtl/>
        </w:rPr>
        <w:lastRenderedPageBreak/>
        <w:t>מעין שלש:</w:t>
      </w:r>
    </w:p>
    <w:p w:rsidR="00643327" w:rsidRDefault="00B63280">
      <w:pPr>
        <w:rPr>
          <w:rFonts w:ascii="Shofar" w:hAnsi="Shofar"/>
        </w:rPr>
      </w:pPr>
      <w:r>
        <w:rPr>
          <w:rFonts w:ascii="Shofar" w:hAnsi="Shofar"/>
          <w:rtl/>
        </w:rPr>
        <w:t>יש שלש מיני ברכת מעין שלש:</w:t>
      </w:r>
    </w:p>
    <w:p w:rsidR="00643327" w:rsidRDefault="00B63280">
      <w:pPr>
        <w:pStyle w:val="Heading3"/>
        <w:ind w:left="0"/>
        <w:rPr>
          <w:rFonts w:ascii="Shofar" w:hAnsi="Shofar"/>
        </w:rPr>
      </w:pPr>
      <w:bookmarkStart w:id="13" w:name="__RefHeading___Toc90826_2054497345"/>
      <w:bookmarkEnd w:id="13"/>
      <w:r>
        <w:rPr>
          <w:rFonts w:ascii="Shofar" w:hAnsi="Shofar"/>
          <w:rtl/>
        </w:rPr>
        <w:t>על הפירות:</w:t>
      </w:r>
    </w:p>
    <w:p w:rsidR="00643327" w:rsidRDefault="00B63280">
      <w:pPr>
        <w:rPr>
          <w:rFonts w:ascii="Shofar" w:hAnsi="Shofar"/>
        </w:rPr>
      </w:pPr>
      <w:r>
        <w:rPr>
          <w:rFonts w:ascii="Shofar" w:hAnsi="Shofar"/>
          <w:rtl/>
        </w:rPr>
        <w:t>מברכים זה אחר שאוכל כזית פירות של שבעת המינים.</w:t>
      </w:r>
      <w:r>
        <w:rPr>
          <w:rStyle w:val="EndnoteReference"/>
          <w:rFonts w:ascii="Shofar" w:hAnsi="Shofar"/>
          <w:rtl/>
        </w:rPr>
        <w:endnoteReference w:id="43"/>
      </w:r>
    </w:p>
    <w:p w:rsidR="00643327" w:rsidRDefault="00B63280">
      <w:pPr>
        <w:rPr>
          <w:rFonts w:ascii="Shofar" w:hAnsi="Shofar"/>
        </w:rPr>
      </w:pPr>
      <w:r>
        <w:rPr>
          <w:rFonts w:ascii="Shofar" w:hAnsi="Shofar"/>
          <w:rtl/>
        </w:rPr>
        <w:t>עליהם, מזכירים בתוך הברכה פירות.</w:t>
      </w:r>
      <w:r>
        <w:rPr>
          <w:rStyle w:val="FootnoteReference"/>
          <w:rFonts w:ascii="Shofar" w:hAnsi="Shofar"/>
          <w:rtl/>
        </w:rPr>
        <w:footnoteReference w:id="144"/>
      </w:r>
    </w:p>
    <w:p w:rsidR="00643327" w:rsidRDefault="00B63280">
      <w:pPr>
        <w:pStyle w:val="Heading3"/>
        <w:ind w:left="0"/>
        <w:rPr>
          <w:rFonts w:ascii="Shofar" w:hAnsi="Shofar"/>
        </w:rPr>
      </w:pPr>
      <w:bookmarkStart w:id="14" w:name="__RefHeading___Toc90828_2054497345"/>
      <w:bookmarkEnd w:id="14"/>
      <w:r>
        <w:rPr>
          <w:rFonts w:ascii="Shofar" w:hAnsi="Shofar"/>
          <w:rtl/>
        </w:rPr>
        <w:t xml:space="preserve">על </w:t>
      </w:r>
      <w:r>
        <w:rPr>
          <w:rFonts w:ascii="Shofar" w:hAnsi="Shofar"/>
          <w:sz w:val="24"/>
          <w:rtl/>
        </w:rPr>
        <w:t>המחיה</w:t>
      </w:r>
      <w:r>
        <w:rPr>
          <w:rFonts w:ascii="Shofar" w:hAnsi="Shofar"/>
          <w:rtl/>
        </w:rPr>
        <w:t>:</w:t>
      </w:r>
    </w:p>
    <w:p w:rsidR="00643327" w:rsidRDefault="00B63280">
      <w:pPr>
        <w:rPr>
          <w:rFonts w:ascii="Shofar" w:hAnsi="Shofar"/>
        </w:rPr>
      </w:pPr>
      <w:r>
        <w:rPr>
          <w:rFonts w:ascii="Shofar" w:hAnsi="Shofar"/>
          <w:rtl/>
        </w:rPr>
        <w:t>מברכים זה אחר אכילת כזית</w:t>
      </w:r>
      <w:r>
        <w:rPr>
          <w:rStyle w:val="EndnoteReference"/>
          <w:rFonts w:ascii="Shofar" w:hAnsi="Shofar"/>
          <w:rtl/>
        </w:rPr>
        <w:endnoteReference w:id="44"/>
      </w:r>
      <w:r>
        <w:rPr>
          <w:rFonts w:ascii="Shofar" w:hAnsi="Shofar"/>
          <w:rtl/>
        </w:rPr>
        <w:t xml:space="preserve"> מכל דבר אפוי ומבושל מחמש המינים</w:t>
      </w:r>
      <w:r>
        <w:rPr>
          <w:rStyle w:val="EndnoteReference"/>
          <w:rFonts w:ascii="Shofar" w:hAnsi="Shofar"/>
          <w:rtl/>
        </w:rPr>
        <w:endnoteReference w:id="45"/>
      </w:r>
      <w:r>
        <w:rPr>
          <w:rFonts w:ascii="Shofar" w:hAnsi="Shofar"/>
          <w:rtl/>
        </w:rPr>
        <w:t>, חוץ מפת.</w:t>
      </w:r>
    </w:p>
    <w:p w:rsidR="00643327" w:rsidRDefault="00B63280">
      <w:pPr>
        <w:rPr>
          <w:rFonts w:ascii="Shofar" w:hAnsi="Shofar"/>
        </w:rPr>
      </w:pPr>
      <w:r>
        <w:rPr>
          <w:rFonts w:ascii="Shofar" w:hAnsi="Shofar"/>
          <w:rtl/>
        </w:rPr>
        <w:t>עליהם, מזכירים בתוך ברכה מחיה.</w:t>
      </w:r>
      <w:r>
        <w:rPr>
          <w:rStyle w:val="FootnoteReference"/>
          <w:rFonts w:ascii="Shofar" w:hAnsi="Shofar"/>
          <w:rtl/>
        </w:rPr>
        <w:footnoteReference w:id="145"/>
      </w:r>
    </w:p>
    <w:p w:rsidR="00643327" w:rsidRDefault="00B63280">
      <w:pPr>
        <w:pStyle w:val="Heading3"/>
        <w:ind w:left="0"/>
        <w:rPr>
          <w:rFonts w:ascii="Shofar" w:hAnsi="Shofar"/>
        </w:rPr>
      </w:pPr>
      <w:bookmarkStart w:id="15" w:name="__RefHeading___Toc90830_2054497345"/>
      <w:bookmarkEnd w:id="15"/>
      <w:r>
        <w:rPr>
          <w:rFonts w:ascii="Shofar" w:hAnsi="Shofar"/>
          <w:rtl/>
        </w:rPr>
        <w:t>על הגפן:</w:t>
      </w:r>
    </w:p>
    <w:p w:rsidR="00643327" w:rsidRDefault="00B63280">
      <w:pPr>
        <w:rPr>
          <w:rFonts w:ascii="Shofar" w:hAnsi="Shofar"/>
        </w:rPr>
      </w:pPr>
      <w:r>
        <w:rPr>
          <w:rFonts w:ascii="Shofar" w:hAnsi="Shofar"/>
          <w:rtl/>
        </w:rPr>
        <w:t>מברכים זה אחר רביעית יין מענבים.</w:t>
      </w:r>
    </w:p>
    <w:p w:rsidR="00643327" w:rsidRDefault="00B63280">
      <w:pPr>
        <w:rPr>
          <w:rFonts w:ascii="Shofar" w:hAnsi="Shofar"/>
        </w:rPr>
      </w:pPr>
      <w:r>
        <w:rPr>
          <w:rFonts w:ascii="Shofar" w:hAnsi="Shofar"/>
          <w:rtl/>
        </w:rPr>
        <w:t>עליו, מזכירים בתוך הברכה יין.</w:t>
      </w:r>
    </w:p>
    <w:p w:rsidR="00643327" w:rsidRDefault="00B63280">
      <w:pPr>
        <w:pStyle w:val="Heading2"/>
        <w:rPr>
          <w:rFonts w:ascii="Shofar" w:hAnsi="Shofar" w:cs="Shofar"/>
        </w:rPr>
      </w:pPr>
      <w:bookmarkStart w:id="16" w:name="__RefHeading___Toc90832_2054497345"/>
      <w:bookmarkEnd w:id="16"/>
      <w:r>
        <w:rPr>
          <w:rFonts w:ascii="Shofar" w:hAnsi="Shofar" w:cs="Shofar"/>
          <w:rtl/>
        </w:rPr>
        <w:t>בורא נפשות:</w:t>
      </w:r>
    </w:p>
    <w:p w:rsidR="00643327" w:rsidRDefault="00B63280">
      <w:pPr>
        <w:rPr>
          <w:rFonts w:ascii="Shofar" w:hAnsi="Shofar"/>
        </w:rPr>
      </w:pPr>
      <w:r>
        <w:rPr>
          <w:rFonts w:ascii="Shofar" w:hAnsi="Shofar"/>
          <w:rtl/>
        </w:rPr>
        <w:t>אחר שאר דברים, מברכים בורא נפשות. יש, אולי, יוצאים מן הכלל:</w:t>
      </w:r>
    </w:p>
    <w:p w:rsidR="00643327" w:rsidRDefault="00B63280" w:rsidP="008A6DF8">
      <w:pPr>
        <w:numPr>
          <w:ilvl w:val="0"/>
          <w:numId w:val="26"/>
        </w:numPr>
        <w:rPr>
          <w:rFonts w:ascii="Shofar" w:hAnsi="Shofar"/>
        </w:rPr>
      </w:pPr>
      <w:r>
        <w:rPr>
          <w:rFonts w:ascii="Shofar" w:hAnsi="Shofar"/>
          <w:rtl/>
        </w:rPr>
        <w:t>מה שלא מברך עליו ברכה ראשונה.</w:t>
      </w:r>
      <w:r>
        <w:rPr>
          <w:rStyle w:val="EndnoteReference"/>
          <w:rFonts w:ascii="Shofar" w:hAnsi="Shofar"/>
          <w:rtl/>
        </w:rPr>
        <w:endnoteReference w:id="46"/>
      </w:r>
    </w:p>
    <w:p w:rsidR="00643327" w:rsidRDefault="00B63280" w:rsidP="008A6DF8">
      <w:pPr>
        <w:numPr>
          <w:ilvl w:val="0"/>
          <w:numId w:val="26"/>
        </w:numPr>
        <w:rPr>
          <w:rFonts w:ascii="Shofar" w:hAnsi="Shofar"/>
        </w:rPr>
      </w:pPr>
      <w:r>
        <w:rPr>
          <w:rFonts w:ascii="Shofar" w:hAnsi="Shofar"/>
          <w:rtl/>
        </w:rPr>
        <w:t>ירקות. כן אומר ר"י בר אבדימי, אבל רב יצחק ורב פפא חול’.</w:t>
      </w:r>
      <w:r>
        <w:rPr>
          <w:rStyle w:val="FootnoteReference"/>
          <w:rFonts w:ascii="Shofar" w:hAnsi="Shofar"/>
          <w:rtl/>
        </w:rPr>
        <w:footnoteReference w:id="146"/>
      </w:r>
    </w:p>
    <w:p w:rsidR="00643327" w:rsidRDefault="00B63280" w:rsidP="008A6DF8">
      <w:pPr>
        <w:numPr>
          <w:ilvl w:val="0"/>
          <w:numId w:val="26"/>
        </w:numPr>
        <w:rPr>
          <w:rFonts w:ascii="Shofar" w:hAnsi="Shofar"/>
        </w:rPr>
      </w:pPr>
      <w:r>
        <w:rPr>
          <w:rFonts w:ascii="Shofar" w:hAnsi="Shofar"/>
          <w:rtl/>
        </w:rPr>
        <w:t>מים. כן אומר רב יצחק, אבל ר"פ חולק.</w:t>
      </w:r>
      <w:r>
        <w:rPr>
          <w:rStyle w:val="FootnoteReference"/>
          <w:rFonts w:ascii="Shofar" w:hAnsi="Shofar"/>
          <w:rtl/>
        </w:rPr>
        <w:footnoteReference w:id="147"/>
      </w:r>
    </w:p>
    <w:p w:rsidR="00643327" w:rsidRDefault="00B63280">
      <w:pPr>
        <w:rPr>
          <w:rFonts w:ascii="Shofar" w:hAnsi="Shofar"/>
        </w:rPr>
      </w:pPr>
      <w:r>
        <w:rPr>
          <w:rFonts w:ascii="Shofar" w:hAnsi="Shofar"/>
          <w:rtl/>
        </w:rPr>
        <w:t>רבי טרפון אומר שמברכים אותו קודם שתיית מים. רבנן חול’, ואומרים שמברכים שהכל.</w:t>
      </w:r>
      <w:r>
        <w:rPr>
          <w:rStyle w:val="FootnoteReference"/>
          <w:rFonts w:ascii="Shofar" w:hAnsi="Shofar"/>
          <w:rtl/>
        </w:rPr>
        <w:footnoteReference w:id="148"/>
      </w:r>
    </w:p>
    <w:p w:rsidR="00643327" w:rsidRDefault="00B63280">
      <w:pPr>
        <w:pStyle w:val="Heading2"/>
      </w:pPr>
      <w:bookmarkStart w:id="17" w:name="__RefHeading___Toc90834_2054497345"/>
      <w:bookmarkEnd w:id="17"/>
      <w:r>
        <w:rPr>
          <w:rFonts w:ascii="Shofar" w:hAnsi="Shofar" w:cs="Shofar"/>
          <w:color w:val="auto"/>
          <w:rtl/>
        </w:rPr>
        <w:t xml:space="preserve">עוד </w:t>
      </w:r>
      <w:r>
        <w:rPr>
          <w:rStyle w:val="Heading2Char"/>
          <w:rFonts w:ascii="Shofar" w:hAnsi="Shofar" w:cs="Shofar"/>
          <w:color w:val="auto"/>
          <w:rtl/>
        </w:rPr>
        <w:t>ענינים</w:t>
      </w:r>
      <w:r>
        <w:rPr>
          <w:rFonts w:ascii="Shofar" w:hAnsi="Shofar" w:cs="Shofar"/>
          <w:color w:val="auto"/>
          <w:rtl/>
        </w:rPr>
        <w:t>:</w:t>
      </w:r>
    </w:p>
    <w:p w:rsidR="00643327" w:rsidRDefault="00B63280">
      <w:pPr>
        <w:rPr>
          <w:rFonts w:ascii="Shofar" w:hAnsi="Shofar"/>
        </w:rPr>
      </w:pPr>
      <w:r>
        <w:rPr>
          <w:rFonts w:ascii="Shofar" w:hAnsi="Shofar"/>
          <w:rtl/>
        </w:rPr>
        <w:t>חולקים רבנן ורבי יהודה כמה פרטי צ"ל הברכות. רבנן סוברים שלא צ"ל כל כך פרטיים. לכן, על כל פירות הארץ מברכים, "בורא פרי האדמה." רבי יהודה סבר שצריך להיות פרטיים. לומד כן ממה שכ"ע דורשים מ"ברוך ה' יום יום" שצ' להז' מעין כל יום מיוחד.</w:t>
      </w:r>
      <w:r>
        <w:rPr>
          <w:rStyle w:val="FootnoteReference"/>
          <w:rFonts w:ascii="Shofar" w:hAnsi="Shofar"/>
          <w:rtl/>
        </w:rPr>
        <w:footnoteReference w:id="149"/>
      </w:r>
      <w:r>
        <w:rPr>
          <w:rFonts w:ascii="Shofar" w:hAnsi="Shofar"/>
          <w:rtl/>
        </w:rPr>
        <w:t xml:space="preserve"> לכן, על כל מין מברכים ברכה אחרת; על דשאים מברכים, "בורא מיני דשאים,"</w:t>
      </w:r>
      <w:r>
        <w:rPr>
          <w:rStyle w:val="FootnoteReference"/>
          <w:rFonts w:ascii="Shofar" w:hAnsi="Shofar"/>
          <w:rtl/>
        </w:rPr>
        <w:footnoteReference w:id="150"/>
      </w:r>
      <w:r>
        <w:rPr>
          <w:rFonts w:ascii="Shofar" w:hAnsi="Shofar"/>
          <w:rtl/>
        </w:rPr>
        <w:t xml:space="preserve"> ועל זרעים מברכים, "ב"מ זרעים."</w:t>
      </w:r>
      <w:r>
        <w:rPr>
          <w:rStyle w:val="FootnoteReference"/>
          <w:rFonts w:ascii="Shofar" w:hAnsi="Shofar"/>
          <w:rtl/>
        </w:rPr>
        <w:footnoteReference w:id="151"/>
      </w:r>
    </w:p>
    <w:p w:rsidR="00643327" w:rsidRDefault="00B63280">
      <w:pPr>
        <w:rPr>
          <w:rFonts w:ascii="Shofar" w:hAnsi="Shofar"/>
        </w:rPr>
      </w:pPr>
      <w:r>
        <w:rPr>
          <w:rFonts w:ascii="Shofar" w:hAnsi="Shofar"/>
          <w:rtl/>
        </w:rPr>
        <w:t>חולקים רבי מאיר ורבי יוסי בלשון הברכה. רבי מאיר סובר שיכול</w:t>
      </w:r>
      <w:r>
        <w:rPr>
          <w:rStyle w:val="EndnoteReference"/>
          <w:rFonts w:ascii="Shofar" w:hAnsi="Shofar"/>
          <w:rtl/>
        </w:rPr>
        <w:endnoteReference w:id="47"/>
      </w:r>
      <w:r>
        <w:rPr>
          <w:rFonts w:ascii="Shofar" w:hAnsi="Shofar"/>
          <w:rtl/>
        </w:rPr>
        <w:t xml:space="preserve"> לברך בכל אופן שרוצה </w:t>
      </w:r>
      <w:r>
        <w:rPr>
          <w:rStyle w:val="FootnoteReference"/>
          <w:rFonts w:ascii="Shofar" w:hAnsi="Shofar"/>
          <w:rtl/>
        </w:rPr>
        <w:footnoteReference w:id="152"/>
      </w:r>
      <w:r>
        <w:rPr>
          <w:rFonts w:ascii="Shofar" w:hAnsi="Shofar"/>
          <w:rtl/>
        </w:rPr>
        <w:t>(חול' ר"ה ור"י אם צ' להז' פת אם מב' על פת ויין אם מב' על יין או לא), ורבי יוסי סובר שיכול לומר ברכה שתקנו חז"ל. יכול אדם לברך בכל לשון</w:t>
      </w:r>
      <w:r>
        <w:rPr>
          <w:rStyle w:val="EndnoteReference"/>
          <w:rFonts w:ascii="Shofar" w:hAnsi="Shofar"/>
          <w:rtl/>
        </w:rPr>
        <w:endnoteReference w:id="48"/>
      </w:r>
      <w:r>
        <w:rPr>
          <w:rFonts w:ascii="Shofar" w:hAnsi="Shofar"/>
          <w:rtl/>
        </w:rPr>
        <w:t>, ואף, לר"מ, בכל אופן.</w:t>
      </w:r>
      <w:r>
        <w:rPr>
          <w:rStyle w:val="FootnoteReference"/>
          <w:rFonts w:ascii="Shofar" w:hAnsi="Shofar"/>
          <w:rtl/>
        </w:rPr>
        <w:footnoteReference w:id="153"/>
      </w:r>
    </w:p>
    <w:p w:rsidR="00643327" w:rsidRDefault="00B63280">
      <w:pPr>
        <w:rPr>
          <w:rFonts w:ascii="Shofar" w:hAnsi="Shofar"/>
        </w:rPr>
      </w:pPr>
      <w:r>
        <w:rPr>
          <w:rFonts w:ascii="Shofar" w:hAnsi="Shofar"/>
          <w:rtl/>
        </w:rPr>
        <w:t>כל ברכה צריך להיות בו הזכרת שם. חולקים רבי יוחנן אם אף צריך הזכרת מלכות או לא.</w:t>
      </w:r>
      <w:r>
        <w:rPr>
          <w:rStyle w:val="FootnoteReference"/>
          <w:rFonts w:ascii="Shofar" w:hAnsi="Shofar"/>
          <w:rtl/>
        </w:rPr>
        <w:footnoteReference w:id="154"/>
      </w:r>
    </w:p>
    <w:p w:rsidR="00643327" w:rsidRDefault="00B63280">
      <w:pPr>
        <w:rPr>
          <w:rFonts w:ascii="Shofar" w:hAnsi="Shofar"/>
        </w:rPr>
      </w:pPr>
      <w:r>
        <w:rPr>
          <w:rFonts w:ascii="Shofar" w:hAnsi="Shofar"/>
          <w:rtl/>
        </w:rPr>
        <w:t>יש דברים שאין מברכים עליהם:</w:t>
      </w:r>
    </w:p>
    <w:p w:rsidR="00643327" w:rsidRDefault="00B63280" w:rsidP="008A6DF8">
      <w:pPr>
        <w:numPr>
          <w:ilvl w:val="0"/>
          <w:numId w:val="8"/>
        </w:numPr>
        <w:rPr>
          <w:rFonts w:ascii="Shofar" w:hAnsi="Shofar"/>
        </w:rPr>
      </w:pPr>
      <w:r>
        <w:rPr>
          <w:rFonts w:ascii="Shofar" w:hAnsi="Shofar"/>
          <w:rtl/>
        </w:rPr>
        <w:t>רבי יהודה אומר שאין מברכים על דבר שבא מקללה.</w:t>
      </w:r>
      <w:r>
        <w:rPr>
          <w:rStyle w:val="FootnoteReference"/>
          <w:rFonts w:ascii="Shofar" w:hAnsi="Shofar"/>
          <w:rtl/>
        </w:rPr>
        <w:footnoteReference w:id="155"/>
      </w:r>
    </w:p>
    <w:p w:rsidR="00643327" w:rsidRDefault="00B63280" w:rsidP="008A6DF8">
      <w:pPr>
        <w:numPr>
          <w:ilvl w:val="0"/>
          <w:numId w:val="8"/>
        </w:numPr>
        <w:rPr>
          <w:rFonts w:ascii="Shofar" w:hAnsi="Shofar"/>
        </w:rPr>
      </w:pPr>
      <w:r>
        <w:rPr>
          <w:rFonts w:ascii="Shofar" w:hAnsi="Shofar"/>
          <w:rtl/>
        </w:rPr>
        <w:t>חול’ רבא ורב ששת אם לא מברכים על פלפל</w:t>
      </w:r>
      <w:r>
        <w:rPr>
          <w:rStyle w:val="FootnoteReference"/>
          <w:rFonts w:ascii="Shofar" w:hAnsi="Shofar"/>
          <w:rtl/>
        </w:rPr>
        <w:footnoteReference w:id="156"/>
      </w:r>
      <w:r>
        <w:rPr>
          <w:rFonts w:ascii="Shofar" w:hAnsi="Shofar"/>
          <w:rtl/>
        </w:rPr>
        <w:t xml:space="preserve"> או מברכים שהכל.</w:t>
      </w:r>
      <w:r>
        <w:rPr>
          <w:rStyle w:val="FootnoteReference"/>
          <w:rFonts w:ascii="Shofar" w:hAnsi="Shofar"/>
          <w:rtl/>
        </w:rPr>
        <w:footnoteReference w:id="157"/>
      </w:r>
      <w:r>
        <w:rPr>
          <w:rStyle w:val="EndnoteReference"/>
          <w:rFonts w:ascii="Shofar" w:hAnsi="Shofar"/>
          <w:rtl/>
        </w:rPr>
        <w:endnoteReference w:id="49"/>
      </w:r>
    </w:p>
    <w:p w:rsidR="00643327" w:rsidRDefault="00B63280" w:rsidP="008A6DF8">
      <w:pPr>
        <w:numPr>
          <w:ilvl w:val="0"/>
          <w:numId w:val="8"/>
        </w:numPr>
        <w:rPr>
          <w:rFonts w:ascii="Shofar" w:hAnsi="Shofar"/>
        </w:rPr>
      </w:pPr>
      <w:r>
        <w:rPr>
          <w:rFonts w:ascii="Shofar" w:hAnsi="Shofar"/>
          <w:rtl/>
        </w:rPr>
        <w:t>לא מברכים על דבר אסור, שכ’, “בוצע ברך נאץ ה’.”</w:t>
      </w:r>
      <w:r>
        <w:rPr>
          <w:rStyle w:val="FootnoteReference"/>
          <w:rFonts w:ascii="Shofar" w:hAnsi="Shofar"/>
          <w:rtl/>
        </w:rPr>
        <w:footnoteReference w:id="158"/>
      </w:r>
    </w:p>
    <w:p w:rsidR="00643327" w:rsidRDefault="00B63280" w:rsidP="008A6DF8">
      <w:pPr>
        <w:numPr>
          <w:ilvl w:val="0"/>
          <w:numId w:val="8"/>
        </w:numPr>
        <w:rPr>
          <w:rFonts w:ascii="Shofar" w:hAnsi="Shofar"/>
        </w:rPr>
      </w:pPr>
      <w:r>
        <w:rPr>
          <w:rFonts w:ascii="Shofar" w:hAnsi="Shofar"/>
          <w:rtl/>
        </w:rPr>
        <w:t>לא מברכים על מים שנשתה כדי להסיר עצם שמחנקו.</w:t>
      </w:r>
      <w:r>
        <w:rPr>
          <w:rStyle w:val="FootnoteReference"/>
          <w:rFonts w:ascii="Shofar" w:hAnsi="Shofar"/>
          <w:rtl/>
        </w:rPr>
        <w:footnoteReference w:id="159"/>
      </w:r>
    </w:p>
    <w:p w:rsidR="00643327" w:rsidRDefault="00B63280" w:rsidP="008A6DF8">
      <w:pPr>
        <w:numPr>
          <w:ilvl w:val="0"/>
          <w:numId w:val="8"/>
        </w:numPr>
        <w:rPr>
          <w:rFonts w:ascii="Shofar" w:hAnsi="Shofar"/>
        </w:rPr>
      </w:pPr>
      <w:r>
        <w:rPr>
          <w:rFonts w:ascii="Shofar" w:hAnsi="Shofar"/>
          <w:rtl/>
        </w:rPr>
        <w:lastRenderedPageBreak/>
        <w:t>פחות מכשיעור. שיעור ברכה ראשונה הוא כל שהוא. שיעור ברכה אחרונה הוא כזית (לר"מ, שכ’, “ואכלת”) או כביצה (לר"י, שכ’, “ושבעת”</w:t>
      </w:r>
      <w:r>
        <w:rPr>
          <w:rStyle w:val="EndnoteReference"/>
          <w:rFonts w:ascii="Shofar" w:hAnsi="Shofar"/>
          <w:rtl/>
        </w:rPr>
        <w:endnoteReference w:id="50"/>
      </w:r>
      <w:r>
        <w:rPr>
          <w:rFonts w:ascii="Shofar" w:hAnsi="Shofar"/>
          <w:rtl/>
        </w:rPr>
        <w:t>), מדרבנן</w:t>
      </w:r>
      <w:r>
        <w:rPr>
          <w:rStyle w:val="FootnoteReference"/>
          <w:rFonts w:ascii="Shofar" w:hAnsi="Shofar"/>
          <w:rtl/>
        </w:rPr>
        <w:footnoteReference w:id="160"/>
      </w:r>
      <w:r>
        <w:rPr>
          <w:rFonts w:ascii="Shofar" w:hAnsi="Shofar"/>
          <w:rtl/>
        </w:rPr>
        <w:t>, וכדי שביעה מדאו’. לר"מ רק מברך אם גם שתה, שכ’, “ושבעת.”</w:t>
      </w:r>
      <w:r>
        <w:rPr>
          <w:rStyle w:val="FootnoteReference"/>
          <w:rFonts w:ascii="Shofar" w:hAnsi="Shofar"/>
          <w:rtl/>
        </w:rPr>
        <w:footnoteReference w:id="161"/>
      </w:r>
      <w:r>
        <w:rPr>
          <w:rFonts w:ascii="Shofar" w:hAnsi="Shofar"/>
          <w:rtl/>
        </w:rPr>
        <w:t xml:space="preserve"> (נ’ שאם אכל כדי שבעיה, אף אם לא שתה, מברך</w:t>
      </w:r>
      <w:r>
        <w:rPr>
          <w:rStyle w:val="EndnoteReference"/>
          <w:rFonts w:ascii="Shofar" w:hAnsi="Shofar"/>
          <w:rtl/>
        </w:rPr>
        <w:endnoteReference w:id="51"/>
      </w:r>
      <w:r>
        <w:rPr>
          <w:rFonts w:ascii="Shofar" w:hAnsi="Shofar"/>
          <w:rtl/>
        </w:rPr>
        <w:t>.).</w:t>
      </w:r>
      <w:r>
        <w:rPr>
          <w:rStyle w:val="FootnoteReference"/>
          <w:rFonts w:ascii="Shofar" w:hAnsi="Shofar"/>
          <w:rtl/>
        </w:rPr>
        <w:footnoteReference w:id="162"/>
      </w:r>
    </w:p>
    <w:p w:rsidR="00643327" w:rsidRDefault="00B63280">
      <w:pPr>
        <w:rPr>
          <w:rFonts w:ascii="Shofar" w:hAnsi="Shofar"/>
        </w:rPr>
      </w:pPr>
      <w:r>
        <w:rPr>
          <w:rFonts w:ascii="Shofar" w:hAnsi="Shofar"/>
          <w:rtl/>
        </w:rPr>
        <w:t>כ’, “ברוך ה’ יום יום,” ודורשים שצריך להזכיר מעין של כל יום בתפלה.</w:t>
      </w:r>
      <w:r>
        <w:rPr>
          <w:rStyle w:val="FootnoteReference"/>
          <w:rFonts w:ascii="Shofar" w:hAnsi="Shofar"/>
          <w:rtl/>
        </w:rPr>
        <w:footnoteReference w:id="163"/>
      </w:r>
      <w:r>
        <w:rPr>
          <w:rFonts w:ascii="Shofar" w:hAnsi="Shofar"/>
          <w:rtl/>
        </w:rPr>
        <w:t xml:space="preserve"> מפני"ז, גם צריך להזכיר מעין של היום (מועד או שבת) בברכה.</w:t>
      </w:r>
      <w:r>
        <w:rPr>
          <w:rStyle w:val="EndnoteReference"/>
          <w:rFonts w:ascii="Shofar" w:hAnsi="Shofar"/>
          <w:rtl/>
        </w:rPr>
        <w:endnoteReference w:id="52"/>
      </w:r>
      <w:r>
        <w:rPr>
          <w:rFonts w:ascii="Shofar" w:hAnsi="Shofar"/>
          <w:rtl/>
        </w:rPr>
        <w:t xml:space="preserve"> מצאנו דין זה רק בשני ברכות:</w:t>
      </w:r>
    </w:p>
    <w:p w:rsidR="00643327" w:rsidRDefault="00B63280" w:rsidP="008A6DF8">
      <w:pPr>
        <w:numPr>
          <w:ilvl w:val="0"/>
          <w:numId w:val="25"/>
        </w:numPr>
        <w:rPr>
          <w:rFonts w:ascii="Shofar" w:hAnsi="Shofar"/>
        </w:rPr>
      </w:pPr>
      <w:r>
        <w:rPr>
          <w:rFonts w:ascii="Shofar" w:hAnsi="Shofar"/>
          <w:rtl/>
        </w:rPr>
        <w:t>ברכת המזון. חול' איפה מזכיר שבת:</w:t>
      </w:r>
    </w:p>
    <w:p w:rsidR="00643327" w:rsidRDefault="00B63280" w:rsidP="008A6DF8">
      <w:pPr>
        <w:numPr>
          <w:ilvl w:val="1"/>
          <w:numId w:val="25"/>
        </w:numPr>
        <w:rPr>
          <w:rFonts w:ascii="Shofar" w:hAnsi="Shofar"/>
        </w:rPr>
      </w:pPr>
      <w:r>
        <w:rPr>
          <w:rFonts w:ascii="Shofar" w:hAnsi="Shofar"/>
          <w:rtl/>
        </w:rPr>
        <w:t>בברכת הארץ. כן סוברים חכמים. חול' אם יוצא אם אמר אותו בברכה אחרת.</w:t>
      </w:r>
    </w:p>
    <w:p w:rsidR="00643327" w:rsidRDefault="00B63280" w:rsidP="008A6DF8">
      <w:pPr>
        <w:numPr>
          <w:ilvl w:val="1"/>
          <w:numId w:val="25"/>
        </w:numPr>
        <w:rPr>
          <w:rFonts w:ascii="Shofar" w:hAnsi="Shofar"/>
        </w:rPr>
      </w:pPr>
      <w:r>
        <w:rPr>
          <w:rFonts w:ascii="Shofar" w:hAnsi="Shofar"/>
          <w:rtl/>
        </w:rPr>
        <w:t>בכל ברכה שרוצה. כן סובר ר"א.</w:t>
      </w:r>
      <w:r>
        <w:rPr>
          <w:rStyle w:val="FootnoteReference"/>
          <w:rFonts w:ascii="Shofar" w:hAnsi="Shofar"/>
          <w:rtl/>
        </w:rPr>
        <w:footnoteReference w:id="164"/>
      </w:r>
      <w:r>
        <w:rPr>
          <w:rStyle w:val="EndnoteReference"/>
          <w:rFonts w:ascii="Shofar" w:hAnsi="Shofar"/>
          <w:rtl/>
        </w:rPr>
        <w:endnoteReference w:id="53"/>
      </w:r>
    </w:p>
    <w:p w:rsidR="00643327" w:rsidRDefault="00B63280">
      <w:pPr>
        <w:ind w:left="1080"/>
        <w:rPr>
          <w:rFonts w:ascii="Shofar" w:hAnsi="Shofar"/>
        </w:rPr>
      </w:pPr>
      <w:r>
        <w:rPr>
          <w:rFonts w:ascii="Shofar" w:hAnsi="Shofar"/>
          <w:rtl/>
        </w:rPr>
        <w:t>אם שכח, אומר, "ברוך שנתן [אותו יום] לבנ"י</w:t>
      </w:r>
      <w:r>
        <w:rPr>
          <w:rFonts w:ascii="Times New Roman" w:hAnsi="Times New Roman" w:cs="Times New Roman"/>
          <w:rtl/>
        </w:rPr>
        <w:t>…</w:t>
      </w:r>
      <w:r>
        <w:rPr>
          <w:rFonts w:ascii="Shofar" w:hAnsi="Shofar"/>
          <w:rtl/>
        </w:rPr>
        <w:t>."</w:t>
      </w:r>
      <w:r>
        <w:rPr>
          <w:rStyle w:val="FootnoteReference"/>
          <w:rFonts w:ascii="Shofar" w:hAnsi="Shofar"/>
          <w:rtl/>
        </w:rPr>
        <w:footnoteReference w:id="165"/>
      </w:r>
      <w:r>
        <w:rPr>
          <w:rFonts w:ascii="Shofar" w:hAnsi="Shofar"/>
          <w:rtl/>
        </w:rPr>
        <w:t xml:space="preserve"> אם כבר פתח בהטוב והמיטיב, לא יאמר כן. אז:</w:t>
      </w:r>
    </w:p>
    <w:p w:rsidR="00643327" w:rsidRDefault="00B63280" w:rsidP="008A6DF8">
      <w:pPr>
        <w:numPr>
          <w:ilvl w:val="2"/>
          <w:numId w:val="25"/>
        </w:numPr>
        <w:rPr>
          <w:rFonts w:ascii="Shofar" w:hAnsi="Shofar"/>
        </w:rPr>
      </w:pPr>
      <w:r>
        <w:rPr>
          <w:rFonts w:ascii="Shofar" w:hAnsi="Shofar"/>
          <w:rtl/>
        </w:rPr>
        <w:t>אם היה חייב לאכול (כמו בשבת)- חוזר.</w:t>
      </w:r>
    </w:p>
    <w:p w:rsidR="00643327" w:rsidRDefault="00B63280" w:rsidP="008A6DF8">
      <w:pPr>
        <w:numPr>
          <w:ilvl w:val="2"/>
          <w:numId w:val="25"/>
        </w:numPr>
        <w:rPr>
          <w:rFonts w:ascii="Shofar" w:hAnsi="Shofar"/>
        </w:rPr>
      </w:pPr>
      <w:r>
        <w:rPr>
          <w:rFonts w:ascii="Shofar" w:hAnsi="Shofar"/>
          <w:rtl/>
        </w:rPr>
        <w:t>אם לא היה חייב לאכול (כמו בראש חדש)- לא חוזר.</w:t>
      </w:r>
      <w:r>
        <w:rPr>
          <w:rStyle w:val="FootnoteReference"/>
          <w:rFonts w:ascii="Shofar" w:hAnsi="Shofar"/>
          <w:rtl/>
        </w:rPr>
        <w:footnoteReference w:id="166"/>
      </w:r>
    </w:p>
    <w:p w:rsidR="00643327" w:rsidRDefault="00B63280" w:rsidP="008A6DF8">
      <w:pPr>
        <w:numPr>
          <w:ilvl w:val="0"/>
          <w:numId w:val="25"/>
        </w:numPr>
        <w:rPr>
          <w:rFonts w:ascii="Shofar" w:hAnsi="Shofar"/>
        </w:rPr>
      </w:pPr>
      <w:r>
        <w:rPr>
          <w:rFonts w:ascii="Shofar" w:hAnsi="Shofar"/>
          <w:rtl/>
        </w:rPr>
        <w:t>מעין שלש.</w:t>
      </w:r>
      <w:r>
        <w:rPr>
          <w:rStyle w:val="FootnoteReference"/>
          <w:rFonts w:ascii="Shofar" w:hAnsi="Shofar"/>
          <w:rtl/>
        </w:rPr>
        <w:footnoteReference w:id="167"/>
      </w:r>
    </w:p>
    <w:p w:rsidR="00643327" w:rsidRDefault="00B63280">
      <w:pPr>
        <w:pStyle w:val="Heading1"/>
        <w:rPr>
          <w:rFonts w:ascii="Shofar" w:hAnsi="Shofar" w:cs="Shofar"/>
        </w:rPr>
      </w:pPr>
      <w:bookmarkStart w:id="18" w:name="__RefHeading___Toc90836_2054497345"/>
      <w:bookmarkEnd w:id="18"/>
      <w:r>
        <w:rPr>
          <w:rFonts w:ascii="Shofar" w:hAnsi="Shofar" w:cs="Shofar"/>
          <w:rtl/>
        </w:rPr>
        <w:t>איך לברך:</w:t>
      </w:r>
    </w:p>
    <w:p w:rsidR="00643327" w:rsidRDefault="00B63280">
      <w:pPr>
        <w:rPr>
          <w:rFonts w:ascii="Shofar" w:hAnsi="Shofar"/>
        </w:rPr>
      </w:pPr>
      <w:r>
        <w:rPr>
          <w:rFonts w:ascii="Shofar" w:hAnsi="Shofar"/>
          <w:rtl/>
        </w:rPr>
        <w:t>חולקים איך לברך</w:t>
      </w:r>
      <w:r>
        <w:rPr>
          <w:rStyle w:val="FootnoteReference"/>
          <w:rFonts w:ascii="Shofar" w:hAnsi="Shofar"/>
          <w:rtl/>
        </w:rPr>
        <w:footnoteReference w:id="168"/>
      </w:r>
      <w:r>
        <w:rPr>
          <w:rFonts w:ascii="Shofar" w:hAnsi="Shofar"/>
          <w:rtl/>
        </w:rPr>
        <w:t>:</w:t>
      </w:r>
    </w:p>
    <w:p w:rsidR="00643327" w:rsidRDefault="00B63280" w:rsidP="008A6DF8">
      <w:pPr>
        <w:numPr>
          <w:ilvl w:val="0"/>
          <w:numId w:val="14"/>
        </w:numPr>
        <w:rPr>
          <w:rFonts w:ascii="Shofar" w:hAnsi="Shofar"/>
        </w:rPr>
      </w:pPr>
      <w:r>
        <w:rPr>
          <w:rFonts w:ascii="Shofar" w:hAnsi="Shofar"/>
          <w:rtl/>
        </w:rPr>
        <w:t>ר’ חייא אומר שצריך לכלות הפרכה עם פריסת האוכל.</w:t>
      </w:r>
    </w:p>
    <w:p w:rsidR="00643327" w:rsidRDefault="00B63280" w:rsidP="008A6DF8">
      <w:pPr>
        <w:numPr>
          <w:ilvl w:val="0"/>
          <w:numId w:val="14"/>
        </w:numPr>
        <w:rPr>
          <w:rFonts w:ascii="Shofar" w:hAnsi="Shofar"/>
        </w:rPr>
      </w:pPr>
      <w:r>
        <w:rPr>
          <w:rFonts w:ascii="Shofar" w:hAnsi="Shofar"/>
          <w:rtl/>
        </w:rPr>
        <w:t>רבא אומר שצריך לפרוס אחר הברכה.</w:t>
      </w:r>
      <w:r>
        <w:rPr>
          <w:rStyle w:val="FootnoteReference"/>
          <w:rFonts w:ascii="Shofar" w:hAnsi="Shofar"/>
          <w:rtl/>
        </w:rPr>
        <w:footnoteReference w:id="169"/>
      </w:r>
      <w:r>
        <w:rPr>
          <w:rFonts w:ascii="Shofar" w:hAnsi="Shofar"/>
          <w:rtl/>
        </w:rPr>
        <w:t xml:space="preserve"> כן הלכה.</w:t>
      </w:r>
      <w:r>
        <w:rPr>
          <w:rStyle w:val="FootnoteReference"/>
          <w:rFonts w:ascii="Shofar" w:hAnsi="Shofar"/>
          <w:rtl/>
        </w:rPr>
        <w:footnoteReference w:id="170"/>
      </w:r>
    </w:p>
    <w:p w:rsidR="00643327" w:rsidRDefault="00B63280">
      <w:pPr>
        <w:pStyle w:val="Heading1"/>
        <w:rPr>
          <w:rFonts w:ascii="Shofar" w:hAnsi="Shofar" w:cs="Shofar"/>
        </w:rPr>
      </w:pPr>
      <w:bookmarkStart w:id="19" w:name="__RefHeading___Toc90838_2054497345"/>
      <w:bookmarkEnd w:id="19"/>
      <w:r>
        <w:rPr>
          <w:rFonts w:ascii="Shofar" w:hAnsi="Shofar" w:cs="Shofar"/>
          <w:rtl/>
        </w:rPr>
        <w:t>ברכה שפוטר ברכה:</w:t>
      </w:r>
    </w:p>
    <w:p w:rsidR="00643327" w:rsidRDefault="00B63280">
      <w:pPr>
        <w:rPr>
          <w:rFonts w:ascii="Shofar" w:hAnsi="Shofar"/>
        </w:rPr>
      </w:pPr>
      <w:r>
        <w:rPr>
          <w:rFonts w:ascii="Shofar" w:hAnsi="Shofar"/>
          <w:rtl/>
        </w:rPr>
        <w:t>לפעמים, אם אדם כבר ברך ברכה אחת על מזון, לא צריך לברך עוד ברכה על מזון אחר. יש ארבע מקומות שמצאנו כן:</w:t>
      </w:r>
    </w:p>
    <w:p w:rsidR="00643327" w:rsidRDefault="00B63280" w:rsidP="008A6DF8">
      <w:pPr>
        <w:numPr>
          <w:ilvl w:val="0"/>
          <w:numId w:val="15"/>
        </w:numPr>
        <w:rPr>
          <w:rFonts w:ascii="Shofar" w:hAnsi="Shofar"/>
        </w:rPr>
      </w:pPr>
      <w:r>
        <w:rPr>
          <w:rFonts w:ascii="Shofar" w:hAnsi="Shofar"/>
          <w:rtl/>
        </w:rPr>
        <w:t>אם לשניהם יש אותו ברכה, לא צריך לברך עוד.</w:t>
      </w:r>
      <w:r>
        <w:rPr>
          <w:rStyle w:val="FootnoteReference"/>
          <w:rFonts w:ascii="Shofar" w:hAnsi="Shofar"/>
          <w:rtl/>
        </w:rPr>
        <w:footnoteReference w:id="171"/>
      </w:r>
    </w:p>
    <w:p w:rsidR="00643327" w:rsidRDefault="00B63280">
      <w:pPr>
        <w:ind w:left="720"/>
        <w:rPr>
          <w:rFonts w:ascii="Shofar" w:hAnsi="Shofar"/>
        </w:rPr>
      </w:pPr>
      <w:r>
        <w:rPr>
          <w:rFonts w:ascii="Shofar" w:hAnsi="Shofar"/>
          <w:rtl/>
        </w:rPr>
        <w:t>גמ’ מפרש שזה אף אם אחד נאכל קודם המזון ואחד נאכל אחר המזון</w:t>
      </w:r>
      <w:r>
        <w:rPr>
          <w:rStyle w:val="FootnoteReference"/>
          <w:rFonts w:ascii="Shofar" w:hAnsi="Shofar"/>
          <w:rtl/>
        </w:rPr>
        <w:footnoteReference w:id="172"/>
      </w:r>
      <w:r>
        <w:rPr>
          <w:rStyle w:val="EndnoteReference"/>
          <w:rFonts w:ascii="Shofar" w:hAnsi="Shofar"/>
          <w:rtl/>
        </w:rPr>
        <w:endnoteReference w:id="54"/>
      </w:r>
      <w:r>
        <w:rPr>
          <w:rFonts w:ascii="Shofar" w:hAnsi="Shofar"/>
          <w:rtl/>
        </w:rPr>
        <w:t>.</w:t>
      </w:r>
      <w:r>
        <w:rPr>
          <w:rStyle w:val="EndnoteReference"/>
          <w:rFonts w:ascii="Shofar" w:hAnsi="Shofar"/>
          <w:rtl/>
        </w:rPr>
        <w:endnoteReference w:id="55"/>
      </w:r>
    </w:p>
    <w:p w:rsidR="00643327" w:rsidRDefault="00B63280">
      <w:pPr>
        <w:ind w:left="720"/>
        <w:rPr>
          <w:rFonts w:ascii="Shofar" w:hAnsi="Shofar"/>
        </w:rPr>
      </w:pPr>
      <w:r>
        <w:rPr>
          <w:rFonts w:ascii="Shofar" w:hAnsi="Shofar"/>
          <w:rtl/>
        </w:rPr>
        <w:t>אם הם נאכלים לסיבות חלוקות</w:t>
      </w:r>
      <w:r>
        <w:rPr>
          <w:rStyle w:val="FootnoteReference"/>
          <w:rFonts w:ascii="Shofar" w:hAnsi="Shofar"/>
          <w:rtl/>
        </w:rPr>
        <w:footnoteReference w:id="173"/>
      </w:r>
      <w:r>
        <w:rPr>
          <w:rFonts w:ascii="Shofar" w:hAnsi="Shofar"/>
          <w:rtl/>
        </w:rPr>
        <w:t>, חולקים רב ורב כהנא אם פוטר או לא פוטר.</w:t>
      </w:r>
      <w:r>
        <w:rPr>
          <w:rStyle w:val="EndnoteReference"/>
          <w:rFonts w:ascii="Shofar" w:hAnsi="Shofar"/>
          <w:rtl/>
        </w:rPr>
        <w:endnoteReference w:id="56"/>
      </w:r>
      <w:r>
        <w:rPr>
          <w:rStyle w:val="FootnoteReference"/>
          <w:rFonts w:ascii="Shofar" w:hAnsi="Shofar"/>
          <w:rtl/>
        </w:rPr>
        <w:footnoteReference w:id="174"/>
      </w:r>
    </w:p>
    <w:p w:rsidR="00643327" w:rsidRDefault="00B63280" w:rsidP="008A6DF8">
      <w:pPr>
        <w:numPr>
          <w:ilvl w:val="0"/>
          <w:numId w:val="15"/>
        </w:numPr>
        <w:rPr>
          <w:rFonts w:ascii="Shofar" w:hAnsi="Shofar"/>
        </w:rPr>
      </w:pPr>
      <w:r>
        <w:rPr>
          <w:rFonts w:ascii="Shofar" w:hAnsi="Shofar"/>
          <w:rtl/>
        </w:rPr>
        <w:t>אם ברך על פת, פוטר כל אוכל</w:t>
      </w:r>
      <w:r>
        <w:rPr>
          <w:rStyle w:val="EndnoteReference"/>
          <w:rFonts w:ascii="Shofar" w:hAnsi="Shofar"/>
          <w:rtl/>
        </w:rPr>
        <w:endnoteReference w:id="57"/>
      </w:r>
      <w:r>
        <w:rPr>
          <w:rFonts w:ascii="Shofar" w:hAnsi="Shofar"/>
          <w:rtl/>
        </w:rPr>
        <w:t xml:space="preserve"> שבאותו סעודה:</w:t>
      </w:r>
    </w:p>
    <w:p w:rsidR="00643327" w:rsidRDefault="00B63280" w:rsidP="008A6DF8">
      <w:pPr>
        <w:numPr>
          <w:ilvl w:val="1"/>
          <w:numId w:val="15"/>
        </w:numPr>
        <w:rPr>
          <w:rFonts w:ascii="Shofar" w:hAnsi="Shofar"/>
        </w:rPr>
      </w:pPr>
      <w:r>
        <w:rPr>
          <w:rFonts w:ascii="Shofar" w:hAnsi="Shofar"/>
          <w:rtl/>
        </w:rPr>
        <w:t>דברים הבאים מחמת הסעודה:</w:t>
      </w:r>
    </w:p>
    <w:p w:rsidR="00643327" w:rsidRDefault="00B63280" w:rsidP="008A6DF8">
      <w:pPr>
        <w:numPr>
          <w:ilvl w:val="2"/>
          <w:numId w:val="15"/>
        </w:numPr>
        <w:rPr>
          <w:rFonts w:ascii="Shofar" w:hAnsi="Shofar"/>
        </w:rPr>
      </w:pPr>
      <w:r>
        <w:rPr>
          <w:rFonts w:ascii="Shofar" w:hAnsi="Shofar"/>
          <w:rtl/>
        </w:rPr>
        <w:t>ברכה ראשונה- פטורים.</w:t>
      </w:r>
    </w:p>
    <w:p w:rsidR="00643327" w:rsidRDefault="00B63280" w:rsidP="008A6DF8">
      <w:pPr>
        <w:numPr>
          <w:ilvl w:val="2"/>
          <w:numId w:val="15"/>
        </w:numPr>
        <w:rPr>
          <w:rFonts w:ascii="Shofar" w:hAnsi="Shofar"/>
        </w:rPr>
      </w:pPr>
      <w:r>
        <w:rPr>
          <w:rFonts w:ascii="Shofar" w:hAnsi="Shofar"/>
          <w:rtl/>
        </w:rPr>
        <w:t>ברכה אחרונה- פטורים.</w:t>
      </w:r>
    </w:p>
    <w:p w:rsidR="00643327" w:rsidRDefault="00B63280" w:rsidP="008A6DF8">
      <w:pPr>
        <w:numPr>
          <w:ilvl w:val="1"/>
          <w:numId w:val="15"/>
        </w:numPr>
        <w:rPr>
          <w:rFonts w:ascii="Shofar" w:hAnsi="Shofar"/>
        </w:rPr>
      </w:pPr>
      <w:r>
        <w:rPr>
          <w:rFonts w:ascii="Shofar" w:hAnsi="Shofar"/>
          <w:rtl/>
        </w:rPr>
        <w:t>דברים שלא באים מחמת סעודה:</w:t>
      </w:r>
    </w:p>
    <w:p w:rsidR="00643327" w:rsidRDefault="00B63280" w:rsidP="008A6DF8">
      <w:pPr>
        <w:numPr>
          <w:ilvl w:val="2"/>
          <w:numId w:val="15"/>
        </w:numPr>
        <w:rPr>
          <w:rFonts w:ascii="Shofar" w:hAnsi="Shofar"/>
        </w:rPr>
      </w:pPr>
      <w:r>
        <w:rPr>
          <w:rFonts w:ascii="Shofar" w:hAnsi="Shofar"/>
          <w:rtl/>
        </w:rPr>
        <w:t>ברכה ראשונה- חייבים.</w:t>
      </w:r>
    </w:p>
    <w:p w:rsidR="00643327" w:rsidRDefault="00B63280" w:rsidP="008A6DF8">
      <w:pPr>
        <w:numPr>
          <w:ilvl w:val="2"/>
          <w:numId w:val="15"/>
        </w:numPr>
        <w:rPr>
          <w:rFonts w:ascii="Shofar" w:hAnsi="Shofar"/>
        </w:rPr>
      </w:pPr>
      <w:r>
        <w:rPr>
          <w:rFonts w:ascii="Shofar" w:hAnsi="Shofar"/>
          <w:rtl/>
        </w:rPr>
        <w:t>ברכה אחרונה- חולקים:</w:t>
      </w:r>
    </w:p>
    <w:p w:rsidR="00643327" w:rsidRDefault="00B63280" w:rsidP="008A6DF8">
      <w:pPr>
        <w:numPr>
          <w:ilvl w:val="3"/>
          <w:numId w:val="15"/>
        </w:numPr>
        <w:rPr>
          <w:rFonts w:ascii="Shofar" w:hAnsi="Shofar"/>
        </w:rPr>
      </w:pPr>
      <w:r>
        <w:rPr>
          <w:rFonts w:ascii="Shofar" w:hAnsi="Shofar"/>
          <w:rtl/>
        </w:rPr>
        <w:t>ר"נ- פטורים.</w:t>
      </w:r>
    </w:p>
    <w:p w:rsidR="00643327" w:rsidRDefault="00B63280" w:rsidP="008A6DF8">
      <w:pPr>
        <w:numPr>
          <w:ilvl w:val="3"/>
          <w:numId w:val="15"/>
        </w:numPr>
        <w:rPr>
          <w:rFonts w:ascii="Shofar" w:hAnsi="Shofar"/>
        </w:rPr>
      </w:pPr>
      <w:r>
        <w:rPr>
          <w:rFonts w:ascii="Shofar" w:hAnsi="Shofar"/>
          <w:rtl/>
        </w:rPr>
        <w:t>ר"ח- חייבים.</w:t>
      </w:r>
      <w:r>
        <w:rPr>
          <w:rStyle w:val="FootnoteReference"/>
          <w:rFonts w:ascii="Shofar" w:hAnsi="Shofar"/>
          <w:rtl/>
        </w:rPr>
        <w:footnoteReference w:id="175"/>
      </w:r>
      <w:r>
        <w:rPr>
          <w:rStyle w:val="EndnoteReference"/>
          <w:rFonts w:ascii="Shofar" w:hAnsi="Shofar"/>
          <w:rtl/>
        </w:rPr>
        <w:endnoteReference w:id="58"/>
      </w:r>
    </w:p>
    <w:p w:rsidR="00643327" w:rsidRDefault="00B63280">
      <w:pPr>
        <w:ind w:left="1080"/>
        <w:rPr>
          <w:rFonts w:ascii="Shofar" w:hAnsi="Shofar"/>
        </w:rPr>
      </w:pPr>
      <w:r>
        <w:rPr>
          <w:rFonts w:ascii="Shofar" w:hAnsi="Shofar"/>
          <w:rtl/>
        </w:rPr>
        <w:t>זה רק אם בא תוך הסעודה, אבל אם בא "אחר הסעודה,” צריך לברך עליו ברכה ראשונה ואחרונה.</w:t>
      </w:r>
      <w:r>
        <w:rPr>
          <w:rStyle w:val="EndnoteReference"/>
          <w:rFonts w:ascii="Shofar" w:hAnsi="Shofar"/>
          <w:rtl/>
        </w:rPr>
        <w:endnoteReference w:id="59"/>
      </w:r>
    </w:p>
    <w:p w:rsidR="00643327" w:rsidRDefault="00B63280">
      <w:pPr>
        <w:ind w:left="1080"/>
        <w:rPr>
          <w:rFonts w:ascii="Shofar" w:hAnsi="Shofar"/>
        </w:rPr>
      </w:pPr>
      <w:r>
        <w:rPr>
          <w:rFonts w:ascii="Shofar" w:hAnsi="Shofar"/>
          <w:rtl/>
        </w:rPr>
        <w:lastRenderedPageBreak/>
        <w:t>חול’ מהו "אחר הסעודה.”</w:t>
      </w:r>
      <w:r>
        <w:rPr>
          <w:rStyle w:val="EndnoteReference"/>
          <w:rFonts w:ascii="Shofar" w:hAnsi="Shofar"/>
          <w:rtl/>
        </w:rPr>
        <w:endnoteReference w:id="60"/>
      </w:r>
      <w:r>
        <w:rPr>
          <w:rFonts w:ascii="Shofar" w:hAnsi="Shofar"/>
          <w:rtl/>
        </w:rPr>
        <w:t xml:space="preserve"> להל’, הוא אחר שרחץ ידיו ב"מים אחרונים.”</w:t>
      </w:r>
      <w:r>
        <w:rPr>
          <w:rStyle w:val="FootnoteReference"/>
          <w:rFonts w:ascii="Shofar" w:hAnsi="Shofar"/>
          <w:rtl/>
        </w:rPr>
        <w:footnoteReference w:id="176"/>
      </w:r>
      <w:r>
        <w:rPr>
          <w:rStyle w:val="FootnoteReference"/>
          <w:rFonts w:ascii="Shofar" w:hAnsi="Shofar"/>
          <w:rtl/>
        </w:rPr>
        <w:footnoteReference w:id="177"/>
      </w:r>
    </w:p>
    <w:p w:rsidR="00643327" w:rsidRDefault="00B63280" w:rsidP="008A6DF8">
      <w:pPr>
        <w:numPr>
          <w:ilvl w:val="1"/>
          <w:numId w:val="15"/>
        </w:numPr>
        <w:rPr>
          <w:rFonts w:ascii="Shofar" w:hAnsi="Shofar"/>
        </w:rPr>
      </w:pPr>
      <w:r>
        <w:rPr>
          <w:rFonts w:ascii="Shofar" w:hAnsi="Shofar"/>
          <w:rtl/>
        </w:rPr>
        <w:t>אם בירך על יין, פוטר כל משקים</w:t>
      </w:r>
      <w:r>
        <w:rPr>
          <w:rStyle w:val="FootnoteReference"/>
          <w:rFonts w:ascii="Shofar" w:hAnsi="Shofar"/>
          <w:rtl/>
        </w:rPr>
        <w:footnoteReference w:id="178"/>
      </w:r>
      <w:r>
        <w:rPr>
          <w:rFonts w:ascii="Shofar" w:hAnsi="Shofar"/>
          <w:rtl/>
        </w:rPr>
        <w:t>. לכאו’, ההגדרה של דין זה שווה לפטור של מברך על פת שבארנו לעיל.</w:t>
      </w:r>
    </w:p>
    <w:p w:rsidR="00643327" w:rsidRDefault="00B63280">
      <w:pPr>
        <w:ind w:left="1080"/>
        <w:rPr>
          <w:rFonts w:ascii="Shofar" w:hAnsi="Shofar"/>
        </w:rPr>
      </w:pPr>
      <w:r>
        <w:rPr>
          <w:rFonts w:ascii="Shofar" w:hAnsi="Shofar"/>
          <w:rtl/>
        </w:rPr>
        <w:t>רק פוטר בשבת, כיון שרק אז חושב שיאכל עוד.</w:t>
      </w:r>
      <w:r>
        <w:rPr>
          <w:rStyle w:val="FootnoteReference"/>
          <w:rFonts w:ascii="Shofar" w:hAnsi="Shofar"/>
          <w:rtl/>
        </w:rPr>
        <w:footnoteReference w:id="179"/>
      </w:r>
    </w:p>
    <w:p w:rsidR="00643327" w:rsidRDefault="00B63280" w:rsidP="008A6DF8">
      <w:pPr>
        <w:numPr>
          <w:ilvl w:val="1"/>
          <w:numId w:val="15"/>
        </w:numPr>
        <w:rPr>
          <w:rFonts w:ascii="Shofar" w:hAnsi="Shofar"/>
        </w:rPr>
      </w:pPr>
      <w:r>
        <w:rPr>
          <w:rFonts w:ascii="Shofar" w:hAnsi="Shofar"/>
          <w:rtl/>
        </w:rPr>
        <w:t>אם בירך על עיקר, לא צריך לברך על טפל.</w:t>
      </w:r>
      <w:r>
        <w:rPr>
          <w:rStyle w:val="FootnoteReference"/>
          <w:rFonts w:ascii="Shofar" w:hAnsi="Shofar"/>
          <w:rtl/>
        </w:rPr>
        <w:footnoteReference w:id="180"/>
      </w:r>
      <w:r>
        <w:rPr>
          <w:rStyle w:val="EndnoteReference"/>
          <w:rFonts w:ascii="Shofar" w:hAnsi="Shofar"/>
          <w:rtl/>
        </w:rPr>
        <w:endnoteReference w:id="61"/>
      </w:r>
    </w:p>
    <w:p w:rsidR="00643327" w:rsidRDefault="00B63280">
      <w:pPr>
        <w:rPr>
          <w:rFonts w:ascii="Shofar" w:hAnsi="Shofar"/>
        </w:rPr>
      </w:pPr>
      <w:r>
        <w:rPr>
          <w:rFonts w:ascii="Shofar" w:hAnsi="Shofar"/>
          <w:rtl/>
        </w:rPr>
        <w:t>(יש ציור אחר שבו נדון, ודנים בו בפני עצמו כיון שיש לנו הערות עליו, ואינו פשוט לנו.</w:t>
      </w:r>
    </w:p>
    <w:p w:rsidR="00643327" w:rsidRDefault="00B63280">
      <w:pPr>
        <w:rPr>
          <w:rFonts w:ascii="Shofar" w:hAnsi="Shofar"/>
        </w:rPr>
      </w:pPr>
      <w:r>
        <w:rPr>
          <w:rFonts w:ascii="Shofar" w:hAnsi="Shofar"/>
          <w:rtl/>
        </w:rPr>
        <w:t>יש שלש חלקי סעודה:</w:t>
      </w:r>
    </w:p>
    <w:p w:rsidR="00643327" w:rsidRDefault="00B63280" w:rsidP="008A6DF8">
      <w:pPr>
        <w:numPr>
          <w:ilvl w:val="0"/>
          <w:numId w:val="17"/>
        </w:numPr>
        <w:rPr>
          <w:rFonts w:ascii="Shofar" w:hAnsi="Shofar"/>
        </w:rPr>
      </w:pPr>
      <w:r>
        <w:rPr>
          <w:rFonts w:ascii="Shofar" w:hAnsi="Shofar"/>
          <w:rtl/>
        </w:rPr>
        <w:t>פת.</w:t>
      </w:r>
    </w:p>
    <w:p w:rsidR="00643327" w:rsidRDefault="00B63280" w:rsidP="008A6DF8">
      <w:pPr>
        <w:numPr>
          <w:ilvl w:val="0"/>
          <w:numId w:val="17"/>
        </w:numPr>
        <w:rPr>
          <w:rFonts w:ascii="Shofar" w:hAnsi="Shofar"/>
        </w:rPr>
      </w:pPr>
      <w:r>
        <w:rPr>
          <w:rFonts w:ascii="Shofar" w:hAnsi="Shofar"/>
          <w:rtl/>
        </w:rPr>
        <w:t>פרפרת.</w:t>
      </w:r>
      <w:r>
        <w:rPr>
          <w:rStyle w:val="FootnoteReference"/>
          <w:rFonts w:ascii="Shofar" w:hAnsi="Shofar"/>
          <w:rtl/>
        </w:rPr>
        <w:footnoteReference w:id="181"/>
      </w:r>
      <w:r>
        <w:rPr>
          <w:rStyle w:val="EndnoteReference"/>
          <w:rFonts w:ascii="Shofar" w:hAnsi="Shofar"/>
          <w:rtl/>
        </w:rPr>
        <w:endnoteReference w:id="62"/>
      </w:r>
    </w:p>
    <w:p w:rsidR="00643327" w:rsidRDefault="00B63280" w:rsidP="008A6DF8">
      <w:pPr>
        <w:numPr>
          <w:ilvl w:val="0"/>
          <w:numId w:val="17"/>
        </w:numPr>
        <w:rPr>
          <w:rFonts w:ascii="Shofar" w:hAnsi="Shofar"/>
        </w:rPr>
      </w:pPr>
      <w:r>
        <w:rPr>
          <w:rFonts w:ascii="Shofar" w:hAnsi="Shofar"/>
          <w:rtl/>
        </w:rPr>
        <w:t>מעשה קדירה</w:t>
      </w:r>
      <w:r>
        <w:rPr>
          <w:rStyle w:val="EndnoteReference"/>
          <w:rFonts w:ascii="Shofar" w:hAnsi="Shofar"/>
          <w:rtl/>
        </w:rPr>
        <w:endnoteReference w:id="63"/>
      </w:r>
      <w:r>
        <w:rPr>
          <w:rFonts w:ascii="Shofar" w:hAnsi="Shofar"/>
          <w:rtl/>
        </w:rPr>
        <w:t>.</w:t>
      </w:r>
    </w:p>
    <w:p w:rsidR="00643327" w:rsidRDefault="00B63280">
      <w:pPr>
        <w:rPr>
          <w:rFonts w:ascii="Shofar" w:hAnsi="Shofar"/>
        </w:rPr>
      </w:pPr>
      <w:r>
        <w:rPr>
          <w:rFonts w:ascii="Shofar" w:hAnsi="Shofar"/>
          <w:rtl/>
        </w:rPr>
        <w:t>אם ברך על פת:</w:t>
      </w:r>
    </w:p>
    <w:p w:rsidR="00643327" w:rsidRDefault="00B63280" w:rsidP="008A6DF8">
      <w:pPr>
        <w:numPr>
          <w:ilvl w:val="0"/>
          <w:numId w:val="18"/>
        </w:numPr>
        <w:rPr>
          <w:rFonts w:ascii="Shofar" w:hAnsi="Shofar"/>
        </w:rPr>
      </w:pPr>
      <w:r>
        <w:rPr>
          <w:rFonts w:ascii="Shofar" w:hAnsi="Shofar"/>
          <w:rtl/>
        </w:rPr>
        <w:t xml:space="preserve">פרפת- </w:t>
      </w:r>
    </w:p>
    <w:p w:rsidR="00643327" w:rsidRDefault="00B63280" w:rsidP="008A6DF8">
      <w:pPr>
        <w:numPr>
          <w:ilvl w:val="1"/>
          <w:numId w:val="18"/>
        </w:numPr>
        <w:rPr>
          <w:rFonts w:ascii="Shofar" w:hAnsi="Shofar"/>
        </w:rPr>
      </w:pPr>
      <w:r>
        <w:rPr>
          <w:rFonts w:ascii="Shofar" w:hAnsi="Shofar"/>
          <w:rtl/>
        </w:rPr>
        <w:t>צד ראשון- נפטר.</w:t>
      </w:r>
      <w:r>
        <w:rPr>
          <w:rStyle w:val="FootnoteReference"/>
          <w:rFonts w:ascii="Shofar" w:hAnsi="Shofar"/>
          <w:rtl/>
        </w:rPr>
        <w:footnoteReference w:id="182"/>
      </w:r>
    </w:p>
    <w:p w:rsidR="00643327" w:rsidRDefault="00B63280" w:rsidP="008A6DF8">
      <w:pPr>
        <w:numPr>
          <w:ilvl w:val="1"/>
          <w:numId w:val="18"/>
        </w:numPr>
        <w:rPr>
          <w:rFonts w:ascii="Shofar" w:hAnsi="Shofar"/>
        </w:rPr>
      </w:pPr>
      <w:r>
        <w:rPr>
          <w:rFonts w:ascii="Shofar" w:hAnsi="Shofar"/>
          <w:rtl/>
        </w:rPr>
        <w:t>צד שני:</w:t>
      </w:r>
    </w:p>
    <w:p w:rsidR="00643327" w:rsidRDefault="00B63280" w:rsidP="008A6DF8">
      <w:pPr>
        <w:numPr>
          <w:ilvl w:val="2"/>
          <w:numId w:val="18"/>
        </w:numPr>
        <w:rPr>
          <w:rFonts w:ascii="Shofar" w:hAnsi="Shofar"/>
        </w:rPr>
      </w:pPr>
      <w:r>
        <w:rPr>
          <w:rFonts w:ascii="Shofar" w:hAnsi="Shofar"/>
          <w:rtl/>
        </w:rPr>
        <w:t>בית הלל- נפטר.</w:t>
      </w:r>
    </w:p>
    <w:p w:rsidR="00643327" w:rsidRDefault="00B63280" w:rsidP="008A6DF8">
      <w:pPr>
        <w:numPr>
          <w:ilvl w:val="2"/>
          <w:numId w:val="18"/>
        </w:numPr>
        <w:rPr>
          <w:rFonts w:ascii="Shofar" w:hAnsi="Shofar"/>
        </w:rPr>
      </w:pPr>
      <w:r>
        <w:rPr>
          <w:rFonts w:ascii="Shofar" w:hAnsi="Shofar"/>
          <w:rtl/>
        </w:rPr>
        <w:t>בית שמאי- לא נפטר</w:t>
      </w:r>
      <w:r>
        <w:rPr>
          <w:rStyle w:val="EndnoteReference"/>
          <w:rFonts w:ascii="Shofar" w:hAnsi="Shofar"/>
          <w:rtl/>
        </w:rPr>
        <w:endnoteReference w:id="64"/>
      </w:r>
      <w:r>
        <w:rPr>
          <w:rFonts w:ascii="Shofar" w:hAnsi="Shofar"/>
          <w:rtl/>
        </w:rPr>
        <w:t>.</w:t>
      </w:r>
    </w:p>
    <w:p w:rsidR="00643327" w:rsidRDefault="00B63280" w:rsidP="008A6DF8">
      <w:pPr>
        <w:numPr>
          <w:ilvl w:val="0"/>
          <w:numId w:val="18"/>
        </w:numPr>
        <w:rPr>
          <w:rFonts w:ascii="Shofar" w:hAnsi="Shofar"/>
        </w:rPr>
      </w:pPr>
      <w:r>
        <w:rPr>
          <w:rFonts w:ascii="Shofar" w:hAnsi="Shofar"/>
          <w:rtl/>
        </w:rPr>
        <w:t>מעשה קדירה- חול’ גמ’</w:t>
      </w:r>
      <w:r>
        <w:rPr>
          <w:rStyle w:val="FootnoteReference"/>
          <w:rFonts w:ascii="Shofar" w:hAnsi="Shofar"/>
          <w:rtl/>
        </w:rPr>
        <w:footnoteReference w:id="183"/>
      </w:r>
    </w:p>
    <w:p w:rsidR="00643327" w:rsidRDefault="00B63280" w:rsidP="008A6DF8">
      <w:pPr>
        <w:numPr>
          <w:ilvl w:val="1"/>
          <w:numId w:val="18"/>
        </w:numPr>
        <w:rPr>
          <w:rFonts w:ascii="Shofar" w:hAnsi="Shofar"/>
        </w:rPr>
      </w:pPr>
      <w:r>
        <w:rPr>
          <w:rFonts w:ascii="Shofar" w:hAnsi="Shofar"/>
          <w:rtl/>
        </w:rPr>
        <w:t>צד ראשון- נפטר.</w:t>
      </w:r>
    </w:p>
    <w:p w:rsidR="00643327" w:rsidRDefault="00B63280" w:rsidP="008A6DF8">
      <w:pPr>
        <w:numPr>
          <w:ilvl w:val="1"/>
          <w:numId w:val="18"/>
        </w:numPr>
        <w:rPr>
          <w:rFonts w:ascii="Shofar" w:hAnsi="Shofar"/>
        </w:rPr>
      </w:pPr>
      <w:r>
        <w:rPr>
          <w:rFonts w:ascii="Shofar" w:hAnsi="Shofar"/>
          <w:rtl/>
        </w:rPr>
        <w:t>צד שני:</w:t>
      </w:r>
    </w:p>
    <w:p w:rsidR="00643327" w:rsidRDefault="00B63280" w:rsidP="008A6DF8">
      <w:pPr>
        <w:numPr>
          <w:ilvl w:val="2"/>
          <w:numId w:val="18"/>
        </w:numPr>
        <w:rPr>
          <w:rFonts w:ascii="Shofar" w:hAnsi="Shofar"/>
        </w:rPr>
      </w:pPr>
      <w:r>
        <w:rPr>
          <w:rFonts w:ascii="Shofar" w:hAnsi="Shofar"/>
          <w:rtl/>
        </w:rPr>
        <w:t>בית הלל- נפטר.</w:t>
      </w:r>
    </w:p>
    <w:p w:rsidR="00643327" w:rsidRDefault="00B63280" w:rsidP="008A6DF8">
      <w:pPr>
        <w:numPr>
          <w:ilvl w:val="2"/>
          <w:numId w:val="18"/>
        </w:numPr>
        <w:rPr>
          <w:rFonts w:ascii="Shofar" w:hAnsi="Shofar"/>
        </w:rPr>
      </w:pPr>
      <w:r>
        <w:rPr>
          <w:rFonts w:ascii="Shofar" w:hAnsi="Shofar"/>
          <w:rtl/>
        </w:rPr>
        <w:t>בית שמאי- לא נפטר.</w:t>
      </w:r>
    </w:p>
    <w:p w:rsidR="00643327" w:rsidRDefault="00B63280">
      <w:pPr>
        <w:rPr>
          <w:rFonts w:ascii="Shofar" w:hAnsi="Shofar"/>
        </w:rPr>
      </w:pPr>
      <w:r>
        <w:rPr>
          <w:rFonts w:ascii="Shofar" w:hAnsi="Shofar"/>
          <w:rtl/>
        </w:rPr>
        <w:t>אם ברך על פרפרת:</w:t>
      </w:r>
    </w:p>
    <w:p w:rsidR="00643327" w:rsidRDefault="00B63280" w:rsidP="008A6DF8">
      <w:pPr>
        <w:numPr>
          <w:ilvl w:val="0"/>
          <w:numId w:val="19"/>
        </w:numPr>
        <w:rPr>
          <w:rFonts w:ascii="Shofar" w:hAnsi="Shofar"/>
        </w:rPr>
      </w:pPr>
      <w:r>
        <w:rPr>
          <w:rFonts w:ascii="Shofar" w:hAnsi="Shofar"/>
          <w:rtl/>
        </w:rPr>
        <w:t>פת- לא נפטר.</w:t>
      </w:r>
      <w:r>
        <w:rPr>
          <w:rStyle w:val="FootnoteReference"/>
          <w:rFonts w:ascii="Shofar" w:hAnsi="Shofar"/>
          <w:rtl/>
        </w:rPr>
        <w:footnoteReference w:id="184"/>
      </w:r>
    </w:p>
    <w:p w:rsidR="00643327" w:rsidRDefault="00B63280" w:rsidP="008A6DF8">
      <w:pPr>
        <w:numPr>
          <w:ilvl w:val="0"/>
          <w:numId w:val="19"/>
        </w:numPr>
        <w:rPr>
          <w:rFonts w:ascii="Shofar" w:hAnsi="Shofar"/>
        </w:rPr>
      </w:pPr>
      <w:r>
        <w:rPr>
          <w:rFonts w:ascii="Shofar" w:hAnsi="Shofar"/>
          <w:rtl/>
        </w:rPr>
        <w:t>מעשה קדירה:</w:t>
      </w:r>
      <w:r>
        <w:rPr>
          <w:rStyle w:val="FootnoteReference"/>
          <w:rFonts w:ascii="Shofar" w:hAnsi="Shofar"/>
          <w:rtl/>
        </w:rPr>
        <w:footnoteReference w:id="185"/>
      </w:r>
    </w:p>
    <w:p w:rsidR="00643327" w:rsidRDefault="00B63280" w:rsidP="008A6DF8">
      <w:pPr>
        <w:numPr>
          <w:ilvl w:val="1"/>
          <w:numId w:val="19"/>
        </w:numPr>
        <w:rPr>
          <w:rFonts w:ascii="Shofar" w:hAnsi="Shofar"/>
        </w:rPr>
      </w:pPr>
      <w:r>
        <w:rPr>
          <w:rFonts w:ascii="Shofar" w:hAnsi="Shofar"/>
          <w:rtl/>
        </w:rPr>
        <w:t>צד ראשון- יש לדון</w:t>
      </w:r>
      <w:r>
        <w:rPr>
          <w:rStyle w:val="EndnoteReference"/>
          <w:rFonts w:ascii="Shofar" w:hAnsi="Shofar"/>
          <w:rtl/>
        </w:rPr>
        <w:endnoteReference w:id="65"/>
      </w:r>
      <w:r>
        <w:rPr>
          <w:rFonts w:ascii="Shofar" w:hAnsi="Shofar"/>
          <w:rtl/>
        </w:rPr>
        <w:t>.</w:t>
      </w:r>
    </w:p>
    <w:p w:rsidR="00643327" w:rsidRDefault="00B63280" w:rsidP="008A6DF8">
      <w:pPr>
        <w:numPr>
          <w:ilvl w:val="1"/>
          <w:numId w:val="19"/>
        </w:numPr>
        <w:rPr>
          <w:rFonts w:ascii="Shofar" w:hAnsi="Shofar"/>
        </w:rPr>
      </w:pPr>
      <w:r>
        <w:rPr>
          <w:rFonts w:ascii="Shofar" w:hAnsi="Shofar"/>
          <w:rtl/>
        </w:rPr>
        <w:t>צד שני:</w:t>
      </w:r>
    </w:p>
    <w:p w:rsidR="00643327" w:rsidRDefault="00B63280" w:rsidP="008A6DF8">
      <w:pPr>
        <w:numPr>
          <w:ilvl w:val="2"/>
          <w:numId w:val="19"/>
        </w:numPr>
        <w:rPr>
          <w:rFonts w:ascii="Shofar" w:hAnsi="Shofar"/>
        </w:rPr>
      </w:pPr>
      <w:r>
        <w:rPr>
          <w:rFonts w:ascii="Shofar" w:hAnsi="Shofar"/>
          <w:rtl/>
        </w:rPr>
        <w:t>בית הלל- נפטר.</w:t>
      </w:r>
    </w:p>
    <w:p w:rsidR="00643327" w:rsidRDefault="00B63280" w:rsidP="008A6DF8">
      <w:pPr>
        <w:numPr>
          <w:ilvl w:val="2"/>
          <w:numId w:val="19"/>
        </w:numPr>
        <w:rPr>
          <w:rFonts w:ascii="Shofar" w:hAnsi="Shofar"/>
        </w:rPr>
      </w:pPr>
      <w:r>
        <w:rPr>
          <w:rFonts w:ascii="Shofar" w:hAnsi="Shofar"/>
          <w:rtl/>
        </w:rPr>
        <w:t>בית שמאי- לא נפטר.</w:t>
      </w:r>
    </w:p>
    <w:p w:rsidR="00643327" w:rsidRDefault="00B63280">
      <w:pPr>
        <w:rPr>
          <w:rFonts w:ascii="Shofar" w:hAnsi="Shofar"/>
        </w:rPr>
      </w:pPr>
      <w:r>
        <w:rPr>
          <w:rFonts w:ascii="Shofar" w:hAnsi="Shofar"/>
          <w:rtl/>
        </w:rPr>
        <w:t>ברך על מעשה קדרה- יש לדון.</w:t>
      </w:r>
      <w:r>
        <w:rPr>
          <w:rStyle w:val="FootnoteReference"/>
          <w:rFonts w:ascii="Shofar" w:hAnsi="Shofar"/>
          <w:rtl/>
        </w:rPr>
        <w:footnoteReference w:id="186"/>
      </w:r>
    </w:p>
    <w:p w:rsidR="00643327" w:rsidRDefault="00B63280">
      <w:pPr>
        <w:pStyle w:val="Heading1"/>
        <w:rPr>
          <w:rFonts w:ascii="Shofar" w:hAnsi="Shofar" w:cs="Shofar"/>
        </w:rPr>
      </w:pPr>
      <w:bookmarkStart w:id="20" w:name="__RefHeading___Toc90840_2054497345"/>
      <w:bookmarkEnd w:id="20"/>
      <w:r>
        <w:rPr>
          <w:rFonts w:ascii="Shofar" w:hAnsi="Shofar" w:cs="Shofar"/>
          <w:rtl/>
        </w:rPr>
        <w:t>כיצד ברכת אחד פוטר את חבריו.</w:t>
      </w:r>
    </w:p>
    <w:p w:rsidR="00643327" w:rsidRDefault="00B63280">
      <w:pPr>
        <w:rPr>
          <w:rFonts w:ascii="Shofar" w:hAnsi="Shofar"/>
        </w:rPr>
      </w:pPr>
      <w:r>
        <w:rPr>
          <w:rFonts w:ascii="Shofar" w:hAnsi="Shofar"/>
          <w:rtl/>
        </w:rPr>
        <w:t>לפעמים, יכול אחד לברך ולפטור את חבריו מלברך.</w:t>
      </w:r>
      <w:r>
        <w:rPr>
          <w:rStyle w:val="FootnoteReference"/>
          <w:rFonts w:ascii="Shofar" w:hAnsi="Shofar"/>
          <w:rtl/>
        </w:rPr>
        <w:footnoteReference w:id="187"/>
      </w:r>
    </w:p>
    <w:p w:rsidR="00643327" w:rsidRDefault="00B63280" w:rsidP="008A6DF8">
      <w:pPr>
        <w:numPr>
          <w:ilvl w:val="0"/>
          <w:numId w:val="21"/>
        </w:numPr>
        <w:rPr>
          <w:rFonts w:ascii="Shofar" w:hAnsi="Shofar"/>
        </w:rPr>
      </w:pPr>
      <w:r>
        <w:rPr>
          <w:rFonts w:ascii="Shofar" w:hAnsi="Shofar"/>
          <w:rtl/>
        </w:rPr>
        <w:t>לפת:</w:t>
      </w:r>
    </w:p>
    <w:p w:rsidR="00643327" w:rsidRDefault="00B63280" w:rsidP="008A6DF8">
      <w:pPr>
        <w:numPr>
          <w:ilvl w:val="1"/>
          <w:numId w:val="21"/>
        </w:numPr>
        <w:rPr>
          <w:rFonts w:ascii="Shofar" w:hAnsi="Shofar"/>
        </w:rPr>
      </w:pPr>
      <w:r>
        <w:rPr>
          <w:rFonts w:ascii="Shofar" w:hAnsi="Shofar"/>
          <w:rtl/>
        </w:rPr>
        <w:t>אם ישבו ביחד:</w:t>
      </w:r>
    </w:p>
    <w:p w:rsidR="00643327" w:rsidRDefault="00B63280" w:rsidP="008A6DF8">
      <w:pPr>
        <w:numPr>
          <w:ilvl w:val="2"/>
          <w:numId w:val="21"/>
        </w:numPr>
        <w:rPr>
          <w:rFonts w:ascii="Shofar" w:hAnsi="Shofar"/>
        </w:rPr>
      </w:pPr>
      <w:r>
        <w:rPr>
          <w:rFonts w:ascii="Shofar" w:hAnsi="Shofar"/>
          <w:rtl/>
        </w:rPr>
        <w:t>אם אמרו, “נלך למקום זה":</w:t>
      </w:r>
    </w:p>
    <w:p w:rsidR="00643327" w:rsidRDefault="00B63280" w:rsidP="008A6DF8">
      <w:pPr>
        <w:numPr>
          <w:ilvl w:val="3"/>
          <w:numId w:val="21"/>
        </w:numPr>
        <w:rPr>
          <w:rFonts w:ascii="Shofar" w:hAnsi="Shofar"/>
        </w:rPr>
      </w:pPr>
      <w:r>
        <w:rPr>
          <w:rFonts w:ascii="Shofar" w:hAnsi="Shofar"/>
          <w:rtl/>
        </w:rPr>
        <w:t>בתוך הסעודה- לא מהני,</w:t>
      </w:r>
      <w:r>
        <w:rPr>
          <w:rStyle w:val="FootnoteReference"/>
          <w:rFonts w:ascii="Shofar" w:hAnsi="Shofar"/>
          <w:rtl/>
        </w:rPr>
        <w:footnoteReference w:id="188"/>
      </w:r>
      <w:r>
        <w:rPr>
          <w:rFonts w:ascii="Shofar" w:hAnsi="Shofar"/>
          <w:rtl/>
        </w:rPr>
        <w:t xml:space="preserve"> כיון שמכונים על אכילתם, ולא על ברכת חבריהם.</w:t>
      </w:r>
      <w:r>
        <w:rPr>
          <w:rStyle w:val="FootnoteReference"/>
          <w:rFonts w:ascii="Shofar" w:hAnsi="Shofar"/>
          <w:rtl/>
        </w:rPr>
        <w:footnoteReference w:id="189"/>
      </w:r>
    </w:p>
    <w:p w:rsidR="00643327" w:rsidRDefault="00B63280" w:rsidP="008A6DF8">
      <w:pPr>
        <w:numPr>
          <w:ilvl w:val="3"/>
          <w:numId w:val="21"/>
        </w:numPr>
        <w:rPr>
          <w:rFonts w:ascii="Shofar" w:hAnsi="Shofar"/>
        </w:rPr>
      </w:pPr>
      <w:r>
        <w:rPr>
          <w:rFonts w:ascii="Shofar" w:hAnsi="Shofar"/>
          <w:rtl/>
        </w:rPr>
        <w:t>לפני הסעודה או אחר הסעודה- מהני.</w:t>
      </w:r>
      <w:r>
        <w:rPr>
          <w:rStyle w:val="FootnoteReference"/>
          <w:rFonts w:ascii="Shofar" w:hAnsi="Shofar"/>
          <w:rtl/>
        </w:rPr>
        <w:footnoteReference w:id="190"/>
      </w:r>
    </w:p>
    <w:p w:rsidR="00643327" w:rsidRDefault="00B63280" w:rsidP="008A6DF8">
      <w:pPr>
        <w:numPr>
          <w:ilvl w:val="2"/>
          <w:numId w:val="21"/>
        </w:numPr>
        <w:rPr>
          <w:rFonts w:ascii="Shofar" w:hAnsi="Shofar"/>
        </w:rPr>
      </w:pPr>
      <w:r>
        <w:rPr>
          <w:rFonts w:ascii="Shofar" w:hAnsi="Shofar"/>
          <w:rtl/>
        </w:rPr>
        <w:lastRenderedPageBreak/>
        <w:t>אם לא, לא מהני.</w:t>
      </w:r>
      <w:r>
        <w:rPr>
          <w:rStyle w:val="FootnoteReference"/>
          <w:rFonts w:ascii="Shofar" w:hAnsi="Shofar"/>
          <w:rtl/>
        </w:rPr>
        <w:footnoteReference w:id="191"/>
      </w:r>
    </w:p>
    <w:p w:rsidR="00643327" w:rsidRDefault="00B63280" w:rsidP="008A6DF8">
      <w:pPr>
        <w:numPr>
          <w:ilvl w:val="1"/>
          <w:numId w:val="21"/>
        </w:numPr>
        <w:rPr>
          <w:rFonts w:ascii="Shofar" w:hAnsi="Shofar"/>
        </w:rPr>
      </w:pPr>
      <w:r>
        <w:rPr>
          <w:rFonts w:ascii="Shofar" w:hAnsi="Shofar"/>
          <w:rtl/>
        </w:rPr>
        <w:t>אם הסבו ביחד:</w:t>
      </w:r>
    </w:p>
    <w:p w:rsidR="00643327" w:rsidRDefault="00B63280" w:rsidP="008A6DF8">
      <w:pPr>
        <w:numPr>
          <w:ilvl w:val="2"/>
          <w:numId w:val="21"/>
        </w:numPr>
        <w:rPr>
          <w:rFonts w:ascii="Shofar" w:hAnsi="Shofar"/>
        </w:rPr>
      </w:pPr>
      <w:r>
        <w:rPr>
          <w:rFonts w:ascii="Shofar" w:hAnsi="Shofar"/>
          <w:rtl/>
        </w:rPr>
        <w:t>בתוך הסעודה- לא מהני</w:t>
      </w:r>
      <w:r>
        <w:rPr>
          <w:rStyle w:val="FootnoteReference"/>
          <w:rFonts w:ascii="Shofar" w:hAnsi="Shofar"/>
          <w:rtl/>
        </w:rPr>
        <w:footnoteReference w:id="192"/>
      </w:r>
      <w:r>
        <w:rPr>
          <w:rFonts w:ascii="Shofar" w:hAnsi="Shofar"/>
          <w:rtl/>
        </w:rPr>
        <w:t>, כיון שמכונים על אכילתם, ולא על ברכת חבריהם.</w:t>
      </w:r>
      <w:r>
        <w:rPr>
          <w:rStyle w:val="FootnoteReference"/>
          <w:rFonts w:ascii="Shofar" w:hAnsi="Shofar"/>
          <w:rtl/>
        </w:rPr>
        <w:footnoteReference w:id="193"/>
      </w:r>
    </w:p>
    <w:p w:rsidR="00643327" w:rsidRDefault="00B63280" w:rsidP="008A6DF8">
      <w:pPr>
        <w:numPr>
          <w:ilvl w:val="2"/>
          <w:numId w:val="21"/>
        </w:numPr>
        <w:rPr>
          <w:rFonts w:ascii="Shofar" w:hAnsi="Shofar"/>
        </w:rPr>
      </w:pPr>
      <w:r>
        <w:rPr>
          <w:rFonts w:ascii="Shofar" w:hAnsi="Shofar"/>
          <w:rtl/>
        </w:rPr>
        <w:t>לפני הסעודה או אחר הסעודה- מהני.</w:t>
      </w:r>
    </w:p>
    <w:p w:rsidR="00643327" w:rsidRDefault="00B63280" w:rsidP="008A6DF8">
      <w:pPr>
        <w:numPr>
          <w:ilvl w:val="0"/>
          <w:numId w:val="21"/>
        </w:numPr>
        <w:rPr>
          <w:rFonts w:ascii="Shofar" w:hAnsi="Shofar"/>
        </w:rPr>
      </w:pPr>
      <w:r>
        <w:rPr>
          <w:rFonts w:ascii="Shofar" w:hAnsi="Shofar"/>
          <w:rtl/>
        </w:rPr>
        <w:t>ליין:</w:t>
      </w:r>
    </w:p>
    <w:p w:rsidR="00643327" w:rsidRDefault="00B63280" w:rsidP="008A6DF8">
      <w:pPr>
        <w:numPr>
          <w:ilvl w:val="1"/>
          <w:numId w:val="21"/>
        </w:numPr>
        <w:rPr>
          <w:rFonts w:ascii="Shofar" w:hAnsi="Shofar"/>
        </w:rPr>
      </w:pPr>
      <w:r>
        <w:rPr>
          <w:rFonts w:ascii="Shofar" w:hAnsi="Shofar"/>
          <w:rtl/>
        </w:rPr>
        <w:t>רב:</w:t>
      </w:r>
    </w:p>
    <w:p w:rsidR="00643327" w:rsidRDefault="00B63280" w:rsidP="008A6DF8">
      <w:pPr>
        <w:numPr>
          <w:ilvl w:val="2"/>
          <w:numId w:val="21"/>
        </w:numPr>
        <w:rPr>
          <w:rFonts w:ascii="Shofar" w:hAnsi="Shofar"/>
        </w:rPr>
      </w:pPr>
      <w:r>
        <w:rPr>
          <w:rFonts w:ascii="Shofar" w:hAnsi="Shofar"/>
          <w:rtl/>
        </w:rPr>
        <w:t>לשון ראשון:</w:t>
      </w:r>
    </w:p>
    <w:p w:rsidR="00643327" w:rsidRDefault="00B63280" w:rsidP="008A6DF8">
      <w:pPr>
        <w:numPr>
          <w:ilvl w:val="3"/>
          <w:numId w:val="21"/>
        </w:numPr>
        <w:rPr>
          <w:rFonts w:ascii="Shofar" w:hAnsi="Shofar"/>
        </w:rPr>
      </w:pPr>
      <w:r>
        <w:rPr>
          <w:rFonts w:ascii="Shofar" w:hAnsi="Shofar"/>
          <w:rtl/>
        </w:rPr>
        <w:t>אם אחד אורח</w:t>
      </w:r>
      <w:r>
        <w:rPr>
          <w:rStyle w:val="EndnoteReference"/>
          <w:rFonts w:ascii="Shofar" w:hAnsi="Shofar"/>
          <w:rtl/>
        </w:rPr>
        <w:endnoteReference w:id="66"/>
      </w:r>
      <w:r>
        <w:rPr>
          <w:rStyle w:val="EndnoteReference"/>
          <w:rFonts w:ascii="Shofar" w:hAnsi="Shofar"/>
          <w:rtl/>
        </w:rPr>
        <w:endnoteReference w:id="67"/>
      </w:r>
      <w:r>
        <w:rPr>
          <w:rFonts w:ascii="Shofar" w:hAnsi="Shofar"/>
          <w:rtl/>
        </w:rPr>
        <w:t>:</w:t>
      </w:r>
    </w:p>
    <w:p w:rsidR="00643327" w:rsidRDefault="00B63280" w:rsidP="008A6DF8">
      <w:pPr>
        <w:numPr>
          <w:ilvl w:val="4"/>
          <w:numId w:val="21"/>
        </w:numPr>
        <w:rPr>
          <w:rFonts w:ascii="Shofar" w:hAnsi="Shofar"/>
        </w:rPr>
      </w:pPr>
      <w:r>
        <w:rPr>
          <w:rFonts w:ascii="Shofar" w:hAnsi="Shofar"/>
          <w:rtl/>
        </w:rPr>
        <w:t>דינו כדין פת.</w:t>
      </w:r>
      <w:r>
        <w:rPr>
          <w:rStyle w:val="FootnoteReference"/>
          <w:rFonts w:ascii="Shofar" w:hAnsi="Shofar"/>
          <w:rtl/>
        </w:rPr>
        <w:footnoteReference w:id="194"/>
      </w:r>
      <w:r>
        <w:rPr>
          <w:rStyle w:val="FootnoteReference"/>
          <w:rFonts w:ascii="Shofar" w:hAnsi="Shofar"/>
          <w:rtl/>
        </w:rPr>
        <w:footnoteReference w:id="195"/>
      </w:r>
    </w:p>
    <w:p w:rsidR="00643327" w:rsidRDefault="00B63280" w:rsidP="008A6DF8">
      <w:pPr>
        <w:numPr>
          <w:ilvl w:val="3"/>
          <w:numId w:val="21"/>
        </w:numPr>
        <w:rPr>
          <w:rFonts w:ascii="Shofar" w:hAnsi="Shofar"/>
        </w:rPr>
      </w:pPr>
      <w:r>
        <w:rPr>
          <w:rFonts w:ascii="Shofar" w:hAnsi="Shofar"/>
          <w:rtl/>
        </w:rPr>
        <w:t>אם אין אחד אורח</w:t>
      </w:r>
      <w:r>
        <w:rPr>
          <w:rStyle w:val="FootnoteReference"/>
          <w:rFonts w:ascii="Shofar" w:hAnsi="Shofar"/>
          <w:rtl/>
        </w:rPr>
        <w:footnoteReference w:id="196"/>
      </w:r>
      <w:r>
        <w:rPr>
          <w:rFonts w:ascii="Shofar" w:hAnsi="Shofar"/>
          <w:rtl/>
        </w:rPr>
        <w:t>:</w:t>
      </w:r>
    </w:p>
    <w:p w:rsidR="00643327" w:rsidRDefault="00B63280" w:rsidP="008A6DF8">
      <w:pPr>
        <w:numPr>
          <w:ilvl w:val="4"/>
          <w:numId w:val="21"/>
        </w:numPr>
        <w:rPr>
          <w:rFonts w:ascii="Shofar" w:hAnsi="Shofar"/>
        </w:rPr>
      </w:pPr>
      <w:r>
        <w:rPr>
          <w:rFonts w:ascii="Shofar" w:hAnsi="Shofar"/>
          <w:rtl/>
        </w:rPr>
        <w:t>בתוך הסעודה</w:t>
      </w:r>
      <w:r>
        <w:rPr>
          <w:rStyle w:val="EndnoteReference"/>
          <w:rFonts w:ascii="Shofar" w:hAnsi="Shofar"/>
          <w:rtl/>
        </w:rPr>
        <w:endnoteReference w:id="68"/>
      </w:r>
      <w:r>
        <w:rPr>
          <w:rFonts w:ascii="Shofar" w:hAnsi="Shofar"/>
          <w:rtl/>
        </w:rPr>
        <w:t>- לא מהני, כמש"פ.</w:t>
      </w:r>
      <w:r>
        <w:rPr>
          <w:rStyle w:val="FootnoteReference"/>
          <w:rFonts w:ascii="Shofar" w:hAnsi="Shofar"/>
          <w:rtl/>
        </w:rPr>
        <w:footnoteReference w:id="197"/>
      </w:r>
    </w:p>
    <w:p w:rsidR="00643327" w:rsidRDefault="00B63280" w:rsidP="008A6DF8">
      <w:pPr>
        <w:numPr>
          <w:ilvl w:val="4"/>
          <w:numId w:val="21"/>
        </w:numPr>
        <w:rPr>
          <w:rFonts w:ascii="Shofar" w:hAnsi="Shofar"/>
        </w:rPr>
      </w:pPr>
      <w:r>
        <w:rPr>
          <w:rFonts w:ascii="Shofar" w:hAnsi="Shofar"/>
          <w:rtl/>
        </w:rPr>
        <w:t>לפני הסעודה ולאחר הסעודה- מהני, אף אם לא הסב.</w:t>
      </w:r>
      <w:r>
        <w:rPr>
          <w:rStyle w:val="FootnoteReference"/>
          <w:rFonts w:ascii="Shofar" w:hAnsi="Shofar"/>
          <w:rtl/>
        </w:rPr>
        <w:footnoteReference w:id="198"/>
      </w:r>
    </w:p>
    <w:p w:rsidR="00643327" w:rsidRDefault="00B63280" w:rsidP="008A6DF8">
      <w:pPr>
        <w:numPr>
          <w:ilvl w:val="2"/>
          <w:numId w:val="21"/>
        </w:numPr>
        <w:rPr>
          <w:rFonts w:ascii="Shofar" w:hAnsi="Shofar"/>
        </w:rPr>
      </w:pPr>
      <w:r>
        <w:rPr>
          <w:rFonts w:ascii="Shofar" w:hAnsi="Shofar"/>
          <w:rtl/>
        </w:rPr>
        <w:t>לשון שני- לא מהני, אא"כ גם אוכל לחם, שאז דינו כלחם</w:t>
      </w:r>
      <w:r>
        <w:rPr>
          <w:rStyle w:val="FootnoteReference"/>
          <w:rFonts w:ascii="Shofar" w:hAnsi="Shofar"/>
          <w:rtl/>
        </w:rPr>
        <w:footnoteReference w:id="199"/>
      </w:r>
      <w:r>
        <w:rPr>
          <w:rFonts w:ascii="Shofar" w:hAnsi="Shofar"/>
          <w:rtl/>
        </w:rPr>
        <w:t>.</w:t>
      </w:r>
      <w:r>
        <w:rPr>
          <w:rStyle w:val="EndnoteReference"/>
          <w:rFonts w:ascii="Shofar" w:hAnsi="Shofar"/>
          <w:rtl/>
        </w:rPr>
        <w:endnoteReference w:id="69"/>
      </w:r>
    </w:p>
    <w:p w:rsidR="00643327" w:rsidRDefault="00B63280" w:rsidP="008A6DF8">
      <w:pPr>
        <w:numPr>
          <w:ilvl w:val="1"/>
          <w:numId w:val="21"/>
        </w:numPr>
        <w:rPr>
          <w:rFonts w:ascii="Shofar" w:hAnsi="Shofar"/>
        </w:rPr>
      </w:pPr>
      <w:r>
        <w:rPr>
          <w:rFonts w:ascii="Shofar" w:hAnsi="Shofar"/>
          <w:rtl/>
        </w:rPr>
        <w:t>רבי יוחנן- דינו שווה לדין לחם.</w:t>
      </w:r>
      <w:r>
        <w:rPr>
          <w:rStyle w:val="FootnoteReference"/>
          <w:rFonts w:ascii="Shofar" w:hAnsi="Shofar"/>
          <w:rtl/>
        </w:rPr>
        <w:footnoteReference w:id="200"/>
      </w:r>
    </w:p>
    <w:p w:rsidR="00643327" w:rsidRDefault="00B63280">
      <w:pPr>
        <w:pStyle w:val="Heading1"/>
        <w:rPr>
          <w:rFonts w:ascii="Shofar" w:hAnsi="Shofar" w:cs="Shofar"/>
        </w:rPr>
      </w:pPr>
      <w:bookmarkStart w:id="21" w:name="__RefHeading___Toc90842_2054497345"/>
      <w:bookmarkEnd w:id="21"/>
      <w:r>
        <w:rPr>
          <w:rFonts w:ascii="Shofar" w:hAnsi="Shofar" w:cs="Shofar"/>
          <w:rtl/>
        </w:rPr>
        <w:t>סדר ברכות</w:t>
      </w:r>
    </w:p>
    <w:p w:rsidR="00643327" w:rsidRDefault="00B63280">
      <w:pPr>
        <w:rPr>
          <w:rFonts w:ascii="Shofar" w:hAnsi="Shofar"/>
        </w:rPr>
      </w:pPr>
      <w:r>
        <w:rPr>
          <w:rFonts w:ascii="Shofar" w:hAnsi="Shofar"/>
          <w:rtl/>
        </w:rPr>
        <w:t xml:space="preserve">לפעמים, צריכים לדון איזה ברכה לברך ראשון ואיזה לברך שני. גמ’ נותן כלל </w:t>
      </w:r>
      <w:r>
        <w:rPr>
          <w:rFonts w:ascii="Shofar" w:hAnsi="Shofar"/>
          <w:b/>
          <w:bCs/>
          <w:rtl/>
        </w:rPr>
        <w:t>אחד</w:t>
      </w:r>
      <w:r>
        <w:rPr>
          <w:rFonts w:ascii="Shofar" w:hAnsi="Shofar"/>
          <w:rtl/>
        </w:rPr>
        <w:t>:</w:t>
      </w:r>
    </w:p>
    <w:p w:rsidR="00643327" w:rsidRDefault="00B63280" w:rsidP="008A6DF8">
      <w:pPr>
        <w:numPr>
          <w:ilvl w:val="0"/>
          <w:numId w:val="22"/>
        </w:numPr>
        <w:rPr>
          <w:rFonts w:ascii="Shofar" w:hAnsi="Shofar"/>
        </w:rPr>
      </w:pPr>
      <w:r>
        <w:rPr>
          <w:rFonts w:ascii="Shofar" w:hAnsi="Shofar"/>
          <w:rtl/>
        </w:rPr>
        <w:t>מצדד גמ’ שחולקים רבי יהודה ורבנן אם מברכים ראשון על אחד משבעה המינים או על מה שרוצה.</w:t>
      </w:r>
      <w:r>
        <w:rPr>
          <w:rStyle w:val="FootnoteReference"/>
          <w:rFonts w:ascii="Shofar" w:hAnsi="Shofar"/>
          <w:rtl/>
        </w:rPr>
        <w:footnoteReference w:id="201"/>
      </w:r>
    </w:p>
    <w:p w:rsidR="00643327" w:rsidRDefault="00B63280">
      <w:pPr>
        <w:rPr>
          <w:rFonts w:ascii="Shofar" w:hAnsi="Shofar"/>
        </w:rPr>
      </w:pPr>
      <w:r>
        <w:rPr>
          <w:rFonts w:ascii="Shofar" w:hAnsi="Shofar"/>
          <w:rtl/>
        </w:rPr>
        <w:t>לפעמים, מברך ברכה אחת על שניהם, וצריך לדון איזה קודם. כאן מצאנו כמה כללים.</w:t>
      </w:r>
      <w:r>
        <w:rPr>
          <w:rStyle w:val="EndnoteReference"/>
          <w:rFonts w:ascii="Shofar" w:hAnsi="Shofar"/>
          <w:rtl/>
        </w:rPr>
        <w:endnoteReference w:id="70"/>
      </w:r>
      <w:r>
        <w:rPr>
          <w:rFonts w:ascii="Shofar" w:hAnsi="Shofar"/>
          <w:rtl/>
        </w:rPr>
        <w:t>:</w:t>
      </w:r>
    </w:p>
    <w:p w:rsidR="00643327" w:rsidRDefault="00B63280" w:rsidP="008A6DF8">
      <w:pPr>
        <w:numPr>
          <w:ilvl w:val="0"/>
          <w:numId w:val="23"/>
        </w:numPr>
        <w:rPr>
          <w:rFonts w:ascii="Shofar" w:hAnsi="Shofar"/>
        </w:rPr>
      </w:pPr>
      <w:r>
        <w:rPr>
          <w:rFonts w:ascii="Shofar" w:hAnsi="Shofar"/>
          <w:rtl/>
        </w:rPr>
        <w:t>מצדד גמ’ שחול’ רבי יהודה ורבנן אם מברכים ראשון על אחד משבעת המינים או על מה שרוצה.</w:t>
      </w:r>
      <w:r>
        <w:rPr>
          <w:rStyle w:val="FootnoteReference"/>
          <w:rFonts w:ascii="Shofar" w:hAnsi="Shofar"/>
          <w:rtl/>
        </w:rPr>
        <w:footnoteReference w:id="202"/>
      </w:r>
    </w:p>
    <w:p w:rsidR="00643327" w:rsidRDefault="00B63280" w:rsidP="008A6DF8">
      <w:pPr>
        <w:numPr>
          <w:ilvl w:val="0"/>
          <w:numId w:val="23"/>
        </w:numPr>
        <w:rPr>
          <w:rFonts w:ascii="Shofar" w:hAnsi="Shofar"/>
        </w:rPr>
      </w:pPr>
      <w:r>
        <w:rPr>
          <w:rFonts w:ascii="Shofar" w:hAnsi="Shofar"/>
          <w:rtl/>
        </w:rPr>
        <w:t>חולקים אם יברך על חתיכה היותר גדול או על שלם</w:t>
      </w:r>
      <w:r>
        <w:rPr>
          <w:rStyle w:val="FootnoteReference"/>
          <w:rFonts w:ascii="Shofar" w:hAnsi="Shofar"/>
          <w:rtl/>
        </w:rPr>
        <w:footnoteReference w:id="203"/>
      </w:r>
      <w:r>
        <w:rPr>
          <w:rFonts w:ascii="Shofar" w:hAnsi="Shofar"/>
          <w:rtl/>
        </w:rPr>
        <w:t>.</w:t>
      </w:r>
      <w:r>
        <w:rPr>
          <w:rStyle w:val="FootnoteReference"/>
          <w:rFonts w:ascii="Shofar" w:hAnsi="Shofar"/>
          <w:rtl/>
        </w:rPr>
        <w:footnoteReference w:id="204"/>
      </w:r>
    </w:p>
    <w:p w:rsidR="00643327" w:rsidRDefault="00B63280" w:rsidP="008A6DF8">
      <w:pPr>
        <w:numPr>
          <w:ilvl w:val="0"/>
          <w:numId w:val="23"/>
        </w:numPr>
        <w:rPr>
          <w:rFonts w:ascii="Shofar" w:hAnsi="Shofar"/>
        </w:rPr>
      </w:pPr>
      <w:r>
        <w:rPr>
          <w:rFonts w:ascii="Shofar" w:hAnsi="Shofar"/>
          <w:rtl/>
        </w:rPr>
        <w:t>חולקים בסדר שבעת המינים. רב יוסף אומר שהסדר הוא כך: חטה, זית, שעורה,, תמר, גפן, תאנה, רמון</w:t>
      </w:r>
      <w:r>
        <w:rPr>
          <w:rStyle w:val="EndnoteReference"/>
          <w:rFonts w:ascii="Shofar" w:hAnsi="Shofar"/>
          <w:rtl/>
        </w:rPr>
        <w:endnoteReference w:id="71"/>
      </w:r>
      <w:r>
        <w:rPr>
          <w:rFonts w:ascii="Shofar" w:hAnsi="Shofar"/>
          <w:rtl/>
        </w:rPr>
        <w:t>.</w:t>
      </w:r>
      <w:r>
        <w:rPr>
          <w:rStyle w:val="FootnoteReference"/>
          <w:rFonts w:ascii="Shofar" w:hAnsi="Shofar"/>
          <w:rtl/>
        </w:rPr>
        <w:footnoteReference w:id="205"/>
      </w:r>
      <w:r>
        <w:rPr>
          <w:rFonts w:ascii="Shofar" w:hAnsi="Shofar"/>
          <w:rtl/>
        </w:rPr>
        <w:t xml:space="preserve"> רב חנן אומר שאין סדר.</w:t>
      </w:r>
      <w:r>
        <w:rPr>
          <w:rStyle w:val="FootnoteReference"/>
          <w:rFonts w:ascii="Shofar" w:hAnsi="Shofar"/>
          <w:rtl/>
        </w:rPr>
        <w:footnoteReference w:id="206"/>
      </w:r>
      <w:r>
        <w:rPr>
          <w:rStyle w:val="FootnoteReference"/>
          <w:rFonts w:ascii="Shofar" w:hAnsi="Shofar"/>
          <w:rtl/>
        </w:rPr>
        <w:footnoteReference w:id="207"/>
      </w:r>
    </w:p>
    <w:p w:rsidR="00643327" w:rsidRDefault="00B63280">
      <w:pPr>
        <w:pStyle w:val="Heading1"/>
        <w:rPr>
          <w:rFonts w:ascii="Shofar" w:hAnsi="Shofar" w:cs="Shofar"/>
        </w:rPr>
      </w:pPr>
      <w:bookmarkStart w:id="22" w:name="__RefHeading___Toc107164_2054497345"/>
      <w:bookmarkEnd w:id="22"/>
      <w:r>
        <w:rPr>
          <w:rFonts w:ascii="Shofar" w:hAnsi="Shofar" w:cs="Shofar"/>
          <w:rtl/>
        </w:rPr>
        <w:t>ברכות הריח:</w:t>
      </w:r>
    </w:p>
    <w:p w:rsidR="00643327" w:rsidRDefault="00B63280">
      <w:pPr>
        <w:rPr>
          <w:rFonts w:ascii="Shofar" w:hAnsi="Shofar"/>
        </w:rPr>
      </w:pPr>
      <w:r>
        <w:rPr>
          <w:rFonts w:ascii="Shofar" w:hAnsi="Shofar"/>
          <w:rtl/>
        </w:rPr>
        <w:t>מברכים על ריח טוב. סומכים את זה על מש"כ, “כל הנשמה תהלל יה,” שואמר לברך על דבר שיש בו הנאה לנשמה בלבד, שוהא ריח</w:t>
      </w:r>
      <w:r>
        <w:rPr>
          <w:rStyle w:val="FootnoteReference"/>
          <w:rFonts w:ascii="Shofar" w:hAnsi="Shofar"/>
          <w:rtl/>
        </w:rPr>
        <w:footnoteReference w:id="208"/>
      </w:r>
      <w:r>
        <w:rPr>
          <w:rFonts w:ascii="Shofar" w:hAnsi="Shofar"/>
          <w:rtl/>
        </w:rPr>
        <w:t>. יש כמה ברכות שנאמרו לברכות הריח:</w:t>
      </w:r>
    </w:p>
    <w:p w:rsidR="00643327" w:rsidRDefault="00B63280">
      <w:pPr>
        <w:pStyle w:val="Heading2"/>
        <w:rPr>
          <w:rFonts w:ascii="Shofar" w:hAnsi="Shofar" w:cs="Shofar"/>
        </w:rPr>
      </w:pPr>
      <w:bookmarkStart w:id="23" w:name="__RefHeading___Toc107166_2054497345"/>
      <w:bookmarkEnd w:id="23"/>
      <w:r>
        <w:rPr>
          <w:rFonts w:ascii="Shofar" w:hAnsi="Shofar" w:cs="Shofar"/>
          <w:rtl/>
        </w:rPr>
        <w:t>בורא עצי בשמים:</w:t>
      </w:r>
    </w:p>
    <w:p w:rsidR="00643327" w:rsidRDefault="00B63280">
      <w:pPr>
        <w:rPr>
          <w:rFonts w:ascii="Shofar" w:hAnsi="Shofar"/>
        </w:rPr>
      </w:pPr>
      <w:r>
        <w:rPr>
          <w:rFonts w:ascii="Shofar" w:hAnsi="Shofar"/>
          <w:rtl/>
        </w:rPr>
        <w:t xml:space="preserve">מברך זה על כל עץ שנותן ריח טוב. יש </w:t>
      </w:r>
      <w:r>
        <w:rPr>
          <w:rFonts w:ascii="Shofar" w:hAnsi="Shofar"/>
          <w:b/>
          <w:bCs/>
          <w:rtl/>
        </w:rPr>
        <w:t>ארבע</w:t>
      </w:r>
      <w:r>
        <w:rPr>
          <w:rFonts w:ascii="Shofar" w:hAnsi="Shofar"/>
          <w:rtl/>
        </w:rPr>
        <w:t xml:space="preserve"> מינים:</w:t>
      </w:r>
    </w:p>
    <w:p w:rsidR="00643327" w:rsidRDefault="00B63280" w:rsidP="008A6DF8">
      <w:pPr>
        <w:numPr>
          <w:ilvl w:val="0"/>
          <w:numId w:val="29"/>
        </w:numPr>
        <w:rPr>
          <w:rFonts w:ascii="Shofar" w:hAnsi="Shofar"/>
        </w:rPr>
      </w:pPr>
      <w:r>
        <w:rPr>
          <w:rFonts w:ascii="Shofar" w:hAnsi="Shofar"/>
          <w:rtl/>
        </w:rPr>
        <w:t>עצים נותנים ריח בפני עצמם. אז, ברכתו בורא עצי בשמים.</w:t>
      </w:r>
    </w:p>
    <w:p w:rsidR="00643327" w:rsidRDefault="00B63280" w:rsidP="008A6DF8">
      <w:pPr>
        <w:numPr>
          <w:ilvl w:val="0"/>
          <w:numId w:val="29"/>
        </w:numPr>
        <w:rPr>
          <w:rFonts w:ascii="Shofar" w:hAnsi="Shofar"/>
        </w:rPr>
      </w:pPr>
      <w:r>
        <w:rPr>
          <w:rFonts w:ascii="Shofar" w:hAnsi="Shofar"/>
          <w:rtl/>
        </w:rPr>
        <w:lastRenderedPageBreak/>
        <w:t>עצים נותנים ריח כשעושה אותם מוגמר (כשמעשן אותם). בזה, ר"ח סובר שמברכים בורא עצי בשמים, וגמ’ דוחה שיטתו מבריי’.</w:t>
      </w:r>
    </w:p>
    <w:p w:rsidR="00643327" w:rsidRDefault="00B63280" w:rsidP="008A6DF8">
      <w:pPr>
        <w:numPr>
          <w:ilvl w:val="0"/>
          <w:numId w:val="29"/>
        </w:numPr>
        <w:rPr>
          <w:rFonts w:ascii="Shofar" w:hAnsi="Shofar"/>
        </w:rPr>
      </w:pPr>
      <w:r>
        <w:rPr>
          <w:rFonts w:ascii="Shofar" w:hAnsi="Shofar"/>
          <w:rtl/>
        </w:rPr>
        <w:t>עצים שנכבשים בשמן</w:t>
      </w:r>
      <w:r>
        <w:rPr>
          <w:rStyle w:val="EndnoteReference"/>
          <w:rFonts w:ascii="Shofar" w:hAnsi="Shofar"/>
          <w:rtl/>
        </w:rPr>
        <w:endnoteReference w:id="72"/>
      </w:r>
      <w:r>
        <w:rPr>
          <w:rFonts w:ascii="Shofar" w:hAnsi="Shofar"/>
          <w:rtl/>
        </w:rPr>
        <w:t>. רב כהנא ונהרדעי אומרים שמברכים עליו בורא עצי בשמים, וראב"א חולק.</w:t>
      </w:r>
    </w:p>
    <w:p w:rsidR="00643327" w:rsidRDefault="00B63280" w:rsidP="008A6DF8">
      <w:pPr>
        <w:numPr>
          <w:ilvl w:val="0"/>
          <w:numId w:val="29"/>
        </w:numPr>
        <w:rPr>
          <w:rFonts w:ascii="Shofar" w:hAnsi="Shofar"/>
        </w:rPr>
      </w:pPr>
      <w:r>
        <w:rPr>
          <w:rFonts w:ascii="Shofar" w:hAnsi="Shofar"/>
          <w:rtl/>
        </w:rPr>
        <w:t>עצים שנטחנים לתוך שמן. נהרדעי אומרים שמברכים עליו בורא עצי בשמים, ור"כ וראב"א חולק.</w:t>
      </w:r>
      <w:r>
        <w:rPr>
          <w:rStyle w:val="FootnoteReference"/>
          <w:rFonts w:ascii="Shofar" w:hAnsi="Shofar"/>
          <w:rtl/>
        </w:rPr>
        <w:footnoteReference w:id="209"/>
      </w:r>
    </w:p>
    <w:p w:rsidR="00643327" w:rsidRDefault="00B63280">
      <w:pPr>
        <w:rPr>
          <w:rFonts w:ascii="Shofar" w:hAnsi="Shofar"/>
        </w:rPr>
      </w:pPr>
      <w:r>
        <w:rPr>
          <w:rFonts w:ascii="Shofar" w:hAnsi="Shofar"/>
          <w:rtl/>
        </w:rPr>
        <w:t>גמ’ מז’ (מג., מג:) כמה ציורים.</w:t>
      </w:r>
    </w:p>
    <w:p w:rsidR="00643327" w:rsidRDefault="00B63280">
      <w:pPr>
        <w:pStyle w:val="Heading2"/>
        <w:rPr>
          <w:rFonts w:ascii="Shofar" w:hAnsi="Shofar" w:cs="Shofar"/>
        </w:rPr>
      </w:pPr>
      <w:bookmarkStart w:id="24" w:name="__RefHeading___Toc107168_2054497345"/>
      <w:bookmarkEnd w:id="24"/>
      <w:r>
        <w:rPr>
          <w:rFonts w:ascii="Shofar" w:hAnsi="Shofar" w:cs="Shofar"/>
          <w:rtl/>
        </w:rPr>
        <w:t>בורא עשבי בשמים:</w:t>
      </w:r>
    </w:p>
    <w:p w:rsidR="00643327" w:rsidRDefault="00B63280">
      <w:pPr>
        <w:rPr>
          <w:rFonts w:ascii="Shofar" w:hAnsi="Shofar"/>
        </w:rPr>
      </w:pPr>
      <w:r>
        <w:rPr>
          <w:rFonts w:ascii="Shofar" w:hAnsi="Shofar"/>
          <w:rtl/>
        </w:rPr>
        <w:t>מברך זה על עשבים שנותנים ריח טוב.</w:t>
      </w:r>
      <w:r>
        <w:rPr>
          <w:rStyle w:val="EndnoteReference"/>
          <w:rFonts w:ascii="Shofar" w:hAnsi="Shofar"/>
          <w:rtl/>
        </w:rPr>
        <w:endnoteReference w:id="73"/>
      </w:r>
    </w:p>
    <w:p w:rsidR="00643327" w:rsidRDefault="00B63280">
      <w:pPr>
        <w:rPr>
          <w:rFonts w:ascii="Shofar" w:hAnsi="Shofar"/>
        </w:rPr>
      </w:pPr>
      <w:r>
        <w:rPr>
          <w:rFonts w:ascii="Shofar" w:hAnsi="Shofar"/>
          <w:rtl/>
        </w:rPr>
        <w:t>גמ’ מז’ (מג:) כמה ציורים.</w:t>
      </w:r>
    </w:p>
    <w:p w:rsidR="00643327" w:rsidRDefault="00B63280">
      <w:pPr>
        <w:pStyle w:val="Heading2"/>
        <w:rPr>
          <w:rFonts w:ascii="Shofar" w:hAnsi="Shofar" w:cs="Shofar"/>
        </w:rPr>
      </w:pPr>
      <w:bookmarkStart w:id="25" w:name="__RefHeading___Toc107170_2054497345"/>
      <w:bookmarkEnd w:id="25"/>
      <w:r>
        <w:rPr>
          <w:rFonts w:ascii="Shofar" w:hAnsi="Shofar" w:cs="Shofar"/>
          <w:rtl/>
        </w:rPr>
        <w:t>בורא מיני בשמים:</w:t>
      </w:r>
    </w:p>
    <w:p w:rsidR="00643327" w:rsidRDefault="00B63280">
      <w:pPr>
        <w:rPr>
          <w:rFonts w:ascii="Shofar" w:hAnsi="Shofar"/>
        </w:rPr>
      </w:pPr>
      <w:r>
        <w:rPr>
          <w:rFonts w:ascii="Shofar" w:hAnsi="Shofar"/>
          <w:rtl/>
        </w:rPr>
        <w:t>לכאו’, מברך זה על מה שאינו נכנס לכלל שאר ברכות. גמ’ מזכיר רק ציור אחת (מג.).</w:t>
      </w:r>
    </w:p>
    <w:p w:rsidR="00643327" w:rsidRDefault="00B63280">
      <w:pPr>
        <w:pStyle w:val="Heading2"/>
        <w:rPr>
          <w:rFonts w:ascii="Shofar" w:hAnsi="Shofar" w:cs="Shofar"/>
        </w:rPr>
      </w:pPr>
      <w:bookmarkStart w:id="26" w:name="__RefHeading___Toc107172_2054497345"/>
      <w:bookmarkEnd w:id="26"/>
      <w:r>
        <w:rPr>
          <w:rFonts w:ascii="Shofar" w:hAnsi="Shofar" w:cs="Shofar"/>
          <w:rtl/>
        </w:rPr>
        <w:t>בורא שמן ערב:</w:t>
      </w:r>
    </w:p>
    <w:p w:rsidR="00643327" w:rsidRDefault="00B63280">
      <w:pPr>
        <w:rPr>
          <w:rFonts w:ascii="Shofar" w:hAnsi="Shofar"/>
        </w:rPr>
      </w:pPr>
      <w:r>
        <w:rPr>
          <w:rFonts w:ascii="Shofar" w:hAnsi="Shofar"/>
          <w:rtl/>
        </w:rPr>
        <w:t>מברכים את זה על שמן שריחו נאה. צריך לדון בזה.</w:t>
      </w:r>
      <w:r>
        <w:rPr>
          <w:rStyle w:val="EndnoteReference"/>
          <w:rFonts w:ascii="Shofar" w:hAnsi="Shofar"/>
          <w:rtl/>
        </w:rPr>
        <w:endnoteReference w:id="74"/>
      </w:r>
    </w:p>
    <w:p w:rsidR="00643327" w:rsidRDefault="00B63280">
      <w:pPr>
        <w:rPr>
          <w:rFonts w:ascii="Shofar" w:hAnsi="Shofar"/>
        </w:rPr>
      </w:pPr>
      <w:r>
        <w:rPr>
          <w:rFonts w:ascii="Shofar" w:hAnsi="Shofar"/>
          <w:rtl/>
        </w:rPr>
        <w:t>גמ’ נותן ציורים של זה (מג.).</w:t>
      </w:r>
    </w:p>
    <w:p w:rsidR="00643327" w:rsidRDefault="00B63280">
      <w:pPr>
        <w:pStyle w:val="Heading2"/>
        <w:rPr>
          <w:rFonts w:ascii="Shofar" w:hAnsi="Shofar" w:cs="Shofar"/>
        </w:rPr>
      </w:pPr>
      <w:bookmarkStart w:id="27" w:name="__RefHeading___Toc107174_2054497345"/>
      <w:bookmarkEnd w:id="27"/>
      <w:r>
        <w:rPr>
          <w:rFonts w:ascii="Shofar" w:hAnsi="Shofar" w:cs="Shofar"/>
          <w:rtl/>
        </w:rPr>
        <w:t>נותן ריח טוב בפירות:</w:t>
      </w:r>
    </w:p>
    <w:p w:rsidR="00643327" w:rsidRDefault="00B63280">
      <w:pPr>
        <w:rPr>
          <w:rFonts w:ascii="Shofar" w:hAnsi="Shofar"/>
        </w:rPr>
      </w:pPr>
      <w:r>
        <w:rPr>
          <w:rFonts w:ascii="Shofar" w:hAnsi="Shofar"/>
          <w:rtl/>
        </w:rPr>
        <w:t>מברכים את זה על פרי שריחו נאה.</w:t>
      </w:r>
      <w:r>
        <w:rPr>
          <w:rStyle w:val="EndnoteReference"/>
          <w:rFonts w:ascii="Shofar" w:hAnsi="Shofar"/>
          <w:rtl/>
        </w:rPr>
        <w:endnoteReference w:id="75"/>
      </w:r>
    </w:p>
    <w:p w:rsidR="00643327" w:rsidRDefault="00B63280">
      <w:pPr>
        <w:rPr>
          <w:rFonts w:ascii="Shofar" w:hAnsi="Shofar"/>
        </w:rPr>
      </w:pPr>
      <w:r>
        <w:rPr>
          <w:rFonts w:ascii="Shofar" w:hAnsi="Shofar"/>
          <w:rtl/>
        </w:rPr>
        <w:t>גמ’ נותן (מג:) ציורים לזה.</w:t>
      </w:r>
    </w:p>
    <w:p w:rsidR="00643327" w:rsidRDefault="00B63280">
      <w:pPr>
        <w:pStyle w:val="Heading2"/>
        <w:rPr>
          <w:rFonts w:ascii="Shofar" w:hAnsi="Shofar" w:cs="Shofar"/>
        </w:rPr>
      </w:pPr>
      <w:bookmarkStart w:id="28" w:name="__RefHeading___Toc107176_2054497345"/>
      <w:bookmarkEnd w:id="28"/>
      <w:r>
        <w:rPr>
          <w:rFonts w:ascii="Shofar" w:hAnsi="Shofar" w:cs="Shofar"/>
          <w:rtl/>
        </w:rPr>
        <w:t>סדר הברכות:</w:t>
      </w:r>
    </w:p>
    <w:p w:rsidR="00643327" w:rsidRDefault="00B63280">
      <w:pPr>
        <w:rPr>
          <w:rFonts w:ascii="Shofar" w:hAnsi="Shofar"/>
          <w:rtl/>
        </w:rPr>
      </w:pPr>
      <w:r>
        <w:rPr>
          <w:rFonts w:ascii="Shofar" w:hAnsi="Shofar"/>
          <w:rtl/>
        </w:rPr>
        <w:t>חול’ ב"ש וב"ה אם מברכים על שמן שבו רוחצים ידיו ראשון או הדס ראשון. הל’ כב"ש, שמכריע ר"ג כמותו, כיון שיש הנאת ריח וסיכה ממנו.</w:t>
      </w:r>
      <w:r>
        <w:rPr>
          <w:rStyle w:val="FootnoteReference"/>
          <w:rFonts w:ascii="Shofar" w:hAnsi="Shofar"/>
          <w:rtl/>
        </w:rPr>
        <w:footnoteReference w:id="210"/>
      </w:r>
      <w:r>
        <w:rPr>
          <w:rStyle w:val="EndnoteReference"/>
          <w:rFonts w:ascii="Shofar" w:hAnsi="Shofar"/>
          <w:rtl/>
        </w:rPr>
        <w:endnoteReference w:id="76"/>
      </w:r>
      <w:r>
        <w:rPr>
          <w:rStyle w:val="EndnoteReference"/>
          <w:rFonts w:ascii="Shofar" w:hAnsi="Shofar"/>
          <w:rtl/>
        </w:rPr>
        <w:endnoteReference w:id="77"/>
      </w:r>
    </w:p>
    <w:p w:rsidR="00864A98" w:rsidRDefault="00864A98" w:rsidP="00864A98">
      <w:pPr>
        <w:pStyle w:val="Heading1"/>
        <w:rPr>
          <w:rtl/>
        </w:rPr>
      </w:pPr>
      <w:r>
        <w:rPr>
          <w:rFonts w:hint="cs"/>
          <w:rtl/>
        </w:rPr>
        <w:t>כוונת ברכות:</w:t>
      </w:r>
    </w:p>
    <w:p w:rsidR="00864A98" w:rsidRDefault="00864A98" w:rsidP="00864A98">
      <w:pPr>
        <w:rPr>
          <w:rFonts w:ascii="Shofar" w:hAnsi="Shofar"/>
          <w:rtl/>
        </w:rPr>
      </w:pPr>
      <w:r>
        <w:rPr>
          <w:rFonts w:ascii="Shofar" w:hAnsi="Shofar" w:hint="cs"/>
          <w:rtl/>
        </w:rPr>
        <w:t xml:space="preserve">ברכות לא צריכים כוונה. יש </w:t>
      </w:r>
      <w:r w:rsidRPr="00F74837">
        <w:rPr>
          <w:rFonts w:ascii="Shofar" w:hAnsi="Shofar" w:hint="cs"/>
          <w:b/>
          <w:bCs/>
          <w:rtl/>
        </w:rPr>
        <w:t>שלש</w:t>
      </w:r>
      <w:r w:rsidR="00F74837">
        <w:rPr>
          <w:rFonts w:ascii="Shofar" w:hAnsi="Shofar" w:hint="cs"/>
          <w:b/>
          <w:bCs/>
          <w:rtl/>
        </w:rPr>
        <w:t>ה</w:t>
      </w:r>
      <w:r>
        <w:rPr>
          <w:rFonts w:ascii="Shofar" w:hAnsi="Shofar" w:hint="cs"/>
          <w:rtl/>
        </w:rPr>
        <w:t xml:space="preserve"> יוצאים מן הכלל:</w:t>
      </w:r>
    </w:p>
    <w:p w:rsidR="00864A98" w:rsidRDefault="00864A98" w:rsidP="008A6DF8">
      <w:pPr>
        <w:pStyle w:val="ListParagraph"/>
        <w:numPr>
          <w:ilvl w:val="0"/>
          <w:numId w:val="51"/>
        </w:numPr>
        <w:rPr>
          <w:rFonts w:ascii="Shofar" w:hAnsi="Shofar"/>
        </w:rPr>
      </w:pPr>
      <w:r>
        <w:rPr>
          <w:rFonts w:ascii="Shofar" w:hAnsi="Shofar" w:hint="cs"/>
          <w:rtl/>
        </w:rPr>
        <w:t xml:space="preserve">צריך לכוון בברכה ראשונה שבתפלת שמונת עשרה. שם, הכוונה </w:t>
      </w:r>
      <w:r w:rsidR="00297B7C">
        <w:rPr>
          <w:rFonts w:ascii="Shofar" w:hAnsi="Shofar" w:hint="cs"/>
          <w:rtl/>
        </w:rPr>
        <w:t>הוא</w:t>
      </w:r>
      <w:r>
        <w:rPr>
          <w:rFonts w:ascii="Shofar" w:hAnsi="Shofar" w:hint="cs"/>
          <w:rtl/>
        </w:rPr>
        <w:t xml:space="preserve"> פירוש המילים</w:t>
      </w:r>
      <w:r w:rsidR="00297B7C">
        <w:rPr>
          <w:rStyle w:val="FootnoteReference"/>
          <w:rFonts w:ascii="Shofar" w:hAnsi="Shofar"/>
          <w:rtl/>
        </w:rPr>
        <w:footnoteReference w:id="211"/>
      </w:r>
      <w:r>
        <w:rPr>
          <w:rFonts w:ascii="Shofar" w:hAnsi="Shofar" w:hint="cs"/>
          <w:rtl/>
        </w:rPr>
        <w:t>.</w:t>
      </w:r>
      <w:r w:rsidR="00297B7C">
        <w:rPr>
          <w:rStyle w:val="FootnoteReference"/>
          <w:rFonts w:ascii="Shofar" w:hAnsi="Shofar"/>
          <w:rtl/>
        </w:rPr>
        <w:footnoteReference w:id="212"/>
      </w:r>
    </w:p>
    <w:p w:rsidR="00F74837" w:rsidRDefault="00F74837" w:rsidP="008A6DF8">
      <w:pPr>
        <w:pStyle w:val="ListParagraph"/>
        <w:numPr>
          <w:ilvl w:val="0"/>
          <w:numId w:val="51"/>
        </w:numPr>
        <w:rPr>
          <w:rFonts w:ascii="Shofar" w:hAnsi="Shofar" w:hint="cs"/>
        </w:rPr>
      </w:pPr>
      <w:r>
        <w:rPr>
          <w:rFonts w:ascii="Shofar" w:hAnsi="Shofar" w:hint="cs"/>
          <w:rtl/>
        </w:rPr>
        <w:t>בכל ברכה, מסו</w:t>
      </w:r>
      <w:r w:rsidR="005C5151">
        <w:rPr>
          <w:rFonts w:ascii="Shofar" w:hAnsi="Shofar" w:hint="cs"/>
          <w:rtl/>
        </w:rPr>
        <w:t>פק גמ' אם מהני אם, בשעה שמזכיר שם ה' או מלכות, חושב לברך ברכה אחרת</w:t>
      </w:r>
      <w:r>
        <w:rPr>
          <w:rStyle w:val="FootnoteReference"/>
          <w:rFonts w:ascii="Shofar" w:hAnsi="Shofar"/>
          <w:rtl/>
        </w:rPr>
        <w:footnoteReference w:id="213"/>
      </w:r>
      <w:r w:rsidR="005C5151">
        <w:rPr>
          <w:rFonts w:ascii="Shofar" w:hAnsi="Shofar" w:hint="cs"/>
          <w:rtl/>
        </w:rPr>
        <w:t xml:space="preserve"> שלא מהני לברכה שצריך.</w:t>
      </w:r>
      <w:r w:rsidR="00FB1C2F">
        <w:rPr>
          <w:rStyle w:val="FootnoteReference"/>
          <w:rFonts w:ascii="Shofar" w:hAnsi="Shofar"/>
          <w:rtl/>
        </w:rPr>
        <w:footnoteReference w:id="214"/>
      </w:r>
    </w:p>
    <w:p w:rsidR="005C5151" w:rsidRPr="00864A98" w:rsidRDefault="005C5151" w:rsidP="008A6DF8">
      <w:pPr>
        <w:pStyle w:val="ListParagraph"/>
        <w:numPr>
          <w:ilvl w:val="0"/>
          <w:numId w:val="51"/>
        </w:numPr>
        <w:rPr>
          <w:rFonts w:ascii="Shofar" w:hAnsi="Shofar"/>
        </w:rPr>
      </w:pPr>
      <w:r>
        <w:rPr>
          <w:rFonts w:ascii="Shofar" w:hAnsi="Shofar" w:hint="cs"/>
          <w:rtl/>
        </w:rPr>
        <w:t>לכאו', אם מצוות צריכות כוונה, אז כל ברכה שהיא מצווה צריכה כוונה לצאת.</w:t>
      </w:r>
      <w:r>
        <w:rPr>
          <w:rStyle w:val="FootnoteReference"/>
          <w:rFonts w:ascii="Shofar" w:hAnsi="Shofar"/>
          <w:rtl/>
        </w:rPr>
        <w:footnoteReference w:id="215"/>
      </w:r>
    </w:p>
    <w:p w:rsidR="00643327" w:rsidRDefault="00B63280">
      <w:pPr>
        <w:pStyle w:val="Heading1"/>
        <w:rPr>
          <w:rFonts w:ascii="Shofar" w:hAnsi="Shofar" w:cs="Shofar"/>
        </w:rPr>
      </w:pPr>
      <w:bookmarkStart w:id="29" w:name="__RefHeading___Toc90844_2054497345"/>
      <w:bookmarkEnd w:id="29"/>
      <w:r>
        <w:rPr>
          <w:rFonts w:ascii="Shofar" w:hAnsi="Shofar" w:cs="Shofar"/>
          <w:rtl/>
        </w:rPr>
        <w:t>ביאור משנה בנדה:</w:t>
      </w:r>
    </w:p>
    <w:p w:rsidR="00643327" w:rsidRDefault="00B63280">
      <w:pPr>
        <w:rPr>
          <w:rFonts w:ascii="Shofar" w:hAnsi="Shofar"/>
        </w:rPr>
      </w:pPr>
      <w:r>
        <w:rPr>
          <w:rFonts w:ascii="Shofar" w:hAnsi="Shofar"/>
          <w:rtl/>
        </w:rPr>
        <w:t>משנה בנדה אומר שיש דבר שמברכים עליו ברכה ראשונה, אבל לא ברכה אחרונה. יש</w:t>
      </w:r>
      <w:r>
        <w:rPr>
          <w:rFonts w:ascii="Shofar" w:hAnsi="Shofar"/>
          <w:b/>
          <w:bCs/>
          <w:rtl/>
        </w:rPr>
        <w:t xml:space="preserve"> ארבע </w:t>
      </w:r>
      <w:r>
        <w:rPr>
          <w:rFonts w:ascii="Shofar" w:hAnsi="Shofar"/>
          <w:rtl/>
        </w:rPr>
        <w:t>צדדים לבאר מה הוא:</w:t>
      </w:r>
    </w:p>
    <w:p w:rsidR="00643327" w:rsidRDefault="00B63280" w:rsidP="008A6DF8">
      <w:pPr>
        <w:numPr>
          <w:ilvl w:val="0"/>
          <w:numId w:val="27"/>
        </w:numPr>
        <w:rPr>
          <w:rFonts w:ascii="Shofar" w:hAnsi="Shofar"/>
        </w:rPr>
      </w:pPr>
      <w:r>
        <w:rPr>
          <w:rFonts w:ascii="Shofar" w:hAnsi="Shofar"/>
          <w:rtl/>
        </w:rPr>
        <w:t>ירק. זה רק כשיטת ר"י בר אבדימי, אבל לא כר"י ור"פ.</w:t>
      </w:r>
    </w:p>
    <w:p w:rsidR="00643327" w:rsidRDefault="00B63280" w:rsidP="008A6DF8">
      <w:pPr>
        <w:numPr>
          <w:ilvl w:val="0"/>
          <w:numId w:val="27"/>
        </w:numPr>
        <w:rPr>
          <w:rFonts w:ascii="Shofar" w:hAnsi="Shofar"/>
        </w:rPr>
      </w:pPr>
      <w:r>
        <w:rPr>
          <w:rFonts w:ascii="Shofar" w:hAnsi="Shofar"/>
          <w:rtl/>
        </w:rPr>
        <w:t>מים. זה רק כשיטת ר"י ב"א ור"י, ולא כר"פ.</w:t>
      </w:r>
    </w:p>
    <w:p w:rsidR="00643327" w:rsidRDefault="00B63280" w:rsidP="008A6DF8">
      <w:pPr>
        <w:numPr>
          <w:ilvl w:val="0"/>
          <w:numId w:val="27"/>
        </w:numPr>
        <w:rPr>
          <w:rFonts w:ascii="Shofar" w:hAnsi="Shofar"/>
        </w:rPr>
      </w:pPr>
      <w:r>
        <w:rPr>
          <w:rFonts w:ascii="Shofar" w:hAnsi="Shofar"/>
          <w:rtl/>
        </w:rPr>
        <w:t>מצוות. זה אינו כשיטת "בני מערבא.”</w:t>
      </w:r>
    </w:p>
    <w:p w:rsidR="00643327" w:rsidRDefault="00B63280" w:rsidP="008A6DF8">
      <w:pPr>
        <w:numPr>
          <w:ilvl w:val="0"/>
          <w:numId w:val="27"/>
        </w:numPr>
        <w:rPr>
          <w:rFonts w:ascii="Shofar" w:hAnsi="Shofar"/>
        </w:rPr>
      </w:pPr>
      <w:r>
        <w:rPr>
          <w:rFonts w:ascii="Shofar" w:hAnsi="Shofar"/>
          <w:rtl/>
        </w:rPr>
        <w:t>ריח.</w:t>
      </w:r>
      <w:r>
        <w:rPr>
          <w:rStyle w:val="FootnoteReference"/>
          <w:rFonts w:ascii="Shofar" w:hAnsi="Shofar"/>
          <w:rtl/>
        </w:rPr>
        <w:footnoteReference w:id="216"/>
      </w:r>
    </w:p>
    <w:p w:rsidR="00643327" w:rsidRDefault="00B63280">
      <w:pPr>
        <w:pStyle w:val="Heading1"/>
        <w:rPr>
          <w:rFonts w:ascii="Shofar" w:hAnsi="Shofar" w:cs="Shofar"/>
        </w:rPr>
      </w:pPr>
      <w:bookmarkStart w:id="30" w:name="__RefHeading___Toc107178_2054497345"/>
      <w:bookmarkEnd w:id="30"/>
      <w:r>
        <w:rPr>
          <w:rFonts w:ascii="Shofar" w:hAnsi="Shofar" w:cs="Shofar"/>
          <w:rtl/>
        </w:rPr>
        <w:t>הפסק:</w:t>
      </w:r>
    </w:p>
    <w:p w:rsidR="00643327" w:rsidRDefault="00B63280">
      <w:pPr>
        <w:rPr>
          <w:rFonts w:ascii="Shofar" w:hAnsi="Shofar"/>
        </w:rPr>
      </w:pPr>
      <w:r>
        <w:rPr>
          <w:rFonts w:ascii="Shofar" w:hAnsi="Shofar"/>
          <w:rtl/>
        </w:rPr>
        <w:t>אין להפסיק בדיבור בין ברכה לאכילה. יש</w:t>
      </w:r>
      <w:r>
        <w:rPr>
          <w:rFonts w:ascii="Shofar" w:hAnsi="Shofar"/>
          <w:b/>
          <w:bCs/>
          <w:rtl/>
        </w:rPr>
        <w:t xml:space="preserve"> שלש  </w:t>
      </w:r>
      <w:r>
        <w:rPr>
          <w:rFonts w:ascii="Shofar" w:hAnsi="Shofar"/>
          <w:rtl/>
        </w:rPr>
        <w:t>דיבורים שלא נחשבים הפסק:</w:t>
      </w:r>
    </w:p>
    <w:p w:rsidR="00643327" w:rsidRDefault="00B63280" w:rsidP="008A6DF8">
      <w:pPr>
        <w:numPr>
          <w:ilvl w:val="0"/>
          <w:numId w:val="31"/>
        </w:numPr>
        <w:rPr>
          <w:rFonts w:ascii="Shofar" w:hAnsi="Shofar"/>
        </w:rPr>
      </w:pPr>
      <w:r>
        <w:rPr>
          <w:rFonts w:ascii="Shofar" w:hAnsi="Shofar"/>
          <w:rtl/>
        </w:rPr>
        <w:t>אם אומר לאורחים ליטול ולאכול, אין זה הפסק, כיון שהוא לדבר שבא מן הברכה.</w:t>
      </w:r>
    </w:p>
    <w:p w:rsidR="00643327" w:rsidRDefault="00B63280" w:rsidP="008A6DF8">
      <w:pPr>
        <w:numPr>
          <w:ilvl w:val="0"/>
          <w:numId w:val="31"/>
        </w:numPr>
        <w:rPr>
          <w:rFonts w:ascii="Shofar" w:hAnsi="Shofar"/>
        </w:rPr>
      </w:pPr>
      <w:r>
        <w:rPr>
          <w:rFonts w:ascii="Shofar" w:hAnsi="Shofar"/>
          <w:rtl/>
        </w:rPr>
        <w:t>אם שואל למלח, אין זה הפסק, כיון שהוא לדבר שבא מן הברכה. רב חולק על זה.</w:t>
      </w:r>
      <w:r>
        <w:rPr>
          <w:rStyle w:val="EndnoteReference"/>
          <w:rFonts w:ascii="Shofar" w:hAnsi="Shofar"/>
          <w:rtl/>
        </w:rPr>
        <w:endnoteReference w:id="78"/>
      </w:r>
    </w:p>
    <w:p w:rsidR="00643327" w:rsidRDefault="00B63280" w:rsidP="008A6DF8">
      <w:pPr>
        <w:numPr>
          <w:ilvl w:val="0"/>
          <w:numId w:val="31"/>
        </w:numPr>
        <w:rPr>
          <w:rFonts w:ascii="Shofar" w:hAnsi="Shofar"/>
        </w:rPr>
      </w:pPr>
      <w:r>
        <w:rPr>
          <w:rFonts w:ascii="Shofar" w:hAnsi="Shofar"/>
          <w:rtl/>
        </w:rPr>
        <w:t>אם שואל להאכיל את בהמתו, אין זה הפסק, כיון שהוא נצרך כדי לעשות דבר שבא מן הברכה (שאין אוכלים קודם שמאכיל את בהמתו). רב ורבי יוחנן חולקים על זה.</w:t>
      </w:r>
      <w:r>
        <w:rPr>
          <w:rStyle w:val="FootnoteReference"/>
          <w:rFonts w:ascii="Shofar" w:hAnsi="Shofar"/>
          <w:rtl/>
        </w:rPr>
        <w:footnoteReference w:id="217"/>
      </w:r>
      <w:r>
        <w:rPr>
          <w:rStyle w:val="EndnoteReference"/>
          <w:rFonts w:ascii="Shofar" w:hAnsi="Shofar"/>
          <w:rtl/>
        </w:rPr>
        <w:endnoteReference w:id="79"/>
      </w:r>
    </w:p>
    <w:p w:rsidR="00643327" w:rsidRDefault="00B63280">
      <w:pPr>
        <w:rPr>
          <w:rFonts w:ascii="Shofar" w:hAnsi="Shofar"/>
        </w:rPr>
      </w:pPr>
      <w:r>
        <w:rPr>
          <w:rFonts w:ascii="Shofar" w:hAnsi="Shofar"/>
          <w:rtl/>
        </w:rPr>
        <w:lastRenderedPageBreak/>
        <w:t>כשאדם צריך להשתין, לא ימתין, אלא ישתין מיד</w:t>
      </w:r>
      <w:r>
        <w:rPr>
          <w:rStyle w:val="FootnoteReference"/>
          <w:rFonts w:ascii="Shofar" w:hAnsi="Shofar"/>
          <w:rtl/>
        </w:rPr>
        <w:footnoteReference w:id="218"/>
      </w:r>
      <w:r>
        <w:rPr>
          <w:rFonts w:ascii="Shofar" w:hAnsi="Shofar"/>
          <w:rtl/>
        </w:rPr>
        <w:t xml:space="preserve">. כשמשתין, צריך לשמור שלא יהיה נראה ככרות שכפה ע”י ניצוצות שניתזים על רגליו. יש </w:t>
      </w:r>
      <w:r>
        <w:rPr>
          <w:rFonts w:ascii="Shofar" w:hAnsi="Shofar"/>
          <w:b/>
          <w:bCs/>
          <w:rtl/>
        </w:rPr>
        <w:t>חמש</w:t>
      </w:r>
      <w:r>
        <w:rPr>
          <w:rFonts w:ascii="Shofar" w:hAnsi="Shofar"/>
          <w:rtl/>
        </w:rPr>
        <w:t xml:space="preserve"> דרכים לעשות כן:</w:t>
      </w:r>
    </w:p>
    <w:p w:rsidR="00643327" w:rsidRDefault="00B63280" w:rsidP="008A6DF8">
      <w:pPr>
        <w:numPr>
          <w:ilvl w:val="0"/>
          <w:numId w:val="32"/>
        </w:numPr>
        <w:rPr>
          <w:rFonts w:ascii="Shofar" w:hAnsi="Shofar"/>
        </w:rPr>
      </w:pPr>
      <w:r>
        <w:rPr>
          <w:rFonts w:ascii="Shofar" w:hAnsi="Shofar"/>
          <w:rtl/>
        </w:rPr>
        <w:t>ישב. אז, הכל יורדים למטה, ולא על רגליו.</w:t>
      </w:r>
    </w:p>
    <w:p w:rsidR="00643327" w:rsidRDefault="00B63280" w:rsidP="008A6DF8">
      <w:pPr>
        <w:numPr>
          <w:ilvl w:val="0"/>
          <w:numId w:val="32"/>
        </w:numPr>
        <w:rPr>
          <w:rFonts w:ascii="Shofar" w:hAnsi="Shofar"/>
        </w:rPr>
      </w:pPr>
      <w:r>
        <w:rPr>
          <w:rFonts w:ascii="Shofar" w:hAnsi="Shofar"/>
          <w:rtl/>
        </w:rPr>
        <w:t>ישפשף את הניצוצות מעל רגליו.</w:t>
      </w:r>
      <w:r>
        <w:rPr>
          <w:rStyle w:val="FootnoteReference"/>
          <w:rFonts w:ascii="Shofar" w:hAnsi="Shofar"/>
          <w:rtl/>
        </w:rPr>
        <w:footnoteReference w:id="219"/>
      </w:r>
    </w:p>
    <w:p w:rsidR="00643327" w:rsidRDefault="00B63280" w:rsidP="008A6DF8">
      <w:pPr>
        <w:numPr>
          <w:ilvl w:val="0"/>
          <w:numId w:val="32"/>
        </w:numPr>
        <w:rPr>
          <w:rFonts w:ascii="Shofar" w:hAnsi="Shofar"/>
        </w:rPr>
      </w:pPr>
      <w:r>
        <w:rPr>
          <w:rFonts w:ascii="Shofar" w:hAnsi="Shofar"/>
          <w:rtl/>
        </w:rPr>
        <w:t>ישתין ממקום גבוה למקום נמוך.</w:t>
      </w:r>
      <w:r>
        <w:rPr>
          <w:rStyle w:val="FootnoteReference"/>
          <w:rFonts w:ascii="Shofar" w:hAnsi="Shofar"/>
          <w:rtl/>
        </w:rPr>
        <w:footnoteReference w:id="220"/>
      </w:r>
    </w:p>
    <w:p w:rsidR="00643327" w:rsidRDefault="00B63280" w:rsidP="008A6DF8">
      <w:pPr>
        <w:numPr>
          <w:ilvl w:val="0"/>
          <w:numId w:val="32"/>
        </w:numPr>
        <w:rPr>
          <w:rFonts w:ascii="Shofar" w:hAnsi="Shofar"/>
        </w:rPr>
      </w:pPr>
      <w:r>
        <w:rPr>
          <w:rFonts w:ascii="Shofar" w:hAnsi="Shofar"/>
          <w:rtl/>
        </w:rPr>
        <w:t>ישתין לתוך עפר תיחוח.</w:t>
      </w:r>
      <w:r>
        <w:rPr>
          <w:rStyle w:val="FootnoteReference"/>
          <w:rFonts w:ascii="Shofar" w:hAnsi="Shofar"/>
          <w:rtl/>
        </w:rPr>
        <w:footnoteReference w:id="221"/>
      </w:r>
      <w:r>
        <w:rPr>
          <w:rStyle w:val="EndnoteReference"/>
          <w:rFonts w:ascii="Shofar" w:hAnsi="Shofar"/>
          <w:rtl/>
        </w:rPr>
        <w:endnoteReference w:id="80"/>
      </w:r>
    </w:p>
    <w:p w:rsidR="00643327" w:rsidRDefault="00B63280" w:rsidP="008A6DF8">
      <w:pPr>
        <w:numPr>
          <w:ilvl w:val="0"/>
          <w:numId w:val="32"/>
        </w:numPr>
        <w:rPr>
          <w:rFonts w:ascii="Shofar" w:hAnsi="Shofar"/>
        </w:rPr>
      </w:pPr>
      <w:r>
        <w:rPr>
          <w:rFonts w:ascii="Shofar" w:hAnsi="Shofar"/>
          <w:rtl/>
        </w:rPr>
        <w:t>יאכחוז את אמתו, אבל רק מן העטרה ולמעלה, שבמקום אחר, מגעו גורם הרהור ואיסורים.</w:t>
      </w:r>
      <w:r>
        <w:rPr>
          <w:rStyle w:val="FootnoteReference"/>
          <w:rFonts w:ascii="Shofar" w:hAnsi="Shofar"/>
          <w:rtl/>
        </w:rPr>
        <w:footnoteReference w:id="222"/>
      </w:r>
    </w:p>
    <w:p w:rsidR="00643327" w:rsidRDefault="00B63280">
      <w:pPr>
        <w:pStyle w:val="Heading1"/>
        <w:rPr>
          <w:rFonts w:ascii="Shofar" w:hAnsi="Shofar" w:cs="Shofar"/>
        </w:rPr>
      </w:pPr>
      <w:bookmarkStart w:id="31" w:name="__RefHeading___Toc107180_2054497345"/>
      <w:bookmarkEnd w:id="31"/>
      <w:r>
        <w:rPr>
          <w:rFonts w:ascii="Shofar" w:hAnsi="Shofar" w:cs="Shofar"/>
          <w:rtl/>
        </w:rPr>
        <w:t>מלח:</w:t>
      </w:r>
    </w:p>
    <w:p w:rsidR="00643327" w:rsidRDefault="00B63280">
      <w:pPr>
        <w:rPr>
          <w:rFonts w:ascii="Shofar" w:hAnsi="Shofar"/>
        </w:rPr>
      </w:pPr>
      <w:r>
        <w:rPr>
          <w:rFonts w:ascii="Shofar" w:hAnsi="Shofar"/>
          <w:rtl/>
        </w:rPr>
        <w:t xml:space="preserve">מלח הוא חלק חשוב מסעודה, ולכן מצאנו </w:t>
      </w:r>
      <w:r>
        <w:rPr>
          <w:rFonts w:ascii="Shofar" w:hAnsi="Shofar"/>
          <w:b/>
          <w:bCs/>
          <w:rtl/>
        </w:rPr>
        <w:t>ארבע</w:t>
      </w:r>
      <w:r>
        <w:rPr>
          <w:rFonts w:ascii="Shofar" w:hAnsi="Shofar"/>
          <w:rtl/>
        </w:rPr>
        <w:t xml:space="preserve"> מאמרים חשובים בו:</w:t>
      </w:r>
    </w:p>
    <w:p w:rsidR="00643327" w:rsidRDefault="00B63280" w:rsidP="008A6DF8">
      <w:pPr>
        <w:numPr>
          <w:ilvl w:val="0"/>
          <w:numId w:val="33"/>
        </w:numPr>
        <w:rPr>
          <w:rFonts w:ascii="Shofar" w:hAnsi="Shofar"/>
        </w:rPr>
      </w:pPr>
      <w:r>
        <w:rPr>
          <w:rFonts w:ascii="Shofar" w:hAnsi="Shofar"/>
          <w:rtl/>
        </w:rPr>
        <w:t>אם שואל אדם למלח בין ברכה לאכילה, רב ששת ורבי יוחנן אומרים שאינו מפסיק. רב חולק.</w:t>
      </w:r>
      <w:r>
        <w:rPr>
          <w:rStyle w:val="FootnoteReference"/>
          <w:rFonts w:ascii="Shofar" w:hAnsi="Shofar"/>
          <w:rtl/>
        </w:rPr>
        <w:footnoteReference w:id="223"/>
      </w:r>
    </w:p>
    <w:p w:rsidR="00643327" w:rsidRDefault="00B63280" w:rsidP="008A6DF8">
      <w:pPr>
        <w:numPr>
          <w:ilvl w:val="0"/>
          <w:numId w:val="33"/>
        </w:numPr>
        <w:rPr>
          <w:rFonts w:ascii="Shofar" w:hAnsi="Shofar"/>
        </w:rPr>
      </w:pPr>
      <w:r>
        <w:rPr>
          <w:rFonts w:ascii="Shofar" w:hAnsi="Shofar"/>
          <w:rtl/>
        </w:rPr>
        <w:t>אין הבוצע יכול לבצוע עד שיביאו מלח לפנני כל אוכל. גמ’ מבאר שלא צריכים זה בפת נקיה.</w:t>
      </w:r>
      <w:r>
        <w:rPr>
          <w:rStyle w:val="FootnoteReference"/>
          <w:rFonts w:ascii="Shofar" w:hAnsi="Shofar"/>
          <w:rtl/>
        </w:rPr>
        <w:footnoteReference w:id="224"/>
      </w:r>
    </w:p>
    <w:p w:rsidR="00643327" w:rsidRDefault="00B63280" w:rsidP="008A6DF8">
      <w:pPr>
        <w:numPr>
          <w:ilvl w:val="0"/>
          <w:numId w:val="33"/>
        </w:numPr>
        <w:rPr>
          <w:rFonts w:ascii="Shofar" w:hAnsi="Shofar"/>
        </w:rPr>
      </w:pPr>
      <w:r>
        <w:rPr>
          <w:rFonts w:ascii="Shofar" w:hAnsi="Shofar"/>
          <w:rtl/>
        </w:rPr>
        <w:t>אחר כל אכילתך אכול מלח (ואחר כל שתייתך תשתה מים) ואין אתה ניזוק. אם לא, ביום ידאג מריח הפה, ובלילה ידאג מאסכרא</w:t>
      </w:r>
      <w:r>
        <w:rPr>
          <w:rStyle w:val="EndnoteReference"/>
          <w:rFonts w:ascii="Shofar" w:hAnsi="Shofar"/>
          <w:rtl/>
        </w:rPr>
        <w:endnoteReference w:id="81"/>
      </w:r>
      <w:r>
        <w:rPr>
          <w:rFonts w:ascii="Shofar" w:hAnsi="Shofar"/>
          <w:rtl/>
        </w:rPr>
        <w:t>.</w:t>
      </w:r>
      <w:r>
        <w:rPr>
          <w:rStyle w:val="FootnoteReference"/>
          <w:rFonts w:ascii="Shofar" w:hAnsi="Shofar"/>
          <w:rtl/>
        </w:rPr>
        <w:footnoteReference w:id="225"/>
      </w:r>
    </w:p>
    <w:p w:rsidR="00643327" w:rsidRDefault="00B63280" w:rsidP="008A6DF8">
      <w:pPr>
        <w:numPr>
          <w:ilvl w:val="0"/>
          <w:numId w:val="33"/>
        </w:numPr>
        <w:rPr>
          <w:rFonts w:ascii="Shofar" w:hAnsi="Shofar"/>
        </w:rPr>
      </w:pPr>
      <w:r>
        <w:rPr>
          <w:rFonts w:ascii="Shofar" w:hAnsi="Shofar"/>
          <w:rtl/>
        </w:rPr>
        <w:t>כל סועדה שאין בו מלח אינו סעודה.</w:t>
      </w:r>
      <w:r>
        <w:rPr>
          <w:rStyle w:val="FootnoteReference"/>
          <w:rFonts w:ascii="Shofar" w:hAnsi="Shofar"/>
          <w:rtl/>
        </w:rPr>
        <w:footnoteReference w:id="226"/>
      </w:r>
      <w:r>
        <w:rPr>
          <w:rStyle w:val="EndnoteReference"/>
          <w:rFonts w:ascii="Shofar" w:hAnsi="Shofar"/>
          <w:rtl/>
        </w:rPr>
        <w:endnoteReference w:id="82"/>
      </w:r>
      <w:r>
        <w:rPr>
          <w:rStyle w:val="EndnoteReference"/>
          <w:rFonts w:ascii="Shofar" w:hAnsi="Shofar"/>
          <w:rtl/>
        </w:rPr>
        <w:endnoteReference w:id="83"/>
      </w:r>
    </w:p>
    <w:p w:rsidR="00643327" w:rsidRDefault="00B63280">
      <w:pPr>
        <w:pStyle w:val="Heading1"/>
        <w:rPr>
          <w:rFonts w:ascii="Shofar" w:hAnsi="Shofar" w:cs="Shofar"/>
        </w:rPr>
      </w:pPr>
      <w:bookmarkStart w:id="32" w:name="__RefHeading___Toc107182_2054497345"/>
      <w:bookmarkEnd w:id="32"/>
      <w:r>
        <w:rPr>
          <w:rFonts w:ascii="Shofar" w:hAnsi="Shofar" w:cs="Shofar"/>
          <w:rtl/>
        </w:rPr>
        <w:t>מוגמר:</w:t>
      </w:r>
    </w:p>
    <w:p w:rsidR="00643327" w:rsidRDefault="00B63280">
      <w:pPr>
        <w:rPr>
          <w:rFonts w:ascii="Shofar" w:hAnsi="Shofar"/>
        </w:rPr>
      </w:pPr>
      <w:r>
        <w:rPr>
          <w:rFonts w:ascii="Shofar" w:hAnsi="Shofar"/>
          <w:rtl/>
        </w:rPr>
        <w:t>היו נוהגים להביא מוגמר להריח אחר הסעודה. אחד ברך לכולם, והוא אותו איש שנטל ידיו למים אחרונים תחילה.</w:t>
      </w:r>
      <w:r>
        <w:rPr>
          <w:rStyle w:val="FootnoteReference"/>
          <w:rFonts w:ascii="Shofar" w:hAnsi="Shofar"/>
          <w:rtl/>
        </w:rPr>
        <w:footnoteReference w:id="227"/>
      </w:r>
      <w:r>
        <w:rPr>
          <w:rStyle w:val="EndnoteReference"/>
          <w:rFonts w:ascii="Shofar" w:hAnsi="Shofar"/>
          <w:rtl/>
        </w:rPr>
        <w:endnoteReference w:id="84"/>
      </w:r>
    </w:p>
    <w:p w:rsidR="00643327" w:rsidRDefault="00B63280">
      <w:pPr>
        <w:pStyle w:val="Heading1"/>
        <w:rPr>
          <w:rFonts w:ascii="Shofar" w:hAnsi="Shofar" w:cs="Shofar"/>
        </w:rPr>
      </w:pPr>
      <w:bookmarkStart w:id="33" w:name="__RefHeading___Toc107184_2054497345"/>
      <w:bookmarkEnd w:id="33"/>
      <w:r>
        <w:rPr>
          <w:rFonts w:ascii="Shofar" w:hAnsi="Shofar" w:cs="Shofar"/>
          <w:rtl/>
        </w:rPr>
        <w:t>רפואה:</w:t>
      </w:r>
    </w:p>
    <w:p w:rsidR="00643327" w:rsidRDefault="00B63280">
      <w:pPr>
        <w:rPr>
          <w:rFonts w:ascii="Shofar" w:hAnsi="Shofar"/>
        </w:rPr>
      </w:pPr>
      <w:r>
        <w:rPr>
          <w:rFonts w:ascii="Shofar" w:hAnsi="Shofar"/>
          <w:rtl/>
        </w:rPr>
        <w:t>יש סוגיה אחת שמזכיר כמה דיני רפואה ובריאות:</w:t>
      </w:r>
    </w:p>
    <w:p w:rsidR="00643327" w:rsidRDefault="00B63280" w:rsidP="008A6DF8">
      <w:pPr>
        <w:numPr>
          <w:ilvl w:val="0"/>
          <w:numId w:val="35"/>
        </w:numPr>
        <w:rPr>
          <w:rFonts w:ascii="Shofar" w:hAnsi="Shofar"/>
        </w:rPr>
      </w:pPr>
      <w:r>
        <w:rPr>
          <w:rFonts w:ascii="Shofar" w:hAnsi="Shofar"/>
          <w:rtl/>
        </w:rPr>
        <w:t>לעיסת טחול יפה לשינים ואכילתו קשה לבני מעים. אז, טוב ללעוס אותו ולא לבלוע אותו.</w:t>
      </w:r>
      <w:r>
        <w:rPr>
          <w:rStyle w:val="FootnoteReference"/>
          <w:rFonts w:ascii="Shofar" w:hAnsi="Shofar"/>
          <w:rtl/>
        </w:rPr>
        <w:footnoteReference w:id="228"/>
      </w:r>
    </w:p>
    <w:p w:rsidR="00643327" w:rsidRDefault="00B63280" w:rsidP="008A6DF8">
      <w:pPr>
        <w:numPr>
          <w:ilvl w:val="0"/>
          <w:numId w:val="35"/>
        </w:numPr>
        <w:rPr>
          <w:rFonts w:ascii="Shofar" w:hAnsi="Shofar"/>
        </w:rPr>
      </w:pPr>
      <w:r>
        <w:rPr>
          <w:rFonts w:ascii="Shofar" w:hAnsi="Shofar"/>
          <w:rtl/>
        </w:rPr>
        <w:t>לעיסת כרישים קשה לשינים ואכילתו יפה לבני מעים. אז, טוב לבלוע אותו בלי לעיסה.</w:t>
      </w:r>
      <w:r>
        <w:rPr>
          <w:rStyle w:val="FootnoteReference"/>
          <w:rFonts w:ascii="Shofar" w:hAnsi="Shofar"/>
          <w:rtl/>
        </w:rPr>
        <w:footnoteReference w:id="229"/>
      </w:r>
    </w:p>
    <w:p w:rsidR="00643327" w:rsidRDefault="00B63280" w:rsidP="008A6DF8">
      <w:pPr>
        <w:numPr>
          <w:ilvl w:val="0"/>
          <w:numId w:val="35"/>
        </w:numPr>
        <w:rPr>
          <w:rFonts w:ascii="Shofar" w:hAnsi="Shofar"/>
        </w:rPr>
      </w:pPr>
      <w:r>
        <w:rPr>
          <w:rFonts w:ascii="Shofar" w:hAnsi="Shofar"/>
          <w:rtl/>
        </w:rPr>
        <w:t>כל ירק חי שאוכל בסעודה ראשונה אחר הקזה נוטל תואר פנים.</w:t>
      </w:r>
      <w:r>
        <w:rPr>
          <w:rStyle w:val="FootnoteReference"/>
          <w:rFonts w:ascii="Shofar" w:hAnsi="Shofar"/>
          <w:rtl/>
        </w:rPr>
        <w:footnoteReference w:id="230"/>
      </w:r>
    </w:p>
    <w:p w:rsidR="00643327" w:rsidRDefault="00B63280" w:rsidP="008A6DF8">
      <w:pPr>
        <w:numPr>
          <w:ilvl w:val="0"/>
          <w:numId w:val="35"/>
        </w:numPr>
        <w:rPr>
          <w:rFonts w:ascii="Shofar" w:hAnsi="Shofar"/>
        </w:rPr>
      </w:pPr>
      <w:r>
        <w:rPr>
          <w:rFonts w:ascii="Shofar" w:hAnsi="Shofar"/>
          <w:rtl/>
        </w:rPr>
        <w:t>ירק חי רע קודם ארבע שעות (שהוא קודם זמן אכילה). גמ’ אומר מימרא זה בשני פנים:</w:t>
      </w:r>
    </w:p>
    <w:p w:rsidR="00643327" w:rsidRDefault="00B63280" w:rsidP="008A6DF8">
      <w:pPr>
        <w:numPr>
          <w:ilvl w:val="1"/>
          <w:numId w:val="35"/>
        </w:numPr>
        <w:rPr>
          <w:rFonts w:ascii="Shofar" w:hAnsi="Shofar"/>
        </w:rPr>
      </w:pPr>
      <w:r>
        <w:rPr>
          <w:rFonts w:ascii="Shofar" w:hAnsi="Shofar"/>
          <w:rtl/>
        </w:rPr>
        <w:t>רע לספר למי שאכלו, מחמת הריח.</w:t>
      </w:r>
    </w:p>
    <w:p w:rsidR="00643327" w:rsidRDefault="00B63280" w:rsidP="008A6DF8">
      <w:pPr>
        <w:numPr>
          <w:ilvl w:val="1"/>
          <w:numId w:val="35"/>
        </w:numPr>
        <w:rPr>
          <w:rFonts w:ascii="Shofar" w:hAnsi="Shofar"/>
        </w:rPr>
      </w:pPr>
      <w:r>
        <w:rPr>
          <w:rFonts w:ascii="Shofar" w:hAnsi="Shofar"/>
          <w:rtl/>
        </w:rPr>
        <w:t>רע לאכול אותו.</w:t>
      </w:r>
      <w:r>
        <w:rPr>
          <w:rStyle w:val="EndnoteReference"/>
          <w:rFonts w:ascii="Shofar" w:hAnsi="Shofar"/>
          <w:rtl/>
        </w:rPr>
        <w:endnoteReference w:id="85"/>
      </w:r>
      <w:r>
        <w:rPr>
          <w:rStyle w:val="FootnoteReference"/>
          <w:rFonts w:ascii="Shofar" w:hAnsi="Shofar"/>
          <w:rtl/>
        </w:rPr>
        <w:footnoteReference w:id="231"/>
      </w:r>
    </w:p>
    <w:p w:rsidR="00643327" w:rsidRDefault="00B63280" w:rsidP="008A6DF8">
      <w:pPr>
        <w:numPr>
          <w:ilvl w:val="0"/>
          <w:numId w:val="35"/>
        </w:numPr>
        <w:rPr>
          <w:rFonts w:ascii="Shofar" w:hAnsi="Shofar"/>
        </w:rPr>
      </w:pPr>
      <w:r>
        <w:rPr>
          <w:rFonts w:ascii="Shofar" w:hAnsi="Shofar"/>
          <w:rtl/>
        </w:rPr>
        <w:t>כל דבר קטן שלא גדל עד רביעית שלו, מקטין מי שאוכל אותו.</w:t>
      </w:r>
      <w:r>
        <w:rPr>
          <w:rStyle w:val="FootnoteReference"/>
          <w:rFonts w:ascii="Shofar" w:hAnsi="Shofar"/>
          <w:rtl/>
        </w:rPr>
        <w:footnoteReference w:id="232"/>
      </w:r>
    </w:p>
    <w:p w:rsidR="00643327" w:rsidRDefault="00B63280" w:rsidP="008A6DF8">
      <w:pPr>
        <w:numPr>
          <w:ilvl w:val="0"/>
          <w:numId w:val="35"/>
        </w:numPr>
        <w:rPr>
          <w:rFonts w:ascii="Shofar" w:hAnsi="Shofar"/>
        </w:rPr>
      </w:pPr>
      <w:r>
        <w:rPr>
          <w:rFonts w:ascii="Shofar" w:hAnsi="Shofar"/>
          <w:rtl/>
        </w:rPr>
        <w:t>כל נפש וכל קרוב לנפש משיב את הנפש.</w:t>
      </w:r>
      <w:r>
        <w:rPr>
          <w:rStyle w:val="FootnoteReference"/>
          <w:rFonts w:ascii="Shofar" w:hAnsi="Shofar"/>
          <w:rtl/>
        </w:rPr>
        <w:footnoteReference w:id="233"/>
      </w:r>
    </w:p>
    <w:p w:rsidR="00643327" w:rsidRDefault="00B63280" w:rsidP="008A6DF8">
      <w:pPr>
        <w:numPr>
          <w:ilvl w:val="0"/>
          <w:numId w:val="35"/>
        </w:numPr>
        <w:rPr>
          <w:rFonts w:ascii="Shofar" w:hAnsi="Shofar"/>
        </w:rPr>
      </w:pPr>
      <w:r>
        <w:rPr>
          <w:rFonts w:ascii="Shofar" w:hAnsi="Shofar"/>
          <w:rtl/>
        </w:rPr>
        <w:t>כרוב טוב למזון ולרפואה.</w:t>
      </w:r>
      <w:r>
        <w:rPr>
          <w:rStyle w:val="FootnoteReference"/>
          <w:rFonts w:ascii="Shofar" w:hAnsi="Shofar"/>
          <w:rtl/>
        </w:rPr>
        <w:footnoteReference w:id="234"/>
      </w:r>
    </w:p>
    <w:p w:rsidR="00643327" w:rsidRDefault="00B63280" w:rsidP="008A6DF8">
      <w:pPr>
        <w:numPr>
          <w:ilvl w:val="0"/>
          <w:numId w:val="35"/>
        </w:numPr>
        <w:rPr>
          <w:rFonts w:ascii="Shofar" w:hAnsi="Shofar"/>
        </w:rPr>
      </w:pPr>
      <w:r>
        <w:rPr>
          <w:rFonts w:ascii="Shofar" w:hAnsi="Shofar"/>
          <w:rtl/>
        </w:rPr>
        <w:t>תרידים טובים לרפואה.</w:t>
      </w:r>
    </w:p>
    <w:p w:rsidR="00643327" w:rsidRDefault="00B63280" w:rsidP="008A6DF8">
      <w:pPr>
        <w:numPr>
          <w:ilvl w:val="0"/>
          <w:numId w:val="35"/>
        </w:numPr>
        <w:rPr>
          <w:rFonts w:ascii="Shofar" w:hAnsi="Shofar"/>
        </w:rPr>
      </w:pPr>
      <w:r>
        <w:rPr>
          <w:rFonts w:ascii="Shofar" w:hAnsi="Shofar"/>
          <w:rtl/>
        </w:rPr>
        <w:t>אוי לו לבית שהלפת עוברת בתוכו. גמ’ מפ’ שלא בכל פעם הוא רע, אלא לפעמים הוא טוב מאד. גמ’ נותן</w:t>
      </w:r>
      <w:r>
        <w:rPr>
          <w:rFonts w:ascii="Shofar" w:hAnsi="Shofar"/>
          <w:b/>
          <w:bCs/>
          <w:rtl/>
        </w:rPr>
        <w:t xml:space="preserve"> שלש </w:t>
      </w:r>
      <w:r>
        <w:rPr>
          <w:rFonts w:ascii="Shofar" w:hAnsi="Shofar"/>
          <w:rtl/>
        </w:rPr>
        <w:t>חילוקים:</w:t>
      </w:r>
    </w:p>
    <w:p w:rsidR="00643327" w:rsidRDefault="00B63280" w:rsidP="008A6DF8">
      <w:pPr>
        <w:numPr>
          <w:ilvl w:val="1"/>
          <w:numId w:val="35"/>
        </w:numPr>
        <w:rPr>
          <w:rFonts w:ascii="Shofar" w:hAnsi="Shofar"/>
        </w:rPr>
      </w:pPr>
      <w:r>
        <w:rPr>
          <w:rFonts w:ascii="Shofar" w:hAnsi="Shofar"/>
          <w:rtl/>
        </w:rPr>
        <w:t>רע בלי יין, וטוב עם יין.</w:t>
      </w:r>
    </w:p>
    <w:p w:rsidR="00643327" w:rsidRDefault="00B63280" w:rsidP="008A6DF8">
      <w:pPr>
        <w:numPr>
          <w:ilvl w:val="1"/>
          <w:numId w:val="35"/>
        </w:numPr>
        <w:rPr>
          <w:rFonts w:ascii="Shofar" w:hAnsi="Shofar"/>
        </w:rPr>
      </w:pPr>
      <w:r>
        <w:rPr>
          <w:rFonts w:ascii="Shofar" w:hAnsi="Shofar"/>
          <w:rtl/>
        </w:rPr>
        <w:lastRenderedPageBreak/>
        <w:t>רע בלי בשר, וטוב עם בשר.</w:t>
      </w:r>
    </w:p>
    <w:p w:rsidR="00643327" w:rsidRDefault="00B63280" w:rsidP="008A6DF8">
      <w:pPr>
        <w:numPr>
          <w:ilvl w:val="1"/>
          <w:numId w:val="35"/>
        </w:numPr>
        <w:rPr>
          <w:rFonts w:ascii="Shofar" w:hAnsi="Shofar"/>
        </w:rPr>
      </w:pPr>
      <w:r>
        <w:rPr>
          <w:rFonts w:ascii="Shofar" w:hAnsi="Shofar"/>
          <w:rtl/>
        </w:rPr>
        <w:t>רע כשאינו מבשל הרבה, וטוב כשמבושל הרבה.</w:t>
      </w:r>
      <w:r>
        <w:rPr>
          <w:rStyle w:val="FootnoteReference"/>
          <w:rFonts w:ascii="Shofar" w:hAnsi="Shofar"/>
          <w:rtl/>
        </w:rPr>
        <w:footnoteReference w:id="235"/>
      </w:r>
    </w:p>
    <w:p w:rsidR="00643327" w:rsidRDefault="00B63280" w:rsidP="008A6DF8">
      <w:pPr>
        <w:numPr>
          <w:ilvl w:val="0"/>
          <w:numId w:val="35"/>
        </w:numPr>
        <w:rPr>
          <w:rFonts w:ascii="Shofar" w:hAnsi="Shofar"/>
        </w:rPr>
      </w:pPr>
      <w:r>
        <w:rPr>
          <w:rFonts w:ascii="Shofar" w:hAnsi="Shofar"/>
          <w:b/>
          <w:bCs/>
          <w:rtl/>
        </w:rPr>
        <w:t>שש</w:t>
      </w:r>
      <w:r>
        <w:rPr>
          <w:rFonts w:ascii="Shofar" w:hAnsi="Shofar"/>
          <w:rtl/>
        </w:rPr>
        <w:t xml:space="preserve"> דברים מרפאים רפואה גמורה לחולה:</w:t>
      </w:r>
    </w:p>
    <w:p w:rsidR="00643327" w:rsidRDefault="00B63280" w:rsidP="008A6DF8">
      <w:pPr>
        <w:numPr>
          <w:ilvl w:val="1"/>
          <w:numId w:val="35"/>
        </w:numPr>
        <w:rPr>
          <w:rFonts w:ascii="Shofar" w:hAnsi="Shofar"/>
        </w:rPr>
      </w:pPr>
      <w:r>
        <w:rPr>
          <w:rFonts w:ascii="Shofar" w:hAnsi="Shofar"/>
          <w:rtl/>
        </w:rPr>
        <w:t>כרוב.</w:t>
      </w:r>
    </w:p>
    <w:p w:rsidR="00643327" w:rsidRDefault="00B63280" w:rsidP="008A6DF8">
      <w:pPr>
        <w:numPr>
          <w:ilvl w:val="1"/>
          <w:numId w:val="35"/>
        </w:numPr>
        <w:rPr>
          <w:rFonts w:ascii="Shofar" w:hAnsi="Shofar"/>
        </w:rPr>
      </w:pPr>
      <w:r>
        <w:rPr>
          <w:rFonts w:ascii="Shofar" w:hAnsi="Shofar"/>
          <w:rtl/>
        </w:rPr>
        <w:t>תרדין.</w:t>
      </w:r>
    </w:p>
    <w:p w:rsidR="00643327" w:rsidRDefault="00B63280" w:rsidP="008A6DF8">
      <w:pPr>
        <w:numPr>
          <w:ilvl w:val="1"/>
          <w:numId w:val="35"/>
        </w:numPr>
        <w:rPr>
          <w:rFonts w:ascii="Shofar" w:hAnsi="Shofar"/>
        </w:rPr>
      </w:pPr>
      <w:r>
        <w:rPr>
          <w:rFonts w:ascii="Shofar" w:hAnsi="Shofar"/>
          <w:rtl/>
        </w:rPr>
        <w:t>מי סיסין.</w:t>
      </w:r>
    </w:p>
    <w:p w:rsidR="00643327" w:rsidRDefault="00B63280" w:rsidP="008A6DF8">
      <w:pPr>
        <w:numPr>
          <w:ilvl w:val="1"/>
          <w:numId w:val="35"/>
        </w:numPr>
        <w:rPr>
          <w:rFonts w:ascii="Shofar" w:hAnsi="Shofar"/>
        </w:rPr>
      </w:pPr>
      <w:r>
        <w:rPr>
          <w:rFonts w:ascii="Shofar" w:hAnsi="Shofar"/>
          <w:rtl/>
        </w:rPr>
        <w:t>קיבה.</w:t>
      </w:r>
    </w:p>
    <w:p w:rsidR="00643327" w:rsidRDefault="00B63280" w:rsidP="008A6DF8">
      <w:pPr>
        <w:numPr>
          <w:ilvl w:val="1"/>
          <w:numId w:val="35"/>
        </w:numPr>
        <w:rPr>
          <w:rFonts w:ascii="Shofar" w:hAnsi="Shofar"/>
        </w:rPr>
      </w:pPr>
      <w:r>
        <w:rPr>
          <w:rFonts w:ascii="Shofar" w:hAnsi="Shofar"/>
          <w:rtl/>
        </w:rPr>
        <w:t>הרת.</w:t>
      </w:r>
      <w:r>
        <w:rPr>
          <w:rStyle w:val="FootnoteReference"/>
          <w:rFonts w:ascii="Shofar" w:hAnsi="Shofar"/>
          <w:rtl/>
        </w:rPr>
        <w:footnoteReference w:id="236"/>
      </w:r>
    </w:p>
    <w:p w:rsidR="00643327" w:rsidRDefault="00B63280" w:rsidP="008A6DF8">
      <w:pPr>
        <w:numPr>
          <w:ilvl w:val="1"/>
          <w:numId w:val="35"/>
        </w:numPr>
        <w:rPr>
          <w:rFonts w:ascii="Shofar" w:hAnsi="Shofar"/>
        </w:rPr>
      </w:pPr>
      <w:r>
        <w:rPr>
          <w:rFonts w:ascii="Shofar" w:hAnsi="Shofar"/>
          <w:rtl/>
        </w:rPr>
        <w:t>יותר הכבד.</w:t>
      </w:r>
      <w:r>
        <w:rPr>
          <w:rStyle w:val="FootnoteReference"/>
          <w:rFonts w:ascii="Shofar" w:hAnsi="Shofar"/>
          <w:rtl/>
        </w:rPr>
        <w:footnoteReference w:id="237"/>
      </w:r>
      <w:r>
        <w:rPr>
          <w:rStyle w:val="FootnoteReference"/>
          <w:rFonts w:ascii="Shofar" w:hAnsi="Shofar"/>
          <w:rtl/>
        </w:rPr>
        <w:footnoteReference w:id="238"/>
      </w:r>
    </w:p>
    <w:p w:rsidR="00643327" w:rsidRDefault="00B63280">
      <w:pPr>
        <w:pStyle w:val="Heading1"/>
        <w:rPr>
          <w:rFonts w:ascii="Shofar" w:hAnsi="Shofar" w:cs="Shofar"/>
        </w:rPr>
      </w:pPr>
      <w:bookmarkStart w:id="34" w:name="__RefHeading___Toc107186_2054497345"/>
      <w:bookmarkEnd w:id="34"/>
      <w:r>
        <w:rPr>
          <w:rFonts w:ascii="Shofar" w:hAnsi="Shofar" w:cs="Shofar"/>
          <w:rtl/>
        </w:rPr>
        <w:t>גנאי לת"ח:</w:t>
      </w:r>
    </w:p>
    <w:p w:rsidR="00643327" w:rsidRDefault="00B63280">
      <w:pPr>
        <w:rPr>
          <w:rFonts w:ascii="Shofar" w:hAnsi="Shofar"/>
        </w:rPr>
      </w:pPr>
      <w:r>
        <w:rPr>
          <w:rFonts w:ascii="Shofar" w:hAnsi="Shofar"/>
          <w:rtl/>
        </w:rPr>
        <w:t xml:space="preserve">יש </w:t>
      </w:r>
      <w:r>
        <w:rPr>
          <w:rFonts w:ascii="Shofar" w:hAnsi="Shofar"/>
          <w:b/>
          <w:bCs/>
          <w:rtl/>
        </w:rPr>
        <w:t>ששה</w:t>
      </w:r>
      <w:r>
        <w:rPr>
          <w:rFonts w:ascii="Shofar" w:hAnsi="Shofar"/>
          <w:rtl/>
        </w:rPr>
        <w:t xml:space="preserve"> דברים שנחשבים גנאי לת"ח לעשות:</w:t>
      </w:r>
    </w:p>
    <w:p w:rsidR="00643327" w:rsidRDefault="00B63280" w:rsidP="008A6DF8">
      <w:pPr>
        <w:numPr>
          <w:ilvl w:val="0"/>
          <w:numId w:val="36"/>
        </w:numPr>
        <w:rPr>
          <w:rFonts w:ascii="Shofar" w:hAnsi="Shofar"/>
        </w:rPr>
      </w:pPr>
      <w:r>
        <w:rPr>
          <w:rFonts w:ascii="Shofar" w:hAnsi="Shofar"/>
          <w:rtl/>
        </w:rPr>
        <w:t>לצאת מבושם לשוק, כיון שנ’ שהולך לשכב עם זכר. יש שלש יוצאים מן הכלל:</w:t>
      </w:r>
    </w:p>
    <w:p w:rsidR="00643327" w:rsidRDefault="00B63280" w:rsidP="008A6DF8">
      <w:pPr>
        <w:numPr>
          <w:ilvl w:val="1"/>
          <w:numId w:val="36"/>
        </w:numPr>
        <w:rPr>
          <w:rFonts w:ascii="Shofar" w:hAnsi="Shofar"/>
        </w:rPr>
      </w:pPr>
      <w:r>
        <w:rPr>
          <w:rFonts w:ascii="Shofar" w:hAnsi="Shofar"/>
          <w:rtl/>
        </w:rPr>
        <w:t>אינו גנאי במקום שלא חשודים על משכב זכר.</w:t>
      </w:r>
    </w:p>
    <w:p w:rsidR="00643327" w:rsidRDefault="00B63280" w:rsidP="008A6DF8">
      <w:pPr>
        <w:numPr>
          <w:ilvl w:val="1"/>
          <w:numId w:val="36"/>
        </w:numPr>
        <w:rPr>
          <w:rFonts w:ascii="Shofar" w:hAnsi="Shofar"/>
        </w:rPr>
      </w:pPr>
      <w:r>
        <w:rPr>
          <w:rFonts w:ascii="Shofar" w:hAnsi="Shofar"/>
          <w:rtl/>
        </w:rPr>
        <w:t>אינו גנאי אם נותן על בשרו, שנ’ שמעביר זיעה.</w:t>
      </w:r>
    </w:p>
    <w:p w:rsidR="00643327" w:rsidRDefault="00B63280" w:rsidP="008A6DF8">
      <w:pPr>
        <w:numPr>
          <w:ilvl w:val="1"/>
          <w:numId w:val="36"/>
        </w:numPr>
        <w:rPr>
          <w:rFonts w:ascii="Shofar" w:hAnsi="Shofar"/>
        </w:rPr>
      </w:pPr>
      <w:r>
        <w:rPr>
          <w:rFonts w:ascii="Shofar" w:hAnsi="Shofar"/>
          <w:rtl/>
        </w:rPr>
        <w:t>אינו בעיה אם נותן על שערו. חולקים בזה שני לשונות.</w:t>
      </w:r>
    </w:p>
    <w:p w:rsidR="00643327" w:rsidRDefault="00B63280" w:rsidP="008A6DF8">
      <w:pPr>
        <w:numPr>
          <w:ilvl w:val="0"/>
          <w:numId w:val="36"/>
        </w:numPr>
        <w:rPr>
          <w:rFonts w:ascii="Shofar" w:hAnsi="Shofar"/>
        </w:rPr>
      </w:pPr>
      <w:r>
        <w:rPr>
          <w:rFonts w:ascii="Shofar" w:hAnsi="Shofar"/>
          <w:rtl/>
        </w:rPr>
        <w:t>לצאת יחידי בלילה, שנ’ שהולך לזנות. יש יוצא מן הכלל:</w:t>
      </w:r>
    </w:p>
    <w:p w:rsidR="00643327" w:rsidRDefault="00B63280" w:rsidP="008A6DF8">
      <w:pPr>
        <w:numPr>
          <w:ilvl w:val="1"/>
          <w:numId w:val="36"/>
        </w:numPr>
        <w:rPr>
          <w:rFonts w:ascii="Shofar" w:hAnsi="Shofar"/>
        </w:rPr>
      </w:pPr>
      <w:r>
        <w:rPr>
          <w:rFonts w:ascii="Shofar" w:hAnsi="Shofar"/>
          <w:rtl/>
        </w:rPr>
        <w:t>אם קבוע לו זמן ללכת, לא נ’ כגנאי.</w:t>
      </w:r>
    </w:p>
    <w:p w:rsidR="00643327" w:rsidRDefault="00B63280" w:rsidP="008A6DF8">
      <w:pPr>
        <w:numPr>
          <w:ilvl w:val="0"/>
          <w:numId w:val="36"/>
        </w:numPr>
        <w:rPr>
          <w:rFonts w:ascii="Shofar" w:hAnsi="Shofar"/>
        </w:rPr>
      </w:pPr>
      <w:r>
        <w:rPr>
          <w:rFonts w:ascii="Shofar" w:hAnsi="Shofar"/>
          <w:rtl/>
        </w:rPr>
        <w:t>לךכת במנעלים מטולאים בטלאי על גב טלאי. יש שלש יוצאים מן הכלל:</w:t>
      </w:r>
    </w:p>
    <w:p w:rsidR="00643327" w:rsidRDefault="00B63280" w:rsidP="008A6DF8">
      <w:pPr>
        <w:numPr>
          <w:ilvl w:val="1"/>
          <w:numId w:val="36"/>
        </w:numPr>
        <w:rPr>
          <w:rFonts w:ascii="Shofar" w:hAnsi="Shofar"/>
        </w:rPr>
      </w:pPr>
      <w:r>
        <w:rPr>
          <w:rFonts w:ascii="Shofar" w:hAnsi="Shofar"/>
          <w:rtl/>
        </w:rPr>
        <w:t>אם הטלאים הוא על העקב, ולא על גב רגלו, מותר.</w:t>
      </w:r>
    </w:p>
    <w:p w:rsidR="00643327" w:rsidRDefault="00B63280" w:rsidP="008A6DF8">
      <w:pPr>
        <w:numPr>
          <w:ilvl w:val="1"/>
          <w:numId w:val="36"/>
        </w:numPr>
        <w:rPr>
          <w:rFonts w:ascii="Shofar" w:hAnsi="Shofar"/>
        </w:rPr>
      </w:pPr>
      <w:r>
        <w:rPr>
          <w:rFonts w:ascii="Shofar" w:hAnsi="Shofar"/>
          <w:rtl/>
        </w:rPr>
        <w:t>אם הוא בביתו מותר.</w:t>
      </w:r>
    </w:p>
    <w:p w:rsidR="00643327" w:rsidRDefault="00B63280" w:rsidP="008A6DF8">
      <w:pPr>
        <w:numPr>
          <w:ilvl w:val="1"/>
          <w:numId w:val="36"/>
        </w:numPr>
        <w:rPr>
          <w:rFonts w:ascii="Shofar" w:hAnsi="Shofar"/>
        </w:rPr>
      </w:pPr>
      <w:r>
        <w:rPr>
          <w:rFonts w:ascii="Shofar" w:hAnsi="Shofar"/>
          <w:rtl/>
        </w:rPr>
        <w:t>אם הוא בימות הגשמים מותר.</w:t>
      </w:r>
    </w:p>
    <w:p w:rsidR="00643327" w:rsidRDefault="00B63280" w:rsidP="008A6DF8">
      <w:pPr>
        <w:numPr>
          <w:ilvl w:val="0"/>
          <w:numId w:val="36"/>
        </w:numPr>
        <w:rPr>
          <w:rFonts w:ascii="Shofar" w:hAnsi="Shofar"/>
        </w:rPr>
      </w:pPr>
      <w:r>
        <w:rPr>
          <w:rFonts w:ascii="Shofar" w:hAnsi="Shofar"/>
          <w:rtl/>
        </w:rPr>
        <w:t>לספר עם אשה, ואף אשתו או קורבתו (שלא ידוע שהיא אשתו או קורבתו</w:t>
      </w:r>
      <w:r>
        <w:rPr>
          <w:rStyle w:val="EndnoteReference"/>
          <w:rFonts w:ascii="Shofar" w:hAnsi="Shofar"/>
          <w:rtl/>
        </w:rPr>
        <w:endnoteReference w:id="86"/>
      </w:r>
      <w:r>
        <w:rPr>
          <w:rFonts w:ascii="Shofar" w:hAnsi="Shofar"/>
          <w:rtl/>
        </w:rPr>
        <w:t>), בשוק.</w:t>
      </w:r>
    </w:p>
    <w:p w:rsidR="00643327" w:rsidRDefault="00B63280" w:rsidP="008A6DF8">
      <w:pPr>
        <w:numPr>
          <w:ilvl w:val="0"/>
          <w:numId w:val="36"/>
        </w:numPr>
        <w:rPr>
          <w:rFonts w:ascii="Shofar" w:hAnsi="Shofar"/>
        </w:rPr>
      </w:pPr>
      <w:r>
        <w:rPr>
          <w:rFonts w:ascii="Shofar" w:hAnsi="Shofar"/>
          <w:rtl/>
        </w:rPr>
        <w:t>לשבת בחבורה של עמי הארץ, שמא ימשך אחריהם.</w:t>
      </w:r>
    </w:p>
    <w:p w:rsidR="00643327" w:rsidRDefault="00B63280" w:rsidP="008A6DF8">
      <w:pPr>
        <w:numPr>
          <w:ilvl w:val="0"/>
          <w:numId w:val="36"/>
        </w:numPr>
        <w:rPr>
          <w:rFonts w:ascii="Shofar" w:hAnsi="Shofar"/>
        </w:rPr>
      </w:pPr>
      <w:r>
        <w:rPr>
          <w:rFonts w:ascii="Shofar" w:hAnsi="Shofar"/>
          <w:rtl/>
        </w:rPr>
        <w:t>לכנס אחרונה לבית הכדרש, שנ’ כפושע.</w:t>
      </w:r>
    </w:p>
    <w:p w:rsidR="00643327" w:rsidRDefault="00B63280">
      <w:pPr>
        <w:rPr>
          <w:rFonts w:ascii="Shofar" w:hAnsi="Shofar"/>
        </w:rPr>
      </w:pPr>
      <w:r>
        <w:rPr>
          <w:rFonts w:ascii="Shofar" w:hAnsi="Shofar"/>
          <w:rtl/>
        </w:rPr>
        <w:t>יש מוסיפים:</w:t>
      </w:r>
    </w:p>
    <w:p w:rsidR="00643327" w:rsidRDefault="00B63280" w:rsidP="008A6DF8">
      <w:pPr>
        <w:numPr>
          <w:ilvl w:val="0"/>
          <w:numId w:val="36"/>
        </w:numPr>
        <w:rPr>
          <w:rFonts w:ascii="Shofar" w:hAnsi="Shofar"/>
        </w:rPr>
      </w:pPr>
      <w:r>
        <w:rPr>
          <w:rFonts w:ascii="Shofar" w:hAnsi="Shofar"/>
          <w:rtl/>
        </w:rPr>
        <w:t>לפסוע פסיעה גסה, שנוטל אחד ממאה ממאור עיניו, עד שמחזירו בקידוש של ליל שבת.</w:t>
      </w:r>
    </w:p>
    <w:p w:rsidR="00643327" w:rsidRDefault="00B63280" w:rsidP="008A6DF8">
      <w:pPr>
        <w:numPr>
          <w:ilvl w:val="0"/>
          <w:numId w:val="36"/>
        </w:numPr>
        <w:rPr>
          <w:rFonts w:ascii="Shofar" w:hAnsi="Shofar"/>
        </w:rPr>
      </w:pPr>
      <w:r>
        <w:rPr>
          <w:rFonts w:ascii="Shofar" w:hAnsi="Shofar"/>
          <w:rtl/>
        </w:rPr>
        <w:t>ללכת בקומה זקופה, שנחשב דוחק רגלי שכינה.</w:t>
      </w:r>
      <w:r>
        <w:rPr>
          <w:rStyle w:val="FootnoteReference"/>
          <w:rFonts w:ascii="Shofar" w:hAnsi="Shofar"/>
          <w:rtl/>
        </w:rPr>
        <w:footnoteReference w:id="239"/>
      </w:r>
    </w:p>
    <w:p w:rsidR="00643327" w:rsidRDefault="00B63280">
      <w:pPr>
        <w:pStyle w:val="Heading1"/>
      </w:pPr>
      <w:r>
        <w:rPr>
          <w:rtl/>
        </w:rPr>
        <w:t>כללי לשון ברכות:</w:t>
      </w:r>
    </w:p>
    <w:p w:rsidR="00643327" w:rsidRDefault="00B63280">
      <w:r>
        <w:rPr>
          <w:rtl/>
        </w:rPr>
        <w:t>יש חמשה דינים ששייכים בכל ברכה:</w:t>
      </w:r>
    </w:p>
    <w:p w:rsidR="00643327" w:rsidRDefault="00B63280" w:rsidP="008A6DF8">
      <w:pPr>
        <w:pStyle w:val="ListParagraph"/>
        <w:numPr>
          <w:ilvl w:val="0"/>
          <w:numId w:val="42"/>
        </w:numPr>
      </w:pPr>
      <w:r>
        <w:rPr>
          <w:rtl/>
        </w:rPr>
        <w:t>צריך להזכיר בה שם ה'.</w:t>
      </w:r>
    </w:p>
    <w:p w:rsidR="00643327" w:rsidRDefault="00B63280" w:rsidP="008A6DF8">
      <w:pPr>
        <w:pStyle w:val="ListParagraph"/>
        <w:numPr>
          <w:ilvl w:val="0"/>
          <w:numId w:val="42"/>
        </w:numPr>
      </w:pPr>
      <w:r>
        <w:rPr>
          <w:rtl/>
        </w:rPr>
        <w:t>צריך להזכיר בה מלכות. חולקים רבי יוחנן ורב אם צריך להזכיר בה מלכות או לא צריך.</w:t>
      </w:r>
    </w:p>
    <w:p w:rsidR="00643327" w:rsidRDefault="00B63280">
      <w:pPr>
        <w:ind w:left="360"/>
      </w:pPr>
      <w:r>
        <w:rPr>
          <w:rtl/>
        </w:rPr>
        <w:t>שנים אלו הם בתחילה ובסוף של כל ברכה, חוץ משני מיני ברכות:</w:t>
      </w:r>
    </w:p>
    <w:p w:rsidR="00643327" w:rsidRDefault="00B63280" w:rsidP="008A6DF8">
      <w:pPr>
        <w:pStyle w:val="ListParagraph"/>
        <w:numPr>
          <w:ilvl w:val="1"/>
          <w:numId w:val="42"/>
        </w:numPr>
      </w:pPr>
      <w:r>
        <w:rPr>
          <w:rtl/>
        </w:rPr>
        <w:t>ברכה שמדבר רק בענין אחד. אז, לא צריך לכפול בחתימה.</w:t>
      </w:r>
    </w:p>
    <w:p w:rsidR="00643327" w:rsidRDefault="00B63280" w:rsidP="008A6DF8">
      <w:pPr>
        <w:pStyle w:val="ListParagraph"/>
        <w:numPr>
          <w:ilvl w:val="1"/>
          <w:numId w:val="42"/>
        </w:numPr>
      </w:pPr>
      <w:r>
        <w:rPr>
          <w:rtl/>
        </w:rPr>
        <w:t>ברכה הסמוכה לחברתה. רק צריך אלו בחתימה.</w:t>
      </w:r>
      <w:r>
        <w:rPr>
          <w:rStyle w:val="FootnoteReference"/>
          <w:rtl/>
        </w:rPr>
        <w:footnoteReference w:id="240"/>
      </w:r>
    </w:p>
    <w:p w:rsidR="00BF566B" w:rsidRDefault="00BF566B" w:rsidP="00BF566B">
      <w:pPr>
        <w:pStyle w:val="ListParagraph"/>
      </w:pPr>
      <w:r>
        <w:rPr>
          <w:rFonts w:hint="cs"/>
          <w:rtl/>
        </w:rPr>
        <w:t>אסור (ויל"ד אם מעכב) לשנות מקביעות חכמים לענין זה.</w:t>
      </w:r>
      <w:r w:rsidR="00296EF9">
        <w:rPr>
          <w:rStyle w:val="FootnoteReference"/>
          <w:rtl/>
        </w:rPr>
        <w:footnoteReference w:id="241"/>
      </w:r>
    </w:p>
    <w:p w:rsidR="00643327" w:rsidRDefault="00B63280" w:rsidP="008A6DF8">
      <w:pPr>
        <w:pStyle w:val="ListParagraph"/>
        <w:numPr>
          <w:ilvl w:val="0"/>
          <w:numId w:val="42"/>
        </w:numPr>
      </w:pPr>
      <w:r>
        <w:rPr>
          <w:rtl/>
        </w:rPr>
        <w:t>צריך לחתום מעין התחילה.</w:t>
      </w:r>
    </w:p>
    <w:p w:rsidR="00643327" w:rsidRDefault="00B63280" w:rsidP="008A6DF8">
      <w:pPr>
        <w:pStyle w:val="ListParagraph"/>
        <w:numPr>
          <w:ilvl w:val="0"/>
          <w:numId w:val="42"/>
        </w:numPr>
      </w:pPr>
      <w:r>
        <w:rPr>
          <w:rtl/>
        </w:rPr>
        <w:t>רק חותמים בדבר אחד.</w:t>
      </w:r>
      <w:r>
        <w:rPr>
          <w:rStyle w:val="FootnoteReference"/>
          <w:rtl/>
        </w:rPr>
        <w:footnoteReference w:id="242"/>
      </w:r>
    </w:p>
    <w:p w:rsidR="00643327" w:rsidRDefault="00B63280">
      <w:pPr>
        <w:pStyle w:val="Heading1"/>
      </w:pPr>
      <w:r>
        <w:rPr>
          <w:rtl/>
        </w:rPr>
        <w:t>לשונות של ברכת המזון:</w:t>
      </w:r>
    </w:p>
    <w:p w:rsidR="00643327" w:rsidRDefault="00B63280">
      <w:r>
        <w:rPr>
          <w:rtl/>
        </w:rPr>
        <w:t>יש ארבע ברכות בברכת המזון:</w:t>
      </w:r>
    </w:p>
    <w:p w:rsidR="00643327" w:rsidRDefault="00B63280">
      <w:pPr>
        <w:pStyle w:val="Heading2"/>
      </w:pPr>
      <w:r>
        <w:rPr>
          <w:rtl/>
        </w:rPr>
        <w:t>ברכת הזן:</w:t>
      </w:r>
    </w:p>
    <w:p w:rsidR="00643327" w:rsidRDefault="00B63280">
      <w:r>
        <w:rPr>
          <w:rtl/>
        </w:rPr>
        <w:t>מבאר גמ' דבר אחד:</w:t>
      </w:r>
    </w:p>
    <w:p w:rsidR="00643327" w:rsidRDefault="00B63280" w:rsidP="008A6DF8">
      <w:pPr>
        <w:pStyle w:val="ListParagraph"/>
        <w:numPr>
          <w:ilvl w:val="0"/>
          <w:numId w:val="44"/>
        </w:numPr>
      </w:pPr>
      <w:r>
        <w:rPr>
          <w:rtl/>
        </w:rPr>
        <w:lastRenderedPageBreak/>
        <w:t>אם אומר, "ומטובו הגדול," ולא "ובטובו הגדול" ה"ה בור, שמשמע שרק מקצת טוב של ה' בא לו.</w:t>
      </w:r>
      <w:r>
        <w:rPr>
          <w:rStyle w:val="FootnoteReference"/>
          <w:rtl/>
        </w:rPr>
        <w:footnoteReference w:id="243"/>
      </w:r>
    </w:p>
    <w:p w:rsidR="00643327" w:rsidRDefault="00B63280">
      <w:pPr>
        <w:pStyle w:val="Heading2"/>
      </w:pPr>
      <w:r>
        <w:rPr>
          <w:rtl/>
        </w:rPr>
        <w:t>ברכת הארץ:</w:t>
      </w:r>
    </w:p>
    <w:p w:rsidR="00643327" w:rsidRDefault="00B63280">
      <w:r>
        <w:rPr>
          <w:rtl/>
        </w:rPr>
        <w:t>מבאר גמרא שני דברים:</w:t>
      </w:r>
      <w:r>
        <w:rPr>
          <w:rStyle w:val="EndnoteReference"/>
          <w:rtl/>
        </w:rPr>
        <w:endnoteReference w:id="87"/>
      </w:r>
    </w:p>
    <w:p w:rsidR="00643327" w:rsidRDefault="00B63280" w:rsidP="008A6DF8">
      <w:pPr>
        <w:pStyle w:val="ListParagraph"/>
        <w:numPr>
          <w:ilvl w:val="0"/>
          <w:numId w:val="39"/>
        </w:numPr>
      </w:pPr>
      <w:r>
        <w:rPr>
          <w:rtl/>
        </w:rPr>
        <w:t>צריך לומר "ארץ חמדה טובה ורחבה." זה מעכב.</w:t>
      </w:r>
      <w:r>
        <w:rPr>
          <w:rStyle w:val="FootnoteReference"/>
          <w:rtl/>
        </w:rPr>
        <w:footnoteReference w:id="244"/>
      </w:r>
      <w:r>
        <w:rPr>
          <w:rStyle w:val="FootnoteCharacters"/>
          <w:rFonts w:ascii="Shofar" w:hAnsi="Shofar"/>
          <w:rtl/>
        </w:rPr>
        <w:t xml:space="preserve"> </w:t>
      </w:r>
      <w:r>
        <w:rPr>
          <w:rStyle w:val="EndnoteReference"/>
          <w:rFonts w:ascii="Shofar" w:hAnsi="Shofar"/>
          <w:rtl/>
        </w:rPr>
        <w:endnoteReference w:id="88"/>
      </w:r>
    </w:p>
    <w:p w:rsidR="00643327" w:rsidRDefault="00B63280" w:rsidP="008A6DF8">
      <w:pPr>
        <w:pStyle w:val="ListParagraph"/>
        <w:numPr>
          <w:ilvl w:val="0"/>
          <w:numId w:val="39"/>
        </w:numPr>
      </w:pPr>
      <w:r>
        <w:rPr>
          <w:rtl/>
        </w:rPr>
        <w:t>מי שחותם, "מנחיל ארצות" בור. אין זה מעכב.</w:t>
      </w:r>
      <w:r>
        <w:rPr>
          <w:rStyle w:val="FootnoteReference"/>
          <w:rtl/>
        </w:rPr>
        <w:footnoteReference w:id="245"/>
      </w:r>
    </w:p>
    <w:p w:rsidR="00643327" w:rsidRDefault="00B63280">
      <w:pPr>
        <w:pStyle w:val="Heading2"/>
      </w:pPr>
      <w:r>
        <w:rPr>
          <w:rtl/>
        </w:rPr>
        <w:t>ברכת בונה ירושלים:</w:t>
      </w:r>
    </w:p>
    <w:p w:rsidR="00643327" w:rsidRDefault="00B63280">
      <w:r>
        <w:rPr>
          <w:rtl/>
        </w:rPr>
        <w:t>מבאר גמרא חמש דברים:</w:t>
      </w:r>
    </w:p>
    <w:p w:rsidR="00643327" w:rsidRDefault="00B63280" w:rsidP="008A6DF8">
      <w:pPr>
        <w:pStyle w:val="ListParagraph"/>
        <w:numPr>
          <w:ilvl w:val="0"/>
          <w:numId w:val="40"/>
        </w:numPr>
      </w:pPr>
      <w:r>
        <w:rPr>
          <w:rtl/>
        </w:rPr>
        <w:t>צריך להזכיר מלכות בית דוד.</w:t>
      </w:r>
    </w:p>
    <w:p w:rsidR="00643327" w:rsidRDefault="00B63280" w:rsidP="008A6DF8">
      <w:pPr>
        <w:pStyle w:val="ListParagraph"/>
        <w:numPr>
          <w:ilvl w:val="0"/>
          <w:numId w:val="40"/>
        </w:numPr>
      </w:pPr>
      <w:r>
        <w:rPr>
          <w:rtl/>
        </w:rPr>
        <w:t>צריך להזכיר ברית, כיון שנכרת ברית הארץ עם מילה.</w:t>
      </w:r>
    </w:p>
    <w:p w:rsidR="00643327" w:rsidRDefault="00B63280" w:rsidP="008A6DF8">
      <w:pPr>
        <w:pStyle w:val="ListParagraph"/>
        <w:numPr>
          <w:ilvl w:val="0"/>
          <w:numId w:val="40"/>
        </w:numPr>
      </w:pPr>
      <w:r>
        <w:rPr>
          <w:rtl/>
        </w:rPr>
        <w:t>צריך להזכיר תורה, כיון שמחמת תורה ניתנה ארץ. צריך להזכיר אותו אחר הזכרת ברית, כיון שבברית כ' לשון "ברית" שלש עשרה פעמים ובתורה כ' "ברית" רק שלש פעמים.</w:t>
      </w:r>
      <w:r>
        <w:rPr>
          <w:rStyle w:val="FootnoteReference"/>
          <w:rtl/>
        </w:rPr>
        <w:footnoteReference w:id="246"/>
      </w:r>
    </w:p>
    <w:p w:rsidR="00643327" w:rsidRDefault="00B63280">
      <w:pPr>
        <w:ind w:left="360"/>
      </w:pPr>
      <w:r>
        <w:rPr>
          <w:rtl/>
        </w:rPr>
        <w:t>חולקים באלו אם מעכבים או לא.</w:t>
      </w:r>
      <w:r>
        <w:rPr>
          <w:rStyle w:val="FootnoteReference"/>
          <w:rtl/>
        </w:rPr>
        <w:footnoteReference w:id="247"/>
      </w:r>
    </w:p>
    <w:p w:rsidR="00643327" w:rsidRDefault="00B63280" w:rsidP="008A6DF8">
      <w:pPr>
        <w:pStyle w:val="ListParagraph"/>
        <w:numPr>
          <w:ilvl w:val="0"/>
          <w:numId w:val="40"/>
        </w:numPr>
      </w:pPr>
      <w:r>
        <w:rPr>
          <w:rtl/>
        </w:rPr>
        <w:t>צריך להזכיר הודאה תחילה וסוף. אם רק מזכיר אחד מהם, לא עשה כמצוותו. אם לא הזכיר אף אחד מהם, הרי זה מגונה</w:t>
      </w:r>
      <w:r>
        <w:rPr>
          <w:rStyle w:val="FootnoteReference"/>
          <w:rtl/>
        </w:rPr>
        <w:footnoteReference w:id="248"/>
      </w:r>
      <w:r>
        <w:rPr>
          <w:rtl/>
        </w:rPr>
        <w:t>. לכאו', לא מעכב, אבל כ' מג"א שמעכב.</w:t>
      </w:r>
    </w:p>
    <w:p w:rsidR="00643327" w:rsidRDefault="00B63280" w:rsidP="008A6DF8">
      <w:pPr>
        <w:pStyle w:val="ListParagraph"/>
        <w:numPr>
          <w:ilvl w:val="0"/>
          <w:numId w:val="40"/>
        </w:numPr>
      </w:pPr>
      <w:r>
        <w:rPr>
          <w:rtl/>
        </w:rPr>
        <w:t>יש שני התחלות שיכול לומר:</w:t>
      </w:r>
    </w:p>
    <w:p w:rsidR="00643327" w:rsidRDefault="00B63280" w:rsidP="008A6DF8">
      <w:pPr>
        <w:pStyle w:val="ListParagraph"/>
        <w:numPr>
          <w:ilvl w:val="1"/>
          <w:numId w:val="40"/>
        </w:numPr>
      </w:pPr>
      <w:r>
        <w:rPr>
          <w:rtl/>
        </w:rPr>
        <w:t>רחם על ירושלים. אם התחיל בזה, צריך לסיים בבונה ירושלים. לא מעכב.</w:t>
      </w:r>
      <w:r>
        <w:rPr>
          <w:rStyle w:val="EndnoteReference"/>
          <w:rtl/>
        </w:rPr>
        <w:endnoteReference w:id="89"/>
      </w:r>
    </w:p>
    <w:p w:rsidR="00643327" w:rsidRDefault="00B63280" w:rsidP="008A6DF8">
      <w:pPr>
        <w:pStyle w:val="ListParagraph"/>
        <w:numPr>
          <w:ilvl w:val="1"/>
          <w:numId w:val="40"/>
        </w:numPr>
      </w:pPr>
      <w:r>
        <w:rPr>
          <w:rtl/>
        </w:rPr>
        <w:t>רחם על ישראל. אם התחיל בזה, חולקים ר"נ ור"ש אם מסיים בבונה ירושלים (כיון שקיבוץ בנ"י נוגע לבנין ירושלים) או במושיע ישראל.</w:t>
      </w:r>
      <w:r>
        <w:rPr>
          <w:rStyle w:val="FootnoteReference"/>
          <w:rtl/>
        </w:rPr>
        <w:footnoteReference w:id="249"/>
      </w:r>
    </w:p>
    <w:p w:rsidR="00643327" w:rsidRDefault="00B63280">
      <w:pPr>
        <w:pStyle w:val="Heading2"/>
      </w:pPr>
      <w:r>
        <w:rPr>
          <w:rtl/>
        </w:rPr>
        <w:t>ברכת הטוב והמיטיב:</w:t>
      </w:r>
    </w:p>
    <w:p w:rsidR="00643327" w:rsidRDefault="00B63280">
      <w:r>
        <w:rPr>
          <w:rtl/>
        </w:rPr>
        <w:t>פותח בברוך ולא חותם בברוך. יש שני שיטות לבאר את זה:</w:t>
      </w:r>
    </w:p>
    <w:p w:rsidR="00643327" w:rsidRDefault="00B63280" w:rsidP="008A6DF8">
      <w:pPr>
        <w:pStyle w:val="ListParagraph"/>
        <w:numPr>
          <w:ilvl w:val="0"/>
          <w:numId w:val="41"/>
        </w:numPr>
      </w:pPr>
      <w:r>
        <w:rPr>
          <w:rtl/>
        </w:rPr>
        <w:t>אם הוא מדרבנן, אז פותח בברוך כמו כל ברכות, ולא חותם בברוך כיון שהוא, כמו ברכת פירות, הוא מענין אחד.</w:t>
      </w:r>
      <w:r>
        <w:rPr>
          <w:rStyle w:val="FootnoteReference"/>
          <w:rtl/>
        </w:rPr>
        <w:footnoteReference w:id="250"/>
      </w:r>
    </w:p>
    <w:p w:rsidR="00643327" w:rsidRDefault="00B63280" w:rsidP="008A6DF8">
      <w:pPr>
        <w:pStyle w:val="ListParagraph"/>
        <w:numPr>
          <w:ilvl w:val="0"/>
          <w:numId w:val="41"/>
        </w:numPr>
      </w:pPr>
      <w:r>
        <w:rPr>
          <w:rtl/>
        </w:rPr>
        <w:t>אם הוא מדאו', אז פותח בברוך ולא חותם. גמ' מק' מזה</w:t>
      </w:r>
      <w:r>
        <w:rPr>
          <w:rStyle w:val="FootnoteReference"/>
          <w:rtl/>
        </w:rPr>
        <w:footnoteReference w:id="251"/>
      </w:r>
      <w:r>
        <w:rPr>
          <w:rtl/>
        </w:rPr>
        <w:t>, אבל רש"י מפרש</w:t>
      </w:r>
      <w:r>
        <w:rPr>
          <w:rStyle w:val="FootnoteReference"/>
          <w:rtl/>
        </w:rPr>
        <w:footnoteReference w:id="252"/>
      </w:r>
      <w:r>
        <w:rPr>
          <w:rtl/>
        </w:rPr>
        <w:t xml:space="preserve"> שפותח בברוך כיון שפתיחה נחשב חתימה, כיון שהוא מענין אחד. (עדיין היה יכול לומר אותו רק בסוף, אבל אין צורך).</w:t>
      </w:r>
    </w:p>
    <w:p w:rsidR="00643327" w:rsidRDefault="00B63280">
      <w:r>
        <w:rPr>
          <w:rtl/>
        </w:rPr>
        <w:t>חולקים אם צריך לומר מלכות בו או לא. אם הוא מדאו', לא צריך לומר בו מלכות. רש"י מבאר שהוא מפני שהוא מברכת הארץ, שסמוך לה.</w:t>
      </w:r>
      <w:r>
        <w:rPr>
          <w:rStyle w:val="EndnoteReference"/>
          <w:rtl/>
        </w:rPr>
        <w:endnoteReference w:id="90"/>
      </w:r>
      <w:r>
        <w:rPr>
          <w:rtl/>
        </w:rPr>
        <w:t xml:space="preserve"> אם הוא מדרבנן, צריך לומר בו מלכות, שלא נח' סמוך לחברתה, כיון שהוא מדרבנן, וחברתה מדאו'.</w:t>
      </w:r>
      <w:r>
        <w:rPr>
          <w:rStyle w:val="FootnoteReference"/>
          <w:rtl/>
        </w:rPr>
        <w:footnoteReference w:id="253"/>
      </w:r>
    </w:p>
    <w:p w:rsidR="00643327" w:rsidRDefault="00B63280">
      <w:pPr>
        <w:pStyle w:val="Heading1"/>
      </w:pPr>
      <w:r>
        <w:rPr>
          <w:rtl/>
        </w:rPr>
        <w:t>לשון ברכת הזן:</w:t>
      </w:r>
    </w:p>
    <w:p w:rsidR="00643327" w:rsidRDefault="00B63280">
      <w:pPr>
        <w:rPr>
          <w:rFonts w:ascii="Shofar" w:hAnsi="Shofar"/>
        </w:rPr>
      </w:pPr>
      <w:r>
        <w:rPr>
          <w:rFonts w:ascii="Shofar" w:hAnsi="Shofar"/>
          <w:rtl/>
        </w:rPr>
        <w:t>מה מברכים:</w:t>
      </w:r>
    </w:p>
    <w:p w:rsidR="00643327" w:rsidRDefault="00B63280" w:rsidP="008A6DF8">
      <w:pPr>
        <w:numPr>
          <w:ilvl w:val="0"/>
          <w:numId w:val="43"/>
        </w:numPr>
      </w:pPr>
      <w:r>
        <w:rPr>
          <w:rFonts w:ascii="Shofar" w:hAnsi="Shofar"/>
          <w:rtl/>
        </w:rPr>
        <w:t>בשנים או שלש (עד עשר), לא מברך בשם, שאין דבר שבק' נאמר בלי עשר, שכ', "ונק' בתוך בנ"י" (ודור' ג"ש).</w:t>
      </w:r>
      <w:r>
        <w:rPr>
          <w:rStyle w:val="FootnoteCharacters"/>
          <w:rFonts w:ascii="Shofar" w:hAnsi="Shofar"/>
          <w:rtl/>
        </w:rPr>
        <w:t xml:space="preserve"> </w:t>
      </w:r>
      <w:r>
        <w:rPr>
          <w:rStyle w:val="FootnoteReference"/>
          <w:rFonts w:ascii="Shofar" w:hAnsi="Shofar"/>
          <w:rtl/>
        </w:rPr>
        <w:footnoteReference w:id="254"/>
      </w:r>
    </w:p>
    <w:p w:rsidR="00643327" w:rsidRDefault="00B63280" w:rsidP="008A6DF8">
      <w:pPr>
        <w:numPr>
          <w:ilvl w:val="0"/>
          <w:numId w:val="13"/>
        </w:numPr>
        <w:rPr>
          <w:rFonts w:ascii="Shofar" w:hAnsi="Shofar"/>
        </w:rPr>
      </w:pPr>
      <w:r>
        <w:rPr>
          <w:rFonts w:ascii="Shofar" w:hAnsi="Shofar"/>
          <w:rtl/>
        </w:rPr>
        <w:t>בעשר, מזמנים בשם ה'. לכן, לא יכולים עשר לחלק.</w:t>
      </w:r>
      <w:r>
        <w:rPr>
          <w:rStyle w:val="FootnoteReference"/>
          <w:rFonts w:ascii="Shofar" w:hAnsi="Shofar"/>
          <w:rtl/>
        </w:rPr>
        <w:footnoteReference w:id="255"/>
      </w:r>
    </w:p>
    <w:p w:rsidR="00643327" w:rsidRDefault="00B63280" w:rsidP="008A6DF8">
      <w:pPr>
        <w:numPr>
          <w:ilvl w:val="0"/>
          <w:numId w:val="13"/>
        </w:numPr>
        <w:rPr>
          <w:rFonts w:ascii="Shofar" w:hAnsi="Shofar"/>
        </w:rPr>
      </w:pPr>
      <w:r>
        <w:rPr>
          <w:rFonts w:ascii="Shofar" w:hAnsi="Shofar"/>
          <w:rtl/>
        </w:rPr>
        <w:t>במאה, חול' אם אומר כעין עשרה, או שמזמנים בשם "ה' אלקינו."</w:t>
      </w:r>
      <w:r>
        <w:rPr>
          <w:rStyle w:val="FootnoteReference"/>
          <w:rFonts w:ascii="Shofar" w:hAnsi="Shofar"/>
          <w:rtl/>
        </w:rPr>
        <w:footnoteReference w:id="256"/>
      </w:r>
      <w:r>
        <w:rPr>
          <w:rFonts w:ascii="Shofar" w:hAnsi="Shofar"/>
          <w:rtl/>
        </w:rPr>
        <w:t xml:space="preserve"> להל' אומר כעין עשרה.</w:t>
      </w:r>
      <w:r>
        <w:rPr>
          <w:rStyle w:val="FootnoteReference"/>
          <w:rFonts w:ascii="Shofar" w:hAnsi="Shofar"/>
          <w:rtl/>
        </w:rPr>
        <w:footnoteReference w:id="257"/>
      </w:r>
    </w:p>
    <w:p w:rsidR="00643327" w:rsidRDefault="00B63280" w:rsidP="008A6DF8">
      <w:pPr>
        <w:numPr>
          <w:ilvl w:val="0"/>
          <w:numId w:val="13"/>
        </w:numPr>
        <w:rPr>
          <w:rFonts w:ascii="Shofar" w:hAnsi="Shofar"/>
        </w:rPr>
      </w:pPr>
      <w:r>
        <w:rPr>
          <w:rFonts w:ascii="Shofar" w:hAnsi="Shofar"/>
          <w:rtl/>
        </w:rPr>
        <w:lastRenderedPageBreak/>
        <w:t>באלף, חול' אם אומר כעין עשרה, או שמזמנים בשם "ה' אלקינו אלקי ישראל."</w:t>
      </w:r>
      <w:r>
        <w:rPr>
          <w:rStyle w:val="FootnoteReference"/>
          <w:rFonts w:ascii="Shofar" w:hAnsi="Shofar"/>
          <w:rtl/>
        </w:rPr>
        <w:footnoteReference w:id="258"/>
      </w:r>
      <w:r>
        <w:rPr>
          <w:rFonts w:ascii="Shofar" w:hAnsi="Shofar"/>
          <w:rtl/>
        </w:rPr>
        <w:t xml:space="preserve"> להל' אומר כעין עשרה.</w:t>
      </w:r>
      <w:r>
        <w:rPr>
          <w:rStyle w:val="FootnoteReference"/>
          <w:rFonts w:ascii="Shofar" w:hAnsi="Shofar"/>
          <w:rtl/>
        </w:rPr>
        <w:footnoteReference w:id="259"/>
      </w:r>
    </w:p>
    <w:p w:rsidR="00643327" w:rsidRDefault="00B63280" w:rsidP="008A6DF8">
      <w:pPr>
        <w:numPr>
          <w:ilvl w:val="0"/>
          <w:numId w:val="13"/>
        </w:numPr>
        <w:rPr>
          <w:rFonts w:ascii="Shofar" w:hAnsi="Shofar"/>
        </w:rPr>
      </w:pPr>
      <w:r>
        <w:rPr>
          <w:rFonts w:ascii="Shofar" w:hAnsi="Shofar"/>
          <w:rtl/>
        </w:rPr>
        <w:t>בעשר אלפים, חול'</w:t>
      </w:r>
      <w:r>
        <w:rPr>
          <w:rStyle w:val="FootnoteReference"/>
          <w:rFonts w:ascii="Shofar" w:hAnsi="Shofar"/>
          <w:rtl/>
        </w:rPr>
        <w:footnoteReference w:id="260"/>
      </w:r>
      <w:r>
        <w:rPr>
          <w:rFonts w:ascii="Shofar" w:hAnsi="Shofar"/>
          <w:rtl/>
        </w:rPr>
        <w:t xml:space="preserve"> אם אומר כעין עשרה, או שמזמנים בשם "ה' אלקינו אלקי ישראל אלקי הצבאות יושב הכרובים."</w:t>
      </w:r>
      <w:r>
        <w:rPr>
          <w:rStyle w:val="FootnoteReference"/>
          <w:rFonts w:ascii="Shofar" w:hAnsi="Shofar"/>
          <w:rtl/>
        </w:rPr>
        <w:footnoteReference w:id="261"/>
      </w:r>
      <w:r>
        <w:rPr>
          <w:rFonts w:ascii="Shofar" w:hAnsi="Shofar"/>
          <w:rtl/>
        </w:rPr>
        <w:t xml:space="preserve"> להל' אומר כעין עשרה.</w:t>
      </w:r>
      <w:r>
        <w:rPr>
          <w:rStyle w:val="FootnoteReference"/>
          <w:rFonts w:ascii="Shofar" w:hAnsi="Shofar"/>
          <w:rtl/>
        </w:rPr>
        <w:footnoteReference w:id="262"/>
      </w:r>
    </w:p>
    <w:p w:rsidR="00643327" w:rsidRDefault="00B63280">
      <w:pPr>
        <w:ind w:left="360"/>
        <w:rPr>
          <w:rFonts w:ascii="Shofar" w:hAnsi="Shofar"/>
        </w:rPr>
      </w:pPr>
      <w:r>
        <w:rPr>
          <w:rFonts w:ascii="Shofar" w:hAnsi="Shofar"/>
          <w:rtl/>
        </w:rPr>
        <w:t>אם יש מנין הזה עם המברך, אומר "נברך.” אם יש מנין בלי המברך, טוב לומר</w:t>
      </w:r>
      <w:r>
        <w:rPr>
          <w:rStyle w:val="FootnoteReference"/>
          <w:rFonts w:ascii="Shofar" w:hAnsi="Shofar"/>
          <w:rtl/>
        </w:rPr>
        <w:footnoteReference w:id="263"/>
      </w:r>
      <w:r>
        <w:rPr>
          <w:rFonts w:ascii="Shofar" w:hAnsi="Shofar"/>
          <w:rtl/>
        </w:rPr>
        <w:t xml:space="preserve"> "נברך, אבל יכול לומר "ברכו."</w:t>
      </w:r>
      <w:r>
        <w:rPr>
          <w:rStyle w:val="FootnoteReference"/>
          <w:rFonts w:ascii="Shofar" w:hAnsi="Shofar"/>
          <w:rtl/>
        </w:rPr>
        <w:footnoteReference w:id="264"/>
      </w:r>
    </w:p>
    <w:p w:rsidR="00643327" w:rsidRDefault="00B63280">
      <w:pPr>
        <w:ind w:left="360"/>
        <w:rPr>
          <w:rFonts w:ascii="Shofar" w:hAnsi="Shofar"/>
        </w:rPr>
      </w:pPr>
      <w:r>
        <w:rPr>
          <w:rFonts w:ascii="Shofar" w:hAnsi="Shofar"/>
          <w:rtl/>
        </w:rPr>
        <w:t>גמ' מוסיף ? דברים:</w:t>
      </w:r>
    </w:p>
    <w:p w:rsidR="00643327" w:rsidRDefault="00B63280" w:rsidP="008A6DF8">
      <w:pPr>
        <w:pStyle w:val="ListParagraph"/>
        <w:numPr>
          <w:ilvl w:val="0"/>
          <w:numId w:val="45"/>
        </w:numPr>
        <w:rPr>
          <w:rFonts w:ascii="Shofar" w:hAnsi="Shofar"/>
        </w:rPr>
      </w:pPr>
      <w:r>
        <w:rPr>
          <w:rFonts w:ascii="Shofar" w:hAnsi="Shofar"/>
          <w:rtl/>
        </w:rPr>
        <w:t>אם אומר, "בטובו חיים," ולא "בטובו חיינו," הרי זה בור (שלא כלל א"ע</w:t>
      </w:r>
      <w:r>
        <w:rPr>
          <w:rStyle w:val="FootnoteReference"/>
          <w:rFonts w:ascii="Shofar" w:hAnsi="Shofar"/>
          <w:rtl/>
        </w:rPr>
        <w:footnoteReference w:id="265"/>
      </w:r>
      <w:r>
        <w:rPr>
          <w:rFonts w:ascii="Shofar" w:hAnsi="Shofar"/>
          <w:rtl/>
        </w:rPr>
        <w:t>). יש שמהפכים.</w:t>
      </w:r>
      <w:r>
        <w:rPr>
          <w:rStyle w:val="FootnoteReference"/>
          <w:rFonts w:ascii="Shofar" w:hAnsi="Shofar"/>
          <w:rtl/>
        </w:rPr>
        <w:footnoteReference w:id="266"/>
      </w:r>
    </w:p>
    <w:p w:rsidR="00643327" w:rsidRDefault="00B63280" w:rsidP="008A6DF8">
      <w:pPr>
        <w:pStyle w:val="ListParagraph"/>
        <w:numPr>
          <w:ilvl w:val="0"/>
          <w:numId w:val="45"/>
        </w:numPr>
        <w:rPr>
          <w:rFonts w:ascii="Shofar" w:hAnsi="Shofar"/>
        </w:rPr>
      </w:pPr>
      <w:r>
        <w:rPr>
          <w:rFonts w:ascii="Shofar" w:hAnsi="Shofar"/>
          <w:rtl/>
        </w:rPr>
        <w:t>אם אומר, "נברך למי שאכלנו משלו, " ולא "נברך שאכלנו משלו" הרי זה בור, שנ' כמברך לבעל הבית.</w:t>
      </w:r>
      <w:r>
        <w:rPr>
          <w:rStyle w:val="FootnoteReference"/>
          <w:rFonts w:ascii="Shofar" w:hAnsi="Shofar"/>
          <w:rtl/>
        </w:rPr>
        <w:footnoteReference w:id="267"/>
      </w:r>
      <w:r>
        <w:rPr>
          <w:rFonts w:ascii="Shofar" w:hAnsi="Shofar"/>
          <w:rtl/>
        </w:rPr>
        <w:t xml:space="preserve"> אין זה נוהג אם יש עשרה, שמזכיר שם ה'.</w:t>
      </w:r>
      <w:r>
        <w:rPr>
          <w:rStyle w:val="FootnoteReference"/>
          <w:rFonts w:ascii="Shofar" w:hAnsi="Shofar"/>
          <w:rtl/>
        </w:rPr>
        <w:footnoteReference w:id="268"/>
      </w:r>
    </w:p>
    <w:p w:rsidR="00643327" w:rsidRDefault="00B63280" w:rsidP="008A6DF8">
      <w:pPr>
        <w:pStyle w:val="ListParagraph"/>
        <w:numPr>
          <w:ilvl w:val="0"/>
          <w:numId w:val="45"/>
        </w:numPr>
        <w:rPr>
          <w:rFonts w:ascii="Shofar" w:hAnsi="Shofar"/>
        </w:rPr>
      </w:pPr>
      <w:r>
        <w:rPr>
          <w:rFonts w:ascii="Shofar" w:hAnsi="Shofar"/>
          <w:rtl/>
        </w:rPr>
        <w:t>אם אומר, "נברך על המזון שאכלנו," ולא "נברך שאכלנו משלו" הרי זה בור, שנ' שמברך את הלחם.</w:t>
      </w:r>
      <w:r>
        <w:rPr>
          <w:rStyle w:val="FootnoteReference"/>
          <w:rFonts w:ascii="Shofar" w:hAnsi="Shofar"/>
          <w:rtl/>
        </w:rPr>
        <w:footnoteReference w:id="269"/>
      </w:r>
      <w:r>
        <w:rPr>
          <w:rFonts w:ascii="Shofar" w:hAnsi="Shofar"/>
          <w:rtl/>
        </w:rPr>
        <w:t xml:space="preserve"> אין זה נוהג אם יש עשרה, שמזכיר שם ה'.</w:t>
      </w:r>
      <w:r>
        <w:rPr>
          <w:rStyle w:val="FootnoteReference"/>
          <w:rFonts w:ascii="Shofar" w:hAnsi="Shofar"/>
          <w:rtl/>
        </w:rPr>
        <w:footnoteReference w:id="270"/>
      </w:r>
    </w:p>
    <w:p w:rsidR="00643327" w:rsidRDefault="00643327"/>
    <w:sectPr w:rsidR="00643327">
      <w:pgSz w:w="12240" w:h="15840"/>
      <w:pgMar w:top="1440" w:right="1800" w:bottom="1440" w:left="1800" w:header="0" w:footer="0" w:gutter="0"/>
      <w:cols w:space="720"/>
      <w:formProt w:val="0"/>
      <w:bidi/>
      <w:docGrid w:linePitch="360" w:charSpace="12288"/>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A6DF8" w:rsidRDefault="008A6DF8">
      <w:r>
        <w:separator/>
      </w:r>
    </w:p>
  </w:endnote>
  <w:endnote w:type="continuationSeparator" w:id="0">
    <w:p w:rsidR="008A6DF8" w:rsidRDefault="008A6DF8">
      <w:r>
        <w:continuationSeparator/>
      </w:r>
    </w:p>
  </w:endnote>
  <w:endnote w:id="1">
    <w:p w:rsidR="00B63280" w:rsidRDefault="00B63280">
      <w:pPr>
        <w:pStyle w:val="EndnoteText"/>
      </w:pPr>
      <w:r>
        <w:rPr>
          <w:rStyle w:val="EndnoteCharacters"/>
        </w:rPr>
        <w:endnoteRef/>
      </w:r>
      <w:r>
        <w:rPr>
          <w:rtl/>
        </w:rPr>
        <w:t>קודם כל, צריך אני להעיר שרגיל אני להניח דברים (וכשאני מניח כן, אעיר שהנחתי), לא מפני שאני חושב שהוא נכון, אלא מפני שהוא יותר קל לבאר ולסכם. אם יש לי סיבה לחשוב שלא נכון, בדר"כ לא אעשה כן, אבל אם אין לי ראיה, כן אניח. אז, אין להביא שום הוכחה לשיטתי ממה שאני מניח בתוך הסיכום.</w:t>
      </w:r>
    </w:p>
  </w:endnote>
  <w:endnote w:id="2">
    <w:p w:rsidR="00B63280" w:rsidRDefault="00B63280">
      <w:pPr>
        <w:pStyle w:val="EndnoteText"/>
      </w:pPr>
      <w:r>
        <w:rPr>
          <w:rStyle w:val="EndnoteCharacters"/>
        </w:rPr>
        <w:endnoteRef/>
      </w:r>
      <w:r>
        <w:rPr>
          <w:rtl/>
        </w:rPr>
        <w:t xml:space="preserve"> </w:t>
      </w:r>
      <w:r>
        <w:rPr>
          <w:rtl/>
        </w:rPr>
        <w:t xml:space="preserve">יש </w:t>
      </w:r>
      <w:r>
        <w:rPr>
          <w:rtl/>
        </w:rPr>
        <w:t>לדון מהיכי תיתי שאין ברכות לגויים. חושב אני שאין הדין שצריכים לומר ברכות, אבל איני בטוח בזה. צריך לומר שסברה שאומר גמרא לדין זה (לה.) לא שייך לגויים. יש לדון למה.</w:t>
      </w:r>
    </w:p>
  </w:endnote>
  <w:endnote w:id="3">
    <w:p w:rsidR="00B63280" w:rsidRDefault="00B63280">
      <w:pPr>
        <w:pStyle w:val="EndnoteText"/>
      </w:pPr>
      <w:r>
        <w:rPr>
          <w:rStyle w:val="EndnoteCharacters"/>
        </w:rPr>
        <w:endnoteRef/>
      </w:r>
      <w:r>
        <w:rPr>
          <w:rtl/>
        </w:rPr>
        <w:t xml:space="preserve"> </w:t>
      </w:r>
      <w:r>
        <w:rPr>
          <w:rtl/>
        </w:rPr>
        <w:t xml:space="preserve">היה </w:t>
      </w:r>
      <w:r>
        <w:rPr>
          <w:rtl/>
        </w:rPr>
        <w:t>אפשר לומר שטוען שני ברכות לפניו או שני ברכות לאחריו. אבל, גמרא יודע מסברה שיהיה אחד לפניו ואחד לאחריו. יש להעיר שיותר פשוט לגמרא להיות לו ברכה מלפניו מברכה לאחריו. אז, ק"ק מהי"ת שאין שנים. היה אפשר לומר שצ"ל שאחד הוא לאחריו, כמו שאומר רש"י לקמן, מפני שמצאנו כבר ברכה לאחריו בפ' בתורה בקמה. יש להעיר שאז ברכה שלפניו יהיה דבר שנלמד בקל וחומר. כיון שדורשים כשיכולים, ולא אומרים שמילתא דאתיא בקל וחומר טרח וכ' ליה קרא אא"כ אין דרשה, לכאורה, נדרוש שני הקראי על ברכות לאחריו. אם כן, מקל וחומר גם נאמר שצריך שנים לפניו. ותחשב. (כמו כן, יש לומר שדורשים לעוד אחד לפניו, וצ' שנים לפניו ואחת לאחריו.)</w:t>
      </w:r>
    </w:p>
  </w:endnote>
  <w:endnote w:id="4">
    <w:p w:rsidR="00B63280" w:rsidRDefault="00B63280">
      <w:pPr>
        <w:pStyle w:val="EndnoteText"/>
      </w:pPr>
      <w:r>
        <w:rPr>
          <w:rStyle w:val="EndnoteCharacters"/>
        </w:rPr>
        <w:endnoteRef/>
      </w:r>
      <w:r>
        <w:rPr>
          <w:rtl/>
        </w:rPr>
        <w:t xml:space="preserve"> </w:t>
      </w:r>
      <w:r>
        <w:rPr>
          <w:rtl/>
        </w:rPr>
        <w:t xml:space="preserve">צריך </w:t>
      </w:r>
      <w:r>
        <w:rPr>
          <w:rtl/>
        </w:rPr>
        <w:t xml:space="preserve">לבאר את זה. </w:t>
      </w:r>
      <w:r>
        <w:rPr>
          <w:rFonts w:cstheme="minorBidi"/>
          <w:rtl/>
        </w:rPr>
        <w:t>רש"י</w:t>
      </w:r>
      <w:r>
        <w:rPr>
          <w:rtl/>
        </w:rPr>
        <w:t xml:space="preserve"> מפרש שאומר שצריך לברך "על אכילת זבח" כשאוכל זבח. לכאו', קשה, שאז מסתמא הוא ברכת מצווה (שצריך לברך כן לברכת מצווה). ויש לדון אם כל אכילת זבח מצווה. על כל פנים, לולי </w:t>
      </w:r>
      <w:r>
        <w:rPr>
          <w:rFonts w:cstheme="minorBidi"/>
          <w:rtl/>
        </w:rPr>
        <w:t>רש"י</w:t>
      </w:r>
      <w:r>
        <w:rPr>
          <w:rtl/>
        </w:rPr>
        <w:t xml:space="preserve">, היה נראה לומר </w:t>
      </w:r>
      <w:r>
        <w:rPr>
          <w:rFonts w:cstheme="minorBidi"/>
          <w:rtl/>
        </w:rPr>
        <w:t>שהוא</w:t>
      </w:r>
      <w:r>
        <w:rPr>
          <w:rtl/>
        </w:rPr>
        <w:t xml:space="preserve"> מראה חיוב ברכה ראשונה. אף </w:t>
      </w:r>
      <w:r>
        <w:rPr>
          <w:rFonts w:cstheme="minorBidi"/>
          <w:rtl/>
        </w:rPr>
        <w:t>רש"י</w:t>
      </w:r>
      <w:r>
        <w:rPr>
          <w:rtl/>
        </w:rPr>
        <w:t xml:space="preserve">, לכאו', רק אומר שזהו הברכה ראשונה. (וצריך ביאור.) </w:t>
      </w:r>
    </w:p>
    <w:p w:rsidR="00B63280" w:rsidRDefault="00B63280">
      <w:pPr>
        <w:pStyle w:val="EndnoteText"/>
      </w:pPr>
      <w:r>
        <w:rPr>
          <w:rtl/>
        </w:rPr>
        <w:t xml:space="preserve">יש לדון אם מחייב ברכה על זבח או על פת שמסתמא נאכל עמו. מרשי נראה פשוט שהוא הזבח. אבל, </w:t>
      </w:r>
      <w:r>
        <w:rPr>
          <w:rFonts w:cstheme="minorBidi"/>
          <w:rtl/>
        </w:rPr>
        <w:t>ק"ק</w:t>
      </w:r>
      <w:r>
        <w:rPr>
          <w:rtl/>
        </w:rPr>
        <w:t xml:space="preserve"> שקאי על תנאים אחרים שמגלים מקור לברכת פת. אולי סובר שפת יכול להיות נלמד מזבח. יש לדוןן.</w:t>
      </w:r>
    </w:p>
  </w:endnote>
  <w:endnote w:id="5">
    <w:p w:rsidR="00B63280" w:rsidRDefault="00B63280">
      <w:pPr>
        <w:pStyle w:val="EndnoteText"/>
      </w:pPr>
      <w:r>
        <w:rPr>
          <w:rStyle w:val="EndnoteCharacters"/>
        </w:rPr>
        <w:endnoteRef/>
      </w:r>
      <w:r>
        <w:rPr>
          <w:rtl/>
        </w:rPr>
        <w:t xml:space="preserve"> </w:t>
      </w:r>
      <w:r>
        <w:rPr>
          <w:rtl/>
        </w:rPr>
        <w:t xml:space="preserve">סברה </w:t>
      </w:r>
      <w:r>
        <w:rPr>
          <w:rtl/>
        </w:rPr>
        <w:t>זה רק מחייב מדרבנן. אז, לכאורה ר"ל שרבנן חייבו אותו כיון שהיה נראה להם מסברה. סברה זה לא יאמר שלהם שהוא דין דאורייתא (אף שלפעמים מוצאים כן, כמו פה שאסר פה שהתיר ומוציא מחבירו עליו הראיה), אלא הגיד להם שיחייבו לברך.</w:t>
      </w:r>
    </w:p>
  </w:endnote>
  <w:endnote w:id="6">
    <w:p w:rsidR="00B63280" w:rsidRDefault="00B63280">
      <w:pPr>
        <w:pStyle w:val="EndnoteText"/>
      </w:pPr>
      <w:r>
        <w:rPr>
          <w:rStyle w:val="EndnoteCharacters"/>
        </w:rPr>
        <w:endnoteRef/>
      </w:r>
      <w:r>
        <w:rPr>
          <w:rtl/>
        </w:rPr>
        <w:t xml:space="preserve">יש </w:t>
      </w:r>
      <w:r>
        <w:rPr>
          <w:rtl/>
        </w:rPr>
        <w:t>להעיר שלמעשה, גמרא לא דורש אלא מסברה. כן מבואר מגמרא (כ:) שאומר שבעל קרי לא מברך לפני אכילת מזון, ובגמ’ (כא.) תולה ברכתו על חיובו מדאו’. אז, נמצא שפטור מברכה ראשונה מדאו’. צריך לומר שגמ’ רק דרש אלו אם היה הכרח ממה שמשניות מחייבים ברכה. אבל, כיון שאין אותו הכרח, לא מניחים דרשות אלו.</w:t>
      </w:r>
    </w:p>
  </w:endnote>
  <w:endnote w:id="7">
    <w:p w:rsidR="00B63280" w:rsidRDefault="00B63280">
      <w:pPr>
        <w:pStyle w:val="EndnoteText"/>
      </w:pPr>
      <w:r>
        <w:rPr>
          <w:rStyle w:val="EndnoteCharacters"/>
        </w:rPr>
        <w:endnoteRef/>
      </w:r>
      <w:r>
        <w:rPr>
          <w:rtl/>
        </w:rPr>
        <w:t xml:space="preserve"> </w:t>
      </w:r>
      <w:r>
        <w:rPr>
          <w:rtl/>
        </w:rPr>
        <w:t xml:space="preserve">יש </w:t>
      </w:r>
      <w:r>
        <w:rPr>
          <w:rtl/>
        </w:rPr>
        <w:t>לדון על מה קאי, אם קאי על בשר, שאז רק רואים חיוב לבשר, או כל הסעודה, ומסתמא היה שם לחם.</w:t>
      </w:r>
    </w:p>
  </w:endnote>
  <w:endnote w:id="8">
    <w:p w:rsidR="00B63280" w:rsidRDefault="00B63280">
      <w:pPr>
        <w:pStyle w:val="EndnoteText"/>
      </w:pPr>
      <w:r>
        <w:rPr>
          <w:rStyle w:val="EndnoteCharacters"/>
        </w:rPr>
        <w:endnoteRef/>
      </w:r>
      <w:r>
        <w:rPr>
          <w:rtl/>
        </w:rPr>
        <w:t xml:space="preserve"> </w:t>
      </w:r>
      <w:r>
        <w:rPr>
          <w:rtl/>
        </w:rPr>
        <w:t xml:space="preserve">מלשון </w:t>
      </w:r>
      <w:r>
        <w:rPr>
          <w:rtl/>
        </w:rPr>
        <w:t>גמרא כשמבאר מה זה ממעט, נראה שלא רק מה שיש לו דין נטע רבעי וכדומה בכלל, אלא כל דבר שבא מן הקרקע. לכאורה, זה מפני שהפירכא בא ממה שבא מן הקרקע, ולא ממה שהוא נטוע וחייב בנטע רבעי. (יש לדון למה, שהרי פורך ממה ששאר חיובים (כמו ביכורים וחלה) שייכים במינים שונים. היה אומר שגמרא רק אומר כן כיון שיכול ללמוד אף מפת, ואז יש צד השווה, אבל אין הלשון נראה כן.</w:t>
      </w:r>
    </w:p>
  </w:endnote>
  <w:endnote w:id="9">
    <w:p w:rsidR="00B63280" w:rsidRDefault="00B63280">
      <w:pPr>
        <w:pStyle w:val="EndnoteText"/>
      </w:pPr>
      <w:r>
        <w:rPr>
          <w:rStyle w:val="EndnoteCharacters"/>
        </w:rPr>
        <w:endnoteRef/>
      </w:r>
      <w:r>
        <w:rPr>
          <w:rtl/>
        </w:rPr>
        <w:t xml:space="preserve"> </w:t>
      </w:r>
      <w:r>
        <w:rPr>
          <w:rtl/>
        </w:rPr>
        <w:t xml:space="preserve">לעיל, </w:t>
      </w:r>
      <w:r>
        <w:rPr>
          <w:rtl/>
        </w:rPr>
        <w:t>כתבנו שקאי על פת. נראה שאין הכי נמי, חולקים הם, והם הו"א אחרים בגמרא אחת. נמצא שאין כל מה שכתבנו מודה למה שכתבנו, ואנחנו רק באנו לכתוב כל היכולות.</w:t>
      </w:r>
    </w:p>
  </w:endnote>
  <w:endnote w:id="10">
    <w:p w:rsidR="00B63280" w:rsidRDefault="00B63280">
      <w:pPr>
        <w:pStyle w:val="EndnoteText"/>
      </w:pPr>
      <w:r>
        <w:rPr>
          <w:rStyle w:val="EndnoteCharacters"/>
        </w:rPr>
        <w:endnoteRef/>
      </w:r>
      <w:r>
        <w:rPr>
          <w:rtl/>
        </w:rPr>
        <w:t xml:space="preserve"> </w:t>
      </w:r>
      <w:r>
        <w:rPr>
          <w:rtl/>
        </w:rPr>
        <w:t xml:space="preserve">אף </w:t>
      </w:r>
      <w:r>
        <w:rPr>
          <w:rtl/>
        </w:rPr>
        <w:t>שלכאורה, יש לפרוך שלנטיעות יש חיוב נטע רבעי, עיין לעיל שהוכחנו שלומדים ברכת פת ממנו.</w:t>
      </w:r>
    </w:p>
  </w:endnote>
  <w:endnote w:id="11">
    <w:p w:rsidR="00B63280" w:rsidRDefault="00B63280">
      <w:pPr>
        <w:pStyle w:val="EndnoteText"/>
      </w:pPr>
      <w:r>
        <w:rPr>
          <w:rStyle w:val="EndnoteCharacters"/>
        </w:rPr>
        <w:endnoteRef/>
      </w:r>
      <w:r>
        <w:rPr>
          <w:rtl/>
        </w:rPr>
        <w:t xml:space="preserve"> </w:t>
      </w:r>
      <w:r>
        <w:rPr>
          <w:rtl/>
        </w:rPr>
        <w:t xml:space="preserve">ואם </w:t>
      </w:r>
      <w:r>
        <w:rPr>
          <w:rtl/>
        </w:rPr>
        <w:t>תאמר נדרוש אותו לברכה לפניו (ובפרט כיון שיש קל וחומר לחייב אותו). וי"ל שכיון שרק מצאנו בתורה חיוב ברכה לאחריו, לזה דורשים אותו.</w:t>
      </w:r>
    </w:p>
  </w:endnote>
  <w:endnote w:id="12">
    <w:p w:rsidR="00B63280" w:rsidRDefault="00B63280">
      <w:pPr>
        <w:pStyle w:val="EndnoteText"/>
      </w:pPr>
      <w:r>
        <w:rPr>
          <w:rStyle w:val="EndnoteCharacters"/>
        </w:rPr>
        <w:endnoteRef/>
      </w:r>
      <w:r>
        <w:rPr>
          <w:rtl/>
        </w:rPr>
        <w:t xml:space="preserve"> </w:t>
      </w:r>
      <w:r>
        <w:rPr>
          <w:rtl/>
        </w:rPr>
        <w:t xml:space="preserve">ואם </w:t>
      </w:r>
      <w:r>
        <w:rPr>
          <w:rtl/>
        </w:rPr>
        <w:t>תאמר הרי הדרשה הוא רק ממה שנקרא כרם, ומצאנו שאף זית נקרא כרם. וי"ל שלא נקרא כרם אלא כרם זית.</w:t>
      </w:r>
    </w:p>
  </w:endnote>
  <w:endnote w:id="13">
    <w:p w:rsidR="00B63280" w:rsidRDefault="00B63280" w:rsidP="00482DA7">
      <w:pPr>
        <w:pStyle w:val="EndnoteText"/>
      </w:pPr>
      <w:r>
        <w:rPr>
          <w:rStyle w:val="EndnoteCharacters"/>
        </w:rPr>
        <w:endnoteRef/>
      </w:r>
      <w:r>
        <w:rPr>
          <w:rtl/>
        </w:rPr>
        <w:t xml:space="preserve">יש </w:t>
      </w:r>
      <w:r>
        <w:rPr>
          <w:rtl/>
        </w:rPr>
        <w:t>להעיר שלמעשה, גמרא לא דורש אלא מסברה. כן מבואר מגמרא (כ:) שאומר שבעל קרי לא מברך לפני אכילת מזון, ובגמ’ (כא.) תולה ברכתו על חיובו מדאו’. אז, נמצא שפטור מברכה ראשונה מדאו’. צריך לומר שגמ’ רק דרש אלו אם היה הכרח ממה שמשניות מחייבים ברכה. אבל, כיון שאין אותו הכרח, לא מניחים דרשות אלו.</w:t>
      </w:r>
    </w:p>
  </w:endnote>
  <w:endnote w:id="14">
    <w:p w:rsidR="00B63280" w:rsidRDefault="00B63280" w:rsidP="00482DA7">
      <w:pPr>
        <w:pStyle w:val="EndnoteText"/>
      </w:pPr>
      <w:r>
        <w:rPr>
          <w:rStyle w:val="EndnoteCharacters"/>
        </w:rPr>
        <w:endnoteRef/>
      </w:r>
      <w:r>
        <w:rPr>
          <w:rtl/>
        </w:rPr>
        <w:t xml:space="preserve"> </w:t>
      </w:r>
      <w:r>
        <w:rPr>
          <w:rtl/>
        </w:rPr>
        <w:t xml:space="preserve">יש </w:t>
      </w:r>
      <w:r>
        <w:rPr>
          <w:rtl/>
        </w:rPr>
        <w:t>לדון על מה קאי, אם קאי על בשר, שאז רק רואים חיוב לבשר, או כל הסעודה, ומסתמא היה שם לחם.</w:t>
      </w:r>
    </w:p>
  </w:endnote>
  <w:endnote w:id="15">
    <w:p w:rsidR="00B63280" w:rsidRDefault="00B63280" w:rsidP="00482DA7">
      <w:pPr>
        <w:pStyle w:val="EndnoteText"/>
      </w:pPr>
      <w:r>
        <w:rPr>
          <w:rStyle w:val="EndnoteCharacters"/>
        </w:rPr>
        <w:endnoteRef/>
      </w:r>
      <w:r>
        <w:rPr>
          <w:rtl/>
        </w:rPr>
        <w:t xml:space="preserve"> </w:t>
      </w:r>
      <w:r>
        <w:rPr>
          <w:rtl/>
        </w:rPr>
        <w:t>מלשון גמרא כשמבאר מה זה ממעט, נראה שלא רק מה שיש לו דין נטע רבעי וכדומה בכלל, אלא כל דבר שבא מן הקרקע. לכאורה, זה מפני שהפירכא בא ממה שבא מן הקרקע, ולא ממה שהוא נטוע וחייב בנטע רבעי. (יש לדון למה, שהרי פורך ממה ששאר חיובים (כמו ביכורים וחלה) שייכים במינים שונים. היה אומר שגמרא רק אומר כן כיון שיכול ללמוד אף מפת, ואז יש צד השווה, אבל אין הלשון נראה כן.</w:t>
      </w:r>
    </w:p>
  </w:endnote>
  <w:endnote w:id="16">
    <w:p w:rsidR="00B63280" w:rsidRDefault="00B63280" w:rsidP="00B63280">
      <w:pPr>
        <w:pStyle w:val="EndnoteText"/>
      </w:pPr>
      <w:r>
        <w:rPr>
          <w:rStyle w:val="EndnoteCharacters"/>
        </w:rPr>
        <w:endnoteRef/>
      </w:r>
      <w:r>
        <w:rPr>
          <w:rtl/>
        </w:rPr>
        <w:t xml:space="preserve"> </w:t>
      </w:r>
      <w:r>
        <w:rPr>
          <w:rtl/>
        </w:rPr>
        <w:t xml:space="preserve">לעיל, </w:t>
      </w:r>
      <w:r>
        <w:rPr>
          <w:rtl/>
        </w:rPr>
        <w:t>כתבנו שקאי על פת. נראה שאין הכי נמי, חולקים הם, והם הו"א אחרים בגמרא אחת. נמצא שאין כל מה שכתבנו מודה למה שכתבנו, ואנחנו רק באנו לכתוב כל היכולות.</w:t>
      </w:r>
    </w:p>
  </w:endnote>
  <w:endnote w:id="17">
    <w:p w:rsidR="00B63280" w:rsidRDefault="00B63280" w:rsidP="00B63280">
      <w:pPr>
        <w:pStyle w:val="EndnoteText"/>
      </w:pPr>
      <w:r>
        <w:rPr>
          <w:rStyle w:val="EndnoteCharacters"/>
        </w:rPr>
        <w:endnoteRef/>
      </w:r>
      <w:r>
        <w:rPr>
          <w:rtl/>
        </w:rPr>
        <w:t xml:space="preserve"> </w:t>
      </w:r>
      <w:r>
        <w:rPr>
          <w:rtl/>
        </w:rPr>
        <w:t>אף שלכאורה, יש לפרוך שלנטיעות יש חיוב נטע רבעי, עיין לעיל שהוכחנו שלומדים ברכת פת ממנו.</w:t>
      </w:r>
    </w:p>
  </w:endnote>
  <w:endnote w:id="18">
    <w:p w:rsidR="00B63280" w:rsidRDefault="00B63280" w:rsidP="00B63280">
      <w:pPr>
        <w:pStyle w:val="EndnoteText"/>
      </w:pPr>
      <w:r>
        <w:rPr>
          <w:rStyle w:val="EndnoteCharacters"/>
        </w:rPr>
        <w:endnoteRef/>
      </w:r>
      <w:r>
        <w:rPr>
          <w:rtl/>
        </w:rPr>
        <w:t xml:space="preserve"> </w:t>
      </w:r>
      <w:r>
        <w:rPr>
          <w:rtl/>
        </w:rPr>
        <w:t xml:space="preserve">ואם </w:t>
      </w:r>
      <w:r>
        <w:rPr>
          <w:rtl/>
        </w:rPr>
        <w:t>תאמר נדרוש אותו לברכה לפניו (ובפרט כיון שיש קל וחומר לחייב אותו). וי"ל שכיון שרק מצאנו בתורה חיוב ברכה לאחריו, לזה דורשים אותו.</w:t>
      </w:r>
    </w:p>
  </w:endnote>
  <w:endnote w:id="19">
    <w:p w:rsidR="00B63280" w:rsidRDefault="00B63280" w:rsidP="00B63280">
      <w:pPr>
        <w:pStyle w:val="EndnoteText"/>
      </w:pPr>
      <w:r>
        <w:rPr>
          <w:rStyle w:val="EndnoteCharacters"/>
        </w:rPr>
        <w:endnoteRef/>
      </w:r>
      <w:r>
        <w:rPr>
          <w:rtl/>
        </w:rPr>
        <w:t xml:space="preserve"> </w:t>
      </w:r>
      <w:r>
        <w:rPr>
          <w:rtl/>
        </w:rPr>
        <w:t xml:space="preserve">ואם </w:t>
      </w:r>
      <w:r>
        <w:rPr>
          <w:rtl/>
        </w:rPr>
        <w:t>תאמר הרי הדרשה הוא רק ממה שנקרא כרם, ומצאנו שאף זית נקרא כרם. וי"ל שלא נקרא כרם אלא כרם זית.</w:t>
      </w:r>
    </w:p>
  </w:endnote>
  <w:endnote w:id="20">
    <w:p w:rsidR="00B63280" w:rsidRDefault="00B63280">
      <w:pPr>
        <w:pStyle w:val="EndnoteText"/>
      </w:pPr>
      <w:r>
        <w:rPr>
          <w:rStyle w:val="EndnoteCharacters"/>
        </w:rPr>
        <w:endnoteRef/>
      </w:r>
      <w:r>
        <w:rPr>
          <w:rtl/>
        </w:rPr>
        <w:t xml:space="preserve">חלקו </w:t>
      </w:r>
      <w:r>
        <w:rPr>
          <w:rtl/>
        </w:rPr>
        <w:t>הפוסקים אם יאמר קמ"ץ תחת היו"ד או סג"ל.</w:t>
      </w:r>
    </w:p>
  </w:endnote>
  <w:endnote w:id="21">
    <w:p w:rsidR="00B63280" w:rsidRDefault="00B63280">
      <w:pPr>
        <w:pStyle w:val="EndnoteText"/>
      </w:pPr>
      <w:r>
        <w:rPr>
          <w:rStyle w:val="EndnoteCharacters"/>
        </w:rPr>
        <w:endnoteRef/>
      </w:r>
      <w:r>
        <w:rPr>
          <w:rtl/>
        </w:rPr>
        <w:t xml:space="preserve"> </w:t>
      </w:r>
      <w:r>
        <w:rPr>
          <w:rtl/>
        </w:rPr>
        <w:t xml:space="preserve">יש </w:t>
      </w:r>
      <w:r>
        <w:rPr>
          <w:rtl/>
        </w:rPr>
        <w:t>להעיר שאולי כל דין זה הוא רק מפני דין צורת הפת. אם אינו מפני אותו הדין, יש לדון אם דינים שבפסחים וכאן הם מח' דין זה או דין צורת הפת. היה נראה לומר שדינים של כאן הם מפני צורת הפת, שאומר גמרא אותם מיד אחר שמביא הדין שצריך להיות לו צורת הפת.</w:t>
      </w:r>
    </w:p>
  </w:endnote>
  <w:endnote w:id="22">
    <w:p w:rsidR="00B63280" w:rsidRDefault="00B63280">
      <w:pPr>
        <w:pStyle w:val="EndnoteText"/>
      </w:pPr>
      <w:r>
        <w:rPr>
          <w:rStyle w:val="EndnoteCharacters"/>
        </w:rPr>
        <w:endnoteRef/>
      </w:r>
      <w:r>
        <w:rPr>
          <w:rtl/>
        </w:rPr>
        <w:t xml:space="preserve"> </w:t>
      </w:r>
      <w:r>
        <w:rPr>
          <w:rtl/>
        </w:rPr>
        <w:t xml:space="preserve">דע </w:t>
      </w:r>
      <w:r>
        <w:rPr>
          <w:rtl/>
        </w:rPr>
        <w:t>שהייתי אפשר לכתוב את זה לשיעור, ולא ל"מהו פת," אבל מגמרא (פרוסה גדולה) יוצא שאינו שיעור אכילה, אלא שיעור החפץ שממנו אוכל, וגדלותו נותן לו חשיבות. אז, נראה לי שייחשב בתוך "מהו פת."</w:t>
      </w:r>
    </w:p>
  </w:endnote>
  <w:endnote w:id="23">
    <w:p w:rsidR="00B63280" w:rsidRDefault="00B63280">
      <w:pPr>
        <w:pStyle w:val="EndnoteText"/>
      </w:pPr>
      <w:r>
        <w:rPr>
          <w:rStyle w:val="EndnoteCharacters"/>
        </w:rPr>
        <w:endnoteRef/>
      </w:r>
      <w:r>
        <w:rPr>
          <w:rtl/>
        </w:rPr>
        <w:t xml:space="preserve"> </w:t>
      </w:r>
      <w:r>
        <w:rPr>
          <w:rtl/>
        </w:rPr>
        <w:t xml:space="preserve">יש </w:t>
      </w:r>
      <w:r>
        <w:rPr>
          <w:rtl/>
        </w:rPr>
        <w:t>לדון אם זה דין בפת או דין באכילה. מגמרא משמע שתלוי בכוונת העושה, ואז הוא דין בפת. ותו"ת.  ויש לדון, שגמרא לקמן גם משמע ששותה אותו מחמת רפואה, ולא כדי לאכול. וצריך לעיין.</w:t>
      </w:r>
    </w:p>
  </w:endnote>
  <w:endnote w:id="24">
    <w:p w:rsidR="00B63280" w:rsidRDefault="00B63280">
      <w:pPr>
        <w:pStyle w:val="EndnoteText"/>
      </w:pPr>
      <w:r>
        <w:rPr>
          <w:rStyle w:val="EndnoteCharacters"/>
        </w:rPr>
        <w:endnoteRef/>
      </w:r>
      <w:r>
        <w:rPr>
          <w:rtl/>
        </w:rPr>
        <w:t xml:space="preserve">איני </w:t>
      </w:r>
      <w:r>
        <w:rPr>
          <w:rtl/>
        </w:rPr>
        <w:t xml:space="preserve">יודע גדר של דין זה (שצריך להיות מבושל). אולי צריך להיות מעשה קדרה; אבל, רואים היום שעל כל אורז מבושל מברכים במ"מ. נראה שרק צ"ל נאכל כדרכו. ותו"ת. </w:t>
      </w:r>
    </w:p>
  </w:endnote>
  <w:endnote w:id="25">
    <w:p w:rsidR="00B63280" w:rsidRDefault="00B63280">
      <w:pPr>
        <w:pStyle w:val="EndnoteText"/>
      </w:pPr>
      <w:r>
        <w:rPr>
          <w:rStyle w:val="EndnoteCharacters"/>
        </w:rPr>
        <w:endnoteRef/>
      </w:r>
      <w:r>
        <w:rPr>
          <w:rtl/>
        </w:rPr>
        <w:t xml:space="preserve">איני </w:t>
      </w:r>
      <w:r>
        <w:rPr>
          <w:rtl/>
        </w:rPr>
        <w:t>יודע אם דין זה נכון, אבל נראה מסתבר שאם אף תבשיל של חמשת המינים, שהוא חשוב, מברכים עליו שהכל אם נעשה לרפואה, אז אף אורז, שלא חשוב, מברכים עליו שהכל אם נעשה לרפואה.</w:t>
      </w:r>
    </w:p>
  </w:endnote>
  <w:endnote w:id="26">
    <w:p w:rsidR="00B63280" w:rsidRDefault="00B63280">
      <w:pPr>
        <w:pStyle w:val="EndnoteText"/>
      </w:pPr>
      <w:r>
        <w:rPr>
          <w:rStyle w:val="EndnoteCharacters"/>
        </w:rPr>
        <w:endnoteRef/>
      </w:r>
      <w:r>
        <w:rPr>
          <w:rtl/>
        </w:rPr>
        <w:t xml:space="preserve"> </w:t>
      </w:r>
      <w:r>
        <w:rPr>
          <w:rtl/>
        </w:rPr>
        <w:t xml:space="preserve">אין </w:t>
      </w:r>
      <w:r>
        <w:rPr>
          <w:rtl/>
        </w:rPr>
        <w:t>אלו כל כך פשוטים. הגמרא אומר כך: חולקים מהו הדין בקורה. רב יהודה אומר שהוא בפה"א, ושמואל אומר שהוא שהכל. שמואל אומר שמסתבר לומר כרב יהודה כיון שאף על פי שצנון עומד להתקשות, ברכתו בפה"א. דוחה גמ' שנוטעים אותו על דעת הפרי. שוב פוסק כשמואל. פרשנו שיש שני דברים שעושים אותו שהכל, ושמואל פסק מפני הראשון (מה שיתקשה), אבל גמרא פסוק כמותו (כיון שהודה לר"י שמש"א ר"י מס') מפני השני. היה אפשר לומר שאינו כן, וגמ' פוסק כמותו מפני צירוף (או שאחד מחשיב את השני, שאולי מה שיתקשה אינו כל כך חשוב אם גדלו על דעת לאכול אותו קודם לכן. ותחשב.)</w:t>
      </w:r>
    </w:p>
  </w:endnote>
  <w:endnote w:id="27">
    <w:p w:rsidR="00B63280" w:rsidRDefault="00B63280">
      <w:pPr>
        <w:pStyle w:val="EndnoteText"/>
      </w:pPr>
      <w:r>
        <w:rPr>
          <w:rStyle w:val="EndnoteCharacters"/>
        </w:rPr>
        <w:endnoteRef/>
      </w:r>
      <w:r>
        <w:rPr>
          <w:rtl/>
        </w:rPr>
        <w:t xml:space="preserve"> </w:t>
      </w:r>
      <w:r>
        <w:rPr>
          <w:rtl/>
        </w:rPr>
        <w:t xml:space="preserve">אין </w:t>
      </w:r>
      <w:r>
        <w:rPr>
          <w:rtl/>
        </w:rPr>
        <w:t xml:space="preserve">זה כל כך פשוט. גמרא מקשה על מי שלא הנהיג בקפריסים כמו פרי שהרי הם בפה"ע. דן בזה. מסיק בה"ג (כתוב בגמ', אבל מהרש"ל כ', וכ"כ רא"ש, שהוא מבה"ג) שאינם פרי, ואז דינים בהפ"א. היה אפשר לפרש שק' גמ' הוא שכיון שאינו פרי, אין ברכות שמז' פרי נאמרים עליו. אז, צ"ל שהכל נהיה בדברו. כנראה, בה"ג לא פ' כן, אלא סובר שאינו נח' פרי של עץ אלא פרי של אדמה. </w:t>
      </w:r>
    </w:p>
  </w:endnote>
  <w:endnote w:id="28">
    <w:p w:rsidR="00B63280" w:rsidRDefault="00B63280">
      <w:pPr>
        <w:pStyle w:val="EndnoteText"/>
      </w:pPr>
      <w:r>
        <w:rPr>
          <w:rStyle w:val="EndnoteCharacters"/>
        </w:rPr>
        <w:endnoteRef/>
      </w:r>
      <w:r>
        <w:rPr>
          <w:rtl/>
        </w:rPr>
        <w:t xml:space="preserve"> </w:t>
      </w:r>
      <w:r>
        <w:rPr>
          <w:rtl/>
        </w:rPr>
        <w:t xml:space="preserve">אין </w:t>
      </w:r>
      <w:r>
        <w:rPr>
          <w:rtl/>
        </w:rPr>
        <w:t>זה כל כך פשוט. גמרא מזכיר שלש שיטות בענין שלקים: הם שהכל, הם בפה"א, ותלוי אם תחילתם היה שהכל או בורא פרי האדמה. ראשון, יש להעיר שרואים חילוק בין אם אוכל אותו כדרכו או לא. שני, צריך לדון במחלקת זה. הנחנו שכולי עלמא מודו שאם לא אוכל כדרכו יברך שהכל נהיה בדברו. אין זה מוכרח, אבל כן מסתבר. אז, צריך להיות שחולקים באם נאכלים שלקות, והצד לומר עליו שהכל הוא שנשתנו מן הפרי שיצא מן האדמה.</w:t>
      </w:r>
    </w:p>
  </w:endnote>
  <w:endnote w:id="29">
    <w:p w:rsidR="00B63280" w:rsidRDefault="00B63280">
      <w:pPr>
        <w:pStyle w:val="EndnoteText"/>
      </w:pPr>
      <w:r>
        <w:rPr>
          <w:rStyle w:val="EndnoteCharacters"/>
        </w:rPr>
        <w:endnoteRef/>
      </w:r>
      <w:r>
        <w:rPr>
          <w:rtl/>
        </w:rPr>
        <w:t>יש כמה דינים כאן שמצאתי בברכת בורא פרי האדמה והנחתי שהיו אף בבורא פרי העץ. אולי אינו שווה.</w:t>
      </w:r>
    </w:p>
  </w:endnote>
  <w:endnote w:id="30">
    <w:p w:rsidR="00B63280" w:rsidRDefault="00B63280">
      <w:pPr>
        <w:pStyle w:val="EndnoteText"/>
      </w:pPr>
      <w:r>
        <w:rPr>
          <w:rStyle w:val="EndnoteCharacters"/>
        </w:rPr>
        <w:endnoteRef/>
      </w:r>
      <w:r>
        <w:rPr>
          <w:rtl/>
        </w:rPr>
        <w:t xml:space="preserve"> </w:t>
      </w:r>
      <w:r>
        <w:rPr>
          <w:rtl/>
        </w:rPr>
        <w:t xml:space="preserve">יש </w:t>
      </w:r>
      <w:r>
        <w:rPr>
          <w:rtl/>
        </w:rPr>
        <w:t>להעיר שאולי כל דין זה הוא רק מפני דין צורת הפת. אם אינו מפני אותו הדין, יש לדון אם דינים שבפסחים וכאן הם מח' דין זה או דין צורת הפת. היה נראה לומר שדינים של כאן הם מפני צורת הפת, שאומר גמרא אותם מיד אחר שמביא הדין שצריך להיות לו צורת הפת.</w:t>
      </w:r>
    </w:p>
  </w:endnote>
  <w:endnote w:id="31">
    <w:p w:rsidR="00B63280" w:rsidRDefault="00B63280">
      <w:pPr>
        <w:pStyle w:val="EndnoteText"/>
      </w:pPr>
      <w:r>
        <w:rPr>
          <w:rStyle w:val="EndnoteCharacters"/>
        </w:rPr>
        <w:endnoteRef/>
      </w:r>
      <w:r>
        <w:rPr>
          <w:rtl/>
        </w:rPr>
        <w:t xml:space="preserve"> </w:t>
      </w:r>
      <w:r>
        <w:rPr>
          <w:rtl/>
        </w:rPr>
        <w:t xml:space="preserve">דע </w:t>
      </w:r>
      <w:r>
        <w:rPr>
          <w:rtl/>
        </w:rPr>
        <w:t>שהייתי אפשר לכתוב את זה לשיעור, ולא ל"מהו פת," אבל מגמרא (פרוסה גדולה) יוצא שאינו שיעור אכילה, אלא שיעור החפץ שממנו אוכל, וגדלותו נותן לו חשיבות. אז, נראה לי שייחשב בתוך "מהו פת."</w:t>
      </w:r>
    </w:p>
  </w:endnote>
  <w:endnote w:id="32">
    <w:p w:rsidR="00B63280" w:rsidRDefault="00B63280">
      <w:pPr>
        <w:pStyle w:val="EndnoteText"/>
      </w:pPr>
      <w:r>
        <w:rPr>
          <w:rStyle w:val="EndnoteCharacters"/>
        </w:rPr>
        <w:endnoteRef/>
      </w:r>
      <w:r>
        <w:rPr>
          <w:rtl/>
        </w:rPr>
        <w:t xml:space="preserve"> </w:t>
      </w:r>
      <w:r>
        <w:rPr>
          <w:rtl/>
        </w:rPr>
        <w:t xml:space="preserve">יש </w:t>
      </w:r>
      <w:r>
        <w:rPr>
          <w:rtl/>
        </w:rPr>
        <w:t>לדון אם זה דין בפת או דין באכילה. מגמרא משמע שתלוי בכוונת העושה, ואז הוא דין בפת. ותו"ת.  ויש לדון, שגמרא לקמן גם משמע ששותה אותו מחמת רפואה, ולא כדי לאכול. וצריך לעיין.</w:t>
      </w:r>
    </w:p>
  </w:endnote>
  <w:endnote w:id="33">
    <w:p w:rsidR="00B63280" w:rsidRDefault="00B63280">
      <w:pPr>
        <w:pStyle w:val="EndnoteText"/>
      </w:pPr>
      <w:r>
        <w:rPr>
          <w:rStyle w:val="EndnoteCharacters"/>
        </w:rPr>
        <w:endnoteRef/>
      </w:r>
      <w:r>
        <w:rPr>
          <w:rtl/>
        </w:rPr>
        <w:t xml:space="preserve"> </w:t>
      </w:r>
      <w:r>
        <w:rPr>
          <w:rtl/>
        </w:rPr>
        <w:t xml:space="preserve">אין </w:t>
      </w:r>
      <w:r>
        <w:rPr>
          <w:rtl/>
        </w:rPr>
        <w:t>זה כל כך פשוט. גמרא מזכיר שלש שיטות בענין שלקים: הם שהכל, הם בפה"א, ותלוי אם תחילתם היה שהכל או בורא פרי האדמה. ראשון, יש להעיר שרואים חילוק בין אם אוכל אותו כדרכו או לא. שני, צריך לדון במחלקת זה. הנחנו שכולי עלמא מודו שאם לא אוכל כדרכו יברך שהכל נהיה בדברו. אין זה מוכרח, אבל כן מסתבר. אז, צריך להיות שחולקים באם נאכלים שלקות, והצד לומר עליו שהכל הוא שנשתנו מן הפרי שיצא מן האדמה.</w:t>
      </w:r>
    </w:p>
  </w:endnote>
  <w:endnote w:id="34">
    <w:p w:rsidR="00B63280" w:rsidRDefault="00B63280">
      <w:pPr>
        <w:pStyle w:val="EndnoteText"/>
      </w:pPr>
      <w:r>
        <w:rPr>
          <w:rStyle w:val="EndnoteCharacters"/>
        </w:rPr>
        <w:endnoteRef/>
      </w:r>
      <w:r>
        <w:rPr>
          <w:rtl/>
        </w:rPr>
        <w:t xml:space="preserve"> </w:t>
      </w:r>
      <w:r>
        <w:rPr>
          <w:rtl/>
        </w:rPr>
        <w:t xml:space="preserve">כ"נ </w:t>
      </w:r>
      <w:r>
        <w:rPr>
          <w:rtl/>
        </w:rPr>
        <w:t xml:space="preserve">ממה שמוקים גמ' (מ.) את המשנה שאומר כן כר"י. ויל"ד, שאולי רק ר"ל שמצאנו שר"י סובר כעין זה במקום אחר, אבל אולי כיון שהם לנפק"מ חלוקים, אינם מוכרחים להיות תלויים זב"ז. </w:t>
      </w:r>
    </w:p>
  </w:endnote>
  <w:endnote w:id="35">
    <w:p w:rsidR="00B63280" w:rsidRDefault="00B63280">
      <w:pPr>
        <w:pStyle w:val="EndnoteText"/>
      </w:pPr>
      <w:r>
        <w:rPr>
          <w:rStyle w:val="EndnoteCharacters"/>
        </w:rPr>
        <w:endnoteRef/>
      </w:r>
      <w:r>
        <w:rPr>
          <w:rtl/>
        </w:rPr>
        <w:t xml:space="preserve"> </w:t>
      </w:r>
      <w:r>
        <w:rPr>
          <w:rtl/>
        </w:rPr>
        <w:t xml:space="preserve">גמ' </w:t>
      </w:r>
      <w:r>
        <w:rPr>
          <w:rtl/>
        </w:rPr>
        <w:t>כ' אלו בשני לשונות; הנחתי ששניהם נכונים.</w:t>
      </w:r>
    </w:p>
  </w:endnote>
  <w:endnote w:id="36">
    <w:p w:rsidR="00B63280" w:rsidRDefault="00B63280">
      <w:pPr>
        <w:pStyle w:val="EndnoteText"/>
      </w:pPr>
      <w:r>
        <w:rPr>
          <w:rStyle w:val="EndnoteCharacters"/>
        </w:rPr>
        <w:endnoteRef/>
      </w:r>
      <w:r>
        <w:rPr>
          <w:rtl/>
        </w:rPr>
        <w:t xml:space="preserve"> </w:t>
      </w:r>
      <w:r>
        <w:rPr>
          <w:rtl/>
        </w:rPr>
        <w:t xml:space="preserve">נראה </w:t>
      </w:r>
      <w:r>
        <w:rPr>
          <w:rtl/>
        </w:rPr>
        <w:t>ששני פסוקים אלו הם רק אסמכתות, שהרי לא אומרים בפירוש שקאי על ברכת הזימון. ויש לדון, שואלי חז"ל ידעו (מסתמא, מסברה) לדרוש אותם על ברכת זימון. ויש לדון.</w:t>
      </w:r>
    </w:p>
  </w:endnote>
  <w:endnote w:id="37">
    <w:p w:rsidR="00B63280" w:rsidRDefault="00B63280">
      <w:pPr>
        <w:pStyle w:val="EndnoteText"/>
      </w:pPr>
      <w:r>
        <w:rPr>
          <w:rStyle w:val="EndnoteCharacters"/>
        </w:rPr>
        <w:endnoteRef/>
      </w:r>
      <w:r>
        <w:rPr>
          <w:rtl/>
        </w:rPr>
        <w:t xml:space="preserve">יש </w:t>
      </w:r>
      <w:r>
        <w:rPr>
          <w:rtl/>
        </w:rPr>
        <w:t>לדון אם יכול מאה ואלף לחלק. ראינו שיש ענין במאה ואלף (נ.), אבל אולי זה רק למצווה, אבל אינו חיוב.</w:t>
      </w:r>
    </w:p>
  </w:endnote>
  <w:endnote w:id="38">
    <w:p w:rsidR="00B63280" w:rsidRDefault="00B63280">
      <w:pPr>
        <w:pStyle w:val="EndnoteText"/>
      </w:pPr>
      <w:r>
        <w:rPr>
          <w:rStyle w:val="EndnoteCharacters"/>
        </w:rPr>
        <w:endnoteRef/>
      </w:r>
      <w:r>
        <w:rPr>
          <w:rtl/>
        </w:rPr>
        <w:t xml:space="preserve">יש </w:t>
      </w:r>
      <w:r>
        <w:rPr>
          <w:rtl/>
        </w:rPr>
        <w:t xml:space="preserve">לדון אם יש מי שבאמת סובר כן, שאולי ר"א רק אמר שלשיטתו של מ"ז היה לו לומר כן, אבל לא סובר שיש לומר כאחד מהם. ותו"ת. </w:t>
      </w:r>
    </w:p>
  </w:endnote>
  <w:endnote w:id="39">
    <w:p w:rsidR="00B63280" w:rsidRDefault="00B63280">
      <w:pPr>
        <w:pStyle w:val="EndnoteText"/>
      </w:pPr>
      <w:r>
        <w:rPr>
          <w:rStyle w:val="EndnoteCharacters"/>
        </w:rPr>
        <w:endnoteRef/>
      </w:r>
      <w:r>
        <w:rPr>
          <w:rtl/>
        </w:rPr>
        <w:t xml:space="preserve">כמובן, </w:t>
      </w:r>
      <w:r>
        <w:rPr>
          <w:rtl/>
        </w:rPr>
        <w:t>יש לדון מהו הדין בנאמרו לשלש לענין עשרה ונאמרו לעשרה לשלש.</w:t>
      </w:r>
    </w:p>
  </w:endnote>
  <w:endnote w:id="40">
    <w:p w:rsidR="00B63280" w:rsidRDefault="00B63280">
      <w:pPr>
        <w:pStyle w:val="EndnoteText"/>
      </w:pPr>
      <w:r>
        <w:rPr>
          <w:rStyle w:val="EndnoteCharacters"/>
        </w:rPr>
        <w:endnoteRef/>
      </w:r>
      <w:r>
        <w:rPr>
          <w:rtl/>
        </w:rPr>
        <w:t xml:space="preserve">יש </w:t>
      </w:r>
      <w:r>
        <w:rPr>
          <w:rtl/>
        </w:rPr>
        <w:t>לדון אם ר"ל שבדרך כלל עושים כן או שבאותו סעודה עושים כן. ותו"ת. באמת, צריך לדון אם הענין הוא שהם חשובים כשנים או שהשכינה שבא עמהם מצרף. ותחשב.</w:t>
      </w:r>
    </w:p>
  </w:endnote>
  <w:endnote w:id="41">
    <w:p w:rsidR="00B63280" w:rsidRDefault="00B63280">
      <w:pPr>
        <w:pStyle w:val="EndnoteText"/>
      </w:pPr>
      <w:r>
        <w:rPr>
          <w:rStyle w:val="EndnoteCharacters"/>
        </w:rPr>
        <w:endnoteRef/>
      </w:r>
      <w:r>
        <w:rPr>
          <w:rtl/>
        </w:rPr>
        <w:t xml:space="preserve"> </w:t>
      </w:r>
      <w:r>
        <w:rPr>
          <w:rtl/>
        </w:rPr>
        <w:t xml:space="preserve">ואם </w:t>
      </w:r>
      <w:r>
        <w:rPr>
          <w:rtl/>
        </w:rPr>
        <w:t>תאמר כבר כתבנו שברכת זימון נלמד מקרא אחר. אם כן, קשה למי שאומר שברכת הזן הוא חלק מברכת הזימון. ויש לומר שצריך שני קראי ללמד שני חלקי ברכת הזימון.</w:t>
      </w:r>
    </w:p>
  </w:endnote>
  <w:endnote w:id="42">
    <w:p w:rsidR="00B63280" w:rsidRDefault="00B63280">
      <w:pPr>
        <w:pStyle w:val="FootnoteText"/>
      </w:pPr>
      <w:r>
        <w:rPr>
          <w:rStyle w:val="EndnoteCharacters"/>
        </w:rPr>
        <w:endnoteRef/>
      </w:r>
      <w:r>
        <w:rPr>
          <w:rtl/>
        </w:rPr>
        <w:t xml:space="preserve"> </w:t>
      </w:r>
      <w:r>
        <w:rPr>
          <w:rtl/>
        </w:rPr>
        <w:t>ואם תאמר הרי חייב מדאו'. י"ל שחייב תורה אחר שתקן משה. אין זה מהני לשאר ברכות, ואז צריך לומר אחד משני תירוצים:</w:t>
      </w:r>
    </w:p>
    <w:p w:rsidR="00B63280" w:rsidRDefault="00B63280" w:rsidP="008A6DF8">
      <w:pPr>
        <w:pStyle w:val="FootnoteText"/>
        <w:numPr>
          <w:ilvl w:val="0"/>
          <w:numId w:val="37"/>
        </w:numPr>
      </w:pPr>
      <w:r>
        <w:rPr>
          <w:rtl/>
        </w:rPr>
        <w:t>חולקים.</w:t>
      </w:r>
    </w:p>
    <w:p w:rsidR="00B63280" w:rsidRDefault="00B63280" w:rsidP="008A6DF8">
      <w:pPr>
        <w:pStyle w:val="FootnoteText"/>
        <w:numPr>
          <w:ilvl w:val="0"/>
          <w:numId w:val="37"/>
        </w:numPr>
      </w:pPr>
      <w:r>
        <w:rPr>
          <w:rtl/>
        </w:rPr>
        <w:t>משה תיקן מה נאמר, שמדאו', רק היה חיוב לברך את ה', ולא קבע לשון. כן נניח.</w:t>
      </w:r>
    </w:p>
  </w:endnote>
  <w:endnote w:id="43">
    <w:p w:rsidR="00B63280" w:rsidRDefault="00B63280">
      <w:pPr>
        <w:pStyle w:val="EndnoteText"/>
      </w:pPr>
      <w:r>
        <w:rPr>
          <w:rStyle w:val="EndnoteCharacters"/>
        </w:rPr>
        <w:endnoteRef/>
      </w:r>
      <w:r>
        <w:rPr>
          <w:rtl/>
        </w:rPr>
        <w:t xml:space="preserve">איני </w:t>
      </w:r>
      <w:r>
        <w:rPr>
          <w:rtl/>
        </w:rPr>
        <w:t>יודע מהו הדין אחר שאוכל ירקות, כמו חיטין. אולי לענין זה נחשבים פירות.</w:t>
      </w:r>
    </w:p>
  </w:endnote>
  <w:endnote w:id="44">
    <w:p w:rsidR="00B63280" w:rsidRDefault="00B63280">
      <w:pPr>
        <w:pStyle w:val="EndnoteText"/>
      </w:pPr>
      <w:r>
        <w:rPr>
          <w:rStyle w:val="EndnoteCharacters"/>
        </w:rPr>
        <w:endnoteRef/>
      </w:r>
      <w:r>
        <w:rPr>
          <w:rtl/>
        </w:rPr>
        <w:t xml:space="preserve">יש </w:t>
      </w:r>
      <w:r>
        <w:rPr>
          <w:rtl/>
        </w:rPr>
        <w:t>לדון אם רבי יהודה ורבי מאיר יחלקו גם בזה.</w:t>
      </w:r>
    </w:p>
  </w:endnote>
  <w:endnote w:id="45">
    <w:p w:rsidR="00B63280" w:rsidRDefault="00B63280">
      <w:pPr>
        <w:pStyle w:val="EndnoteText"/>
      </w:pPr>
      <w:r>
        <w:rPr>
          <w:rStyle w:val="EndnoteCharacters"/>
        </w:rPr>
        <w:endnoteRef/>
      </w:r>
      <w:r>
        <w:rPr>
          <w:rtl/>
        </w:rPr>
        <w:t xml:space="preserve">ואם </w:t>
      </w:r>
      <w:r>
        <w:rPr>
          <w:rtl/>
        </w:rPr>
        <w:t>תאמר הרי הוא כבר בכלל פרי. ויש לומר שהחי’ הוא שמסיים בו באופן חלוק. גי"ל שאין חטה נח’ פרי. על"ע. גי"ל שאחר ששינה אותו על ידי בישול, לא נחשב פרי עוד.</w:t>
      </w:r>
    </w:p>
  </w:endnote>
  <w:endnote w:id="46">
    <w:p w:rsidR="00B63280" w:rsidRDefault="00B63280">
      <w:pPr>
        <w:pStyle w:val="EndnoteText"/>
      </w:pPr>
      <w:r>
        <w:rPr>
          <w:rStyle w:val="EndnoteCharacters"/>
        </w:rPr>
        <w:endnoteRef/>
      </w:r>
      <w:r>
        <w:rPr>
          <w:rtl/>
        </w:rPr>
        <w:t xml:space="preserve">איני </w:t>
      </w:r>
      <w:r>
        <w:rPr>
          <w:rtl/>
        </w:rPr>
        <w:t>יודע אם דין זה נכון, אבל נראה שהוא מסתבר.</w:t>
      </w:r>
    </w:p>
  </w:endnote>
  <w:endnote w:id="47">
    <w:p w:rsidR="00B63280" w:rsidRDefault="00B63280">
      <w:pPr>
        <w:pStyle w:val="EndnoteText"/>
      </w:pPr>
      <w:r>
        <w:rPr>
          <w:rStyle w:val="EndnoteCharacters"/>
        </w:rPr>
        <w:endnoteRef/>
      </w:r>
      <w:r>
        <w:rPr>
          <w:rtl/>
        </w:rPr>
        <w:t xml:space="preserve"> </w:t>
      </w:r>
      <w:r>
        <w:rPr>
          <w:rtl/>
        </w:rPr>
        <w:t xml:space="preserve">הנחתי </w:t>
      </w:r>
      <w:r>
        <w:rPr>
          <w:rtl/>
        </w:rPr>
        <w:t>שזה לכת'. יש לדון בזה, שאולי הוא רק בדיעבד. גמ' מנסה ללמוד ממנו לברכת שהכל, שהוא בדיעבד. אז, אולי נראה שהוא רק בדיעבד. ותחשב.</w:t>
      </w:r>
    </w:p>
  </w:endnote>
  <w:endnote w:id="48">
    <w:p w:rsidR="00B63280" w:rsidRDefault="00B63280">
      <w:pPr>
        <w:pStyle w:val="EndnoteText"/>
      </w:pPr>
      <w:r>
        <w:rPr>
          <w:rStyle w:val="EndnoteCharacters"/>
        </w:rPr>
        <w:endnoteRef/>
      </w:r>
      <w:r>
        <w:rPr>
          <w:rtl/>
        </w:rPr>
        <w:t xml:space="preserve"> </w:t>
      </w:r>
      <w:r>
        <w:rPr>
          <w:rtl/>
        </w:rPr>
        <w:t xml:space="preserve">כתבנו </w:t>
      </w:r>
      <w:r>
        <w:rPr>
          <w:rtl/>
        </w:rPr>
        <w:t>לשון לכתחילה. יש לדון בזה, שאולי הוא רק בדיעבד.</w:t>
      </w:r>
    </w:p>
  </w:endnote>
  <w:endnote w:id="49">
    <w:p w:rsidR="00B63280" w:rsidRDefault="00B63280">
      <w:pPr>
        <w:pStyle w:val="EndnoteText"/>
      </w:pPr>
      <w:r>
        <w:rPr>
          <w:rStyle w:val="EndnoteCharacters"/>
        </w:rPr>
        <w:endnoteRef/>
      </w:r>
      <w:r>
        <w:rPr>
          <w:rtl/>
        </w:rPr>
        <w:t xml:space="preserve">איני </w:t>
      </w:r>
      <w:r>
        <w:rPr>
          <w:rtl/>
        </w:rPr>
        <w:t>יודע כל כך למה רבא אומר שאין מברכים על פלפל. רואים שרבא אומר בו לשון כוס, שהוא אכילה משונה. אולי, אז, מפני זה לא מברך. כמו"כ, י"ל שאין דרך לאוכלו כלל, ואז לא מברך. יל"ד, אז, אם ר"ש מודה לכלל זה, אלא שסובר שלא שייך כלל, או חולק על אותו כלל.</w:t>
      </w:r>
    </w:p>
  </w:endnote>
  <w:endnote w:id="50">
    <w:p w:rsidR="00B63280" w:rsidRDefault="00B63280">
      <w:pPr>
        <w:pStyle w:val="EndnoteText"/>
      </w:pPr>
      <w:r>
        <w:rPr>
          <w:rStyle w:val="EndnoteCharacters"/>
        </w:rPr>
        <w:endnoteRef/>
      </w:r>
      <w:r>
        <w:rPr>
          <w:rtl/>
        </w:rPr>
        <w:t xml:space="preserve">נראה </w:t>
      </w:r>
      <w:r>
        <w:rPr>
          <w:rtl/>
        </w:rPr>
        <w:t>שקראי אלו הם אסמכתות, שהרי גמרא אומר שבני ישראל החמירו על עצמם לברך על כזית וכביצה, אבל מן התורה רק חייב אם שבע. ויש לדון אז איך גמרא מתרץ קושייתו. וצריך ביאור.</w:t>
      </w:r>
    </w:p>
  </w:endnote>
  <w:endnote w:id="51">
    <w:p w:rsidR="00B63280" w:rsidRDefault="00B63280">
      <w:pPr>
        <w:pStyle w:val="EndnoteText"/>
      </w:pPr>
      <w:r>
        <w:rPr>
          <w:rStyle w:val="EndnoteCharacters"/>
        </w:rPr>
        <w:endnoteRef/>
      </w:r>
      <w:r>
        <w:rPr>
          <w:rtl/>
        </w:rPr>
        <w:t xml:space="preserve">כן </w:t>
      </w:r>
      <w:r>
        <w:rPr>
          <w:rtl/>
        </w:rPr>
        <w:t xml:space="preserve">נראה, שהרי מבואר שדרשות של רבי יהודה ורבי מאיר הם רק מדרבנן, אבל משמעות של "שביעה" מדאו’ הוא שביעה ממש. ותו"ת. </w:t>
      </w:r>
    </w:p>
  </w:endnote>
  <w:endnote w:id="52">
    <w:p w:rsidR="00B63280" w:rsidRDefault="00B63280">
      <w:pPr>
        <w:pStyle w:val="EndnoteText"/>
      </w:pPr>
      <w:r>
        <w:rPr>
          <w:rStyle w:val="EndnoteCharacters"/>
        </w:rPr>
        <w:endnoteRef/>
      </w:r>
      <w:r>
        <w:rPr>
          <w:rtl/>
        </w:rPr>
        <w:t xml:space="preserve">לא </w:t>
      </w:r>
      <w:r>
        <w:rPr>
          <w:rtl/>
        </w:rPr>
        <w:t>מצאתי מקור שהוא מחמת אותו קרא, אבל כן מסתבר.</w:t>
      </w:r>
    </w:p>
  </w:endnote>
  <w:endnote w:id="53">
    <w:p w:rsidR="00B63280" w:rsidRDefault="00B63280">
      <w:pPr>
        <w:pStyle w:val="EndnoteText"/>
      </w:pPr>
      <w:r>
        <w:rPr>
          <w:rStyle w:val="EndnoteCharacters"/>
        </w:rPr>
        <w:endnoteRef/>
      </w:r>
      <w:r>
        <w:rPr>
          <w:rtl/>
        </w:rPr>
        <w:t xml:space="preserve"> </w:t>
      </w:r>
      <w:r>
        <w:rPr>
          <w:rtl/>
        </w:rPr>
        <w:t xml:space="preserve">לא </w:t>
      </w:r>
      <w:r>
        <w:rPr>
          <w:rtl/>
        </w:rPr>
        <w:t>מבאר גמ' מקום של הזכרות אחרות.</w:t>
      </w:r>
    </w:p>
  </w:endnote>
  <w:endnote w:id="54">
    <w:p w:rsidR="00B63280" w:rsidRDefault="00B63280">
      <w:pPr>
        <w:pStyle w:val="EndnoteText"/>
      </w:pPr>
      <w:r>
        <w:rPr>
          <w:rStyle w:val="EndnoteCharacters"/>
        </w:rPr>
        <w:endnoteRef/>
      </w:r>
      <w:r>
        <w:rPr>
          <w:rtl/>
        </w:rPr>
        <w:t xml:space="preserve">אין </w:t>
      </w:r>
      <w:r>
        <w:rPr>
          <w:rtl/>
        </w:rPr>
        <w:t>הציור כל כך פשוט לי. יש לדון אם זה אותו "אחר הסעודה" שדן בו גמ’ לענין ברכה על דבר שפת פוטר, או אם הוא חלוק, והוא רק "אחר המזון,” אבל לא אחר הסעודה. צריך ביאור.</w:t>
      </w:r>
    </w:p>
  </w:endnote>
  <w:endnote w:id="55">
    <w:p w:rsidR="00B63280" w:rsidRDefault="00B63280">
      <w:pPr>
        <w:pStyle w:val="EndnoteText"/>
      </w:pPr>
      <w:r>
        <w:rPr>
          <w:rStyle w:val="EndnoteCharacters"/>
        </w:rPr>
        <w:endnoteRef/>
      </w:r>
      <w:r>
        <w:rPr>
          <w:rtl/>
        </w:rPr>
        <w:t xml:space="preserve">הנחתי </w:t>
      </w:r>
      <w:r>
        <w:rPr>
          <w:rtl/>
        </w:rPr>
        <w:t>שאין זה רק ביין, אף שגמ’ רק אומר אותו ביין. ויש לדון.</w:t>
      </w:r>
    </w:p>
  </w:endnote>
  <w:endnote w:id="56">
    <w:p w:rsidR="00B63280" w:rsidRDefault="00B63280">
      <w:pPr>
        <w:pStyle w:val="EndnoteText"/>
      </w:pPr>
      <w:r>
        <w:rPr>
          <w:rStyle w:val="EndnoteCharacters"/>
        </w:rPr>
        <w:endnoteRef/>
      </w:r>
      <w:r>
        <w:rPr>
          <w:rtl/>
        </w:rPr>
        <w:t xml:space="preserve">רק </w:t>
      </w:r>
      <w:r>
        <w:rPr>
          <w:rtl/>
        </w:rPr>
        <w:t>חול’ בפ’ במברך בתוך המזון ללאחר המזון, אבל הנחתי שאין חילוק. ויש לדון, שאולי שתיה הוא סיבה יותר חזקה, וכל שמברך עליו לאותו סיבה פוטר הכל. אבל שרייה אינו צורך כל כך, ומי שמברך עליו רק פוטר (אולי) מה שמכוון בו לשרייה.</w:t>
      </w:r>
    </w:p>
  </w:endnote>
  <w:endnote w:id="57">
    <w:p w:rsidR="00B63280" w:rsidRDefault="00B63280">
      <w:pPr>
        <w:pStyle w:val="EndnoteText"/>
      </w:pPr>
      <w:r>
        <w:rPr>
          <w:rStyle w:val="EndnoteCharacters"/>
        </w:rPr>
        <w:endnoteRef/>
      </w:r>
      <w:r>
        <w:rPr>
          <w:rtl/>
        </w:rPr>
        <w:t xml:space="preserve">יש </w:t>
      </w:r>
      <w:r>
        <w:rPr>
          <w:rtl/>
        </w:rPr>
        <w:t>לדון אם פוטר משקין. יש להביא שני ראיות הפוכות:</w:t>
      </w:r>
    </w:p>
    <w:p w:rsidR="00B63280" w:rsidRDefault="00B63280" w:rsidP="008A6DF8">
      <w:pPr>
        <w:pStyle w:val="EndnoteText"/>
        <w:numPr>
          <w:ilvl w:val="0"/>
          <w:numId w:val="16"/>
        </w:numPr>
      </w:pPr>
      <w:r>
        <w:rPr>
          <w:rtl/>
        </w:rPr>
        <w:t>גמ’ אומר שפת פוטר כל המאכלים ויין פוטר כל המשקין. משמע שפת לא פוטר כל מיני משתה.</w:t>
      </w:r>
    </w:p>
    <w:p w:rsidR="00B63280" w:rsidRDefault="00B63280" w:rsidP="008A6DF8">
      <w:pPr>
        <w:pStyle w:val="EndnoteText"/>
        <w:numPr>
          <w:ilvl w:val="0"/>
          <w:numId w:val="16"/>
        </w:numPr>
      </w:pPr>
      <w:r>
        <w:rPr>
          <w:rtl/>
        </w:rPr>
        <w:t>גמ’ מקשה ל"ל פוטר פת את היין, ומבאר שהוא מפני שגורם ברכות (חשוב הוא כיון שגורם לברכות כמו קידוש והבדלה). משמע שפוטר שאר משקין.</w:t>
      </w:r>
    </w:p>
    <w:p w:rsidR="00B63280" w:rsidRDefault="00B63280">
      <w:pPr>
        <w:pStyle w:val="EndnoteText"/>
      </w:pPr>
      <w:r>
        <w:rPr>
          <w:rtl/>
        </w:rPr>
        <w:t>אז, הדין צריך ביאור.</w:t>
      </w:r>
    </w:p>
  </w:endnote>
  <w:endnote w:id="58">
    <w:p w:rsidR="00B63280" w:rsidRDefault="00B63280">
      <w:pPr>
        <w:pStyle w:val="EndnoteText"/>
      </w:pPr>
      <w:r>
        <w:rPr>
          <w:rStyle w:val="EndnoteCharacters"/>
        </w:rPr>
        <w:endnoteRef/>
      </w:r>
      <w:r>
        <w:rPr>
          <w:rtl/>
        </w:rPr>
        <w:t>גמ’ מביא מח’ ר"נ  ור"ח. שוב מביא כלל זה שכ’, אלא ששם לא מזכיר כאן מח’, אלא מזכיר שפטור. לכאו’, נ’ פשוט ששם ר"ח יחלוק, שסברתו (או ראייתו) של ר"ח הוא שלא מצאנו שיברך ברכה ראשונה על דבר, ולא יברך ברכה אחרונה עליו.</w:t>
      </w:r>
    </w:p>
    <w:p w:rsidR="00B63280" w:rsidRDefault="00B63280">
      <w:pPr>
        <w:pStyle w:val="EndnoteText"/>
      </w:pPr>
      <w:r>
        <w:rPr>
          <w:rtl/>
        </w:rPr>
        <w:t>עדיין יש לדון אם רק בזה חולקים או אם דנים בדבר הבא אחר סעודה גם כן (לא דנינו בזה בסיכום, אלא בהערות), או אם דנים בדבר הבא מחמת סעודה גם כן. ותחשב על כל זה.</w:t>
      </w:r>
    </w:p>
  </w:endnote>
  <w:endnote w:id="59">
    <w:p w:rsidR="00B63280" w:rsidRDefault="00B63280">
      <w:pPr>
        <w:pStyle w:val="EndnoteText"/>
      </w:pPr>
      <w:r>
        <w:rPr>
          <w:rStyle w:val="EndnoteCharacters"/>
        </w:rPr>
        <w:endnoteRef/>
      </w:r>
      <w:r>
        <w:rPr>
          <w:rtl/>
        </w:rPr>
        <w:t xml:space="preserve">צריך </w:t>
      </w:r>
      <w:r>
        <w:rPr>
          <w:rtl/>
        </w:rPr>
        <w:t>לדון אם זה רק אם לא בא מחמת הסעודה או אף אם בא מחמת הסעודה. לשון גמ’ קצת משמע שהוא רק אם לא בא מחמת סעודה.</w:t>
      </w:r>
    </w:p>
  </w:endnote>
  <w:endnote w:id="60">
    <w:p w:rsidR="00B63280" w:rsidRDefault="00B63280">
      <w:pPr>
        <w:pStyle w:val="EndnoteText"/>
      </w:pPr>
      <w:r>
        <w:rPr>
          <w:rStyle w:val="EndnoteCharacters"/>
        </w:rPr>
        <w:endnoteRef/>
      </w:r>
      <w:r>
        <w:rPr>
          <w:rtl/>
        </w:rPr>
        <w:t xml:space="preserve">לא </w:t>
      </w:r>
      <w:r>
        <w:rPr>
          <w:rtl/>
        </w:rPr>
        <w:t>פירשתי בתוך הסיכום מהו המחלקת, כיון שנראה שאינו כל כך פשוט. גמ’ מביא מימרות שאומרים שאם אדם רגיל בשמן או משחא, עושים שאין הסעודה נגמרת, ומה שבא נחשב עדיין בא בתוך הסעודה. שוב אומר גמ’ שאין הלכה כן, אלא כמימרא של ר"ח, שתכף לנטילת ידים (זהו הנקרא מים אחרונים) מברכים ברכת המזון.</w:t>
      </w:r>
    </w:p>
    <w:p w:rsidR="00B63280" w:rsidRDefault="00B63280">
      <w:pPr>
        <w:pStyle w:val="EndnoteText"/>
      </w:pPr>
      <w:r>
        <w:rPr>
          <w:rtl/>
        </w:rPr>
        <w:t>צריך לבאר אם ר"ח חולק להוסיף על זמן סעודה או לגרוע ממנו. נראה שמוסיף על זמן סעודה, ואומר שרק תכף אחר נטילת ידים הוא סוף הסעודה, ולא קודם לכן, שלא צריך לסמוך כל כך לנטילת שמן או כדומה. נראה שיש קצת הוכחה לזה מסברה, שאי לאו הכי, קשה איך רואים שחולק, שלא צריך לברך מיד אחר מים אחרונים, אלא יכול לשהות ושוב יברך עוד. אז, אין מים אחרונים כל כך מגלה שמברך, ואם חולקים סוברים שיש דבר אחר שצריך כדי שיהיה עומד לברך, מהי"ת שר"ח חולק. ויש לדון, שאולי גמ’ יודע מסברה שכיון שלא היה סיבה לרחוץ אם לא מברך מיד, כיון שסובר ר"ח שצריך לברך מיד, ואל"ה צריך לרחוץ עוד, אז עומד, ואז צריך לומר שחולק על מי שדן בשמן. אז, עדיין יש לדון בזה.</w:t>
      </w:r>
    </w:p>
    <w:p w:rsidR="00B63280" w:rsidRDefault="00B63280">
      <w:pPr>
        <w:pStyle w:val="EndnoteText"/>
      </w:pPr>
      <w:r>
        <w:rPr>
          <w:rtl/>
        </w:rPr>
        <w:t xml:space="preserve">ודע שיש יותר שיטות, שרב הונא בדר"נ סובר שנחשב אחר הסעודה אחר ש:גמר סעודתו.” לא מפרש גמ’ מה כוונת מילים אלו. רב פפא סובר שגמר סעודתו אחר שסלקו קערה שלו. רבא סבר שהוא אחר שסלקו קערה מבעל הבית (כן הנחתי; עיין שם, ששם דן בסילוק קערה מן הריש גלותא). </w:t>
      </w:r>
    </w:p>
    <w:p w:rsidR="00B63280" w:rsidRDefault="00B63280">
      <w:pPr>
        <w:pStyle w:val="EndnoteText"/>
      </w:pPr>
      <w:r>
        <w:rPr>
          <w:rtl/>
        </w:rPr>
        <w:t xml:space="preserve">אולי, אז, מסתבר לגמ’ שחולקים (רב ורב אשי) על רב חייא קאי על אלו, ואז על זה אומר גמ’ שרק צ"ל סמוך למים אחרונים, ולא סמוך לאלו. ותו"ת. </w:t>
      </w:r>
    </w:p>
  </w:endnote>
  <w:endnote w:id="61">
    <w:p w:rsidR="00B63280" w:rsidRDefault="00B63280">
      <w:pPr>
        <w:pStyle w:val="EndnoteText"/>
      </w:pPr>
      <w:r>
        <w:rPr>
          <w:rStyle w:val="EndnoteCharacters"/>
        </w:rPr>
        <w:endnoteRef/>
      </w:r>
      <w:r>
        <w:rPr>
          <w:rtl/>
        </w:rPr>
        <w:t xml:space="preserve">זה </w:t>
      </w:r>
      <w:r>
        <w:rPr>
          <w:rtl/>
        </w:rPr>
        <w:t>מיירי במאכל אחד. אז, לכן הוא חלוק מסעודה. ויש לדון, שאולי אף סעודה הוא כן. אז, כאן רק כותבים שני חלקים של דין אחד, והוא שאם ברך על דבר אחד משני דברים הנאכלים אז, לא צריך לברך על השני אם טפל לו, ואם כבר ברך על דבר שאכל לעיקר, לא צריך לברך על מה שאוכל אחר כך לטפל.</w:t>
      </w:r>
    </w:p>
  </w:endnote>
  <w:endnote w:id="62">
    <w:p w:rsidR="00B63280" w:rsidRDefault="00B63280">
      <w:pPr>
        <w:pStyle w:val="EndnoteText"/>
      </w:pPr>
      <w:r>
        <w:rPr>
          <w:rStyle w:val="EndnoteCharacters"/>
        </w:rPr>
        <w:endnoteRef/>
      </w:r>
      <w:r>
        <w:rPr>
          <w:rtl/>
        </w:rPr>
        <w:t xml:space="preserve">יש </w:t>
      </w:r>
      <w:r>
        <w:rPr>
          <w:rtl/>
        </w:rPr>
        <w:t>להעיר שבמשנה מבואר שיש שני מינים של פרפרת:</w:t>
      </w:r>
    </w:p>
    <w:p w:rsidR="00B63280" w:rsidRDefault="00B63280" w:rsidP="008A6DF8">
      <w:pPr>
        <w:pStyle w:val="EndnoteText"/>
        <w:numPr>
          <w:ilvl w:val="0"/>
          <w:numId w:val="20"/>
        </w:numPr>
      </w:pPr>
      <w:r>
        <w:rPr>
          <w:rtl/>
        </w:rPr>
        <w:t>יש שאוכלים קודם המזון.</w:t>
      </w:r>
    </w:p>
    <w:p w:rsidR="00B63280" w:rsidRDefault="00B63280" w:rsidP="008A6DF8">
      <w:pPr>
        <w:pStyle w:val="EndnoteText"/>
        <w:numPr>
          <w:ilvl w:val="0"/>
          <w:numId w:val="20"/>
        </w:numPr>
      </w:pPr>
      <w:r>
        <w:rPr>
          <w:rtl/>
        </w:rPr>
        <w:t>יש שאוכלים אחר המזון.</w:t>
      </w:r>
    </w:p>
    <w:p w:rsidR="00B63280" w:rsidRDefault="00B63280">
      <w:pPr>
        <w:pStyle w:val="EndnoteText"/>
      </w:pPr>
      <w:r>
        <w:rPr>
          <w:rtl/>
        </w:rPr>
        <w:t>חוץ מזה, יש להוסיף צד אחר, והוא שנאכל תוך המזון. אף שבדר"כ לא נאכל כן, אפשר להיות נאכל אותם מאכלים אז.</w:t>
      </w:r>
    </w:p>
    <w:p w:rsidR="00B63280" w:rsidRDefault="00B63280">
      <w:pPr>
        <w:pStyle w:val="EndnoteText"/>
      </w:pPr>
      <w:r>
        <w:rPr>
          <w:rtl/>
        </w:rPr>
        <w:t>כיון שכן, צריכים לדון על איזה מין של פרפרת נאמר משנה זה.</w:t>
      </w:r>
    </w:p>
    <w:p w:rsidR="00B63280" w:rsidRDefault="00B63280">
      <w:pPr>
        <w:pStyle w:val="EndnoteText"/>
      </w:pPr>
      <w:r>
        <w:rPr>
          <w:rtl/>
        </w:rPr>
        <w:t>לא נראה שקאי על אכילה אחר המזון, שאז פת לא יפטור אותו. ויש לדון, שזה תלוי באם אחר המזון שווה לאחר הסעודה. למעשה, לא נראה לי שהוא שווה, שהרי הדרך היה לאכול פרפרת אחר המזון, אבל אחר הסעודה מברכים מיד. (ויש לדון, שאולי נקודה זה תלוי במחלקת בגמ’ (מב.) מה נחשב סוף הסעודה.</w:t>
      </w:r>
    </w:p>
  </w:endnote>
  <w:endnote w:id="63">
    <w:p w:rsidR="00B63280" w:rsidRDefault="00B63280">
      <w:pPr>
        <w:pStyle w:val="EndnoteText"/>
      </w:pPr>
      <w:r>
        <w:rPr>
          <w:rStyle w:val="EndnoteCharacters"/>
        </w:rPr>
        <w:endnoteRef/>
      </w:r>
      <w:r>
        <w:rPr>
          <w:rtl/>
        </w:rPr>
        <w:t xml:space="preserve">לא </w:t>
      </w:r>
      <w:r>
        <w:rPr>
          <w:rtl/>
        </w:rPr>
        <w:t>מפרש גמ’ אם נאכל מעשה קדירה לפני המזון או לאחר המזון או בתוך המזון. מסתמא, הדרך הוא לאכול אותו בתוך המזון.</w:t>
      </w:r>
    </w:p>
  </w:endnote>
  <w:endnote w:id="64">
    <w:p w:rsidR="00B63280" w:rsidRDefault="00B63280">
      <w:pPr>
        <w:pStyle w:val="EndnoteText"/>
      </w:pPr>
      <w:r>
        <w:rPr>
          <w:rStyle w:val="EndnoteCharacters"/>
        </w:rPr>
        <w:endnoteRef/>
      </w:r>
      <w:r>
        <w:rPr>
          <w:rtl/>
        </w:rPr>
        <w:t xml:space="preserve">יש </w:t>
      </w:r>
      <w:r>
        <w:rPr>
          <w:rtl/>
        </w:rPr>
        <w:t>לדון על איזה מן הדינים שאמרנו לעיל במה שברכת הפת פוטר יחלקו עליו בית שמאי.</w:t>
      </w:r>
    </w:p>
  </w:endnote>
  <w:endnote w:id="65">
    <w:p w:rsidR="00B63280" w:rsidRDefault="00B63280">
      <w:pPr>
        <w:pStyle w:val="EndnoteText"/>
      </w:pPr>
      <w:r>
        <w:rPr>
          <w:rStyle w:val="EndnoteCharacters"/>
        </w:rPr>
        <w:endnoteRef/>
      </w:r>
      <w:r>
        <w:rPr>
          <w:rtl/>
        </w:rPr>
        <w:t xml:space="preserve">גמ’ </w:t>
      </w:r>
      <w:r>
        <w:rPr>
          <w:rtl/>
        </w:rPr>
        <w:t>לא מפרש לפי אותו צד, אלא רק מפרש לפי צד שני. אז, יש לדון אם מודה לבית הלל של צד שני או לבית שמאי שלו.</w:t>
      </w:r>
    </w:p>
  </w:endnote>
  <w:endnote w:id="66">
    <w:p w:rsidR="00B63280" w:rsidRDefault="00B63280">
      <w:pPr>
        <w:pStyle w:val="EndnoteText"/>
      </w:pPr>
      <w:r>
        <w:rPr>
          <w:rStyle w:val="EndnoteCharacters"/>
        </w:rPr>
        <w:endnoteRef/>
      </w:r>
      <w:r>
        <w:rPr>
          <w:rtl/>
        </w:rPr>
        <w:t xml:space="preserve">גמ’ </w:t>
      </w:r>
      <w:r>
        <w:rPr>
          <w:rtl/>
        </w:rPr>
        <w:t>מפרש לזה שיש חילוק בין אורח לשאר בנ"א. יש לדון לשאר לשונות ובשאר דינים אם יש נפקא מינא. (ואם תאמר אם יש חילוק, נדייק מבריי’ כרב, שמשמע שרק אורח דינו הכי. וי"ל שאמר אורח לחדש שאף לאורח מהני אם הסבו.)</w:t>
      </w:r>
    </w:p>
  </w:endnote>
  <w:endnote w:id="67">
    <w:p w:rsidR="00B63280" w:rsidRDefault="00B63280">
      <w:pPr>
        <w:pStyle w:val="EndnoteText"/>
      </w:pPr>
      <w:r>
        <w:rPr>
          <w:rStyle w:val="EndnoteCharacters"/>
        </w:rPr>
        <w:endnoteRef/>
      </w:r>
      <w:r>
        <w:rPr>
          <w:rtl/>
        </w:rPr>
        <w:t xml:space="preserve">יש </w:t>
      </w:r>
      <w:r>
        <w:rPr>
          <w:rtl/>
        </w:rPr>
        <w:t>לציין למה שאומר גמ’ (מב:) שאין חילוק בין אם אוכלים מלחם אחד או מכמה לחמים. יש לדון אם זה שייך כלל להיותם אורחים, שאם הוא לחם אחד, לכאו (אבל לא מוכרח) הלחם הוא של אחד. יש לדון מה עושה אדם אורח. גם יש לדון בדין אורח, כמו שדנינו לעיל. ותחשב.</w:t>
      </w:r>
    </w:p>
  </w:endnote>
  <w:endnote w:id="68">
    <w:p w:rsidR="00B63280" w:rsidRDefault="00B63280">
      <w:pPr>
        <w:pStyle w:val="EndnoteText"/>
      </w:pPr>
      <w:r>
        <w:rPr>
          <w:rStyle w:val="EndnoteCharacters"/>
        </w:rPr>
        <w:endnoteRef/>
      </w:r>
      <w:r>
        <w:rPr>
          <w:rtl/>
        </w:rPr>
        <w:t xml:space="preserve">אין </w:t>
      </w:r>
      <w:r>
        <w:rPr>
          <w:rtl/>
        </w:rPr>
        <w:t>זה ממש מוכרח להיות בכל מצב, שאפשר שהוא רק באורח (שגמ’ מפ’ לפי רב שדין אורח חלוק).</w:t>
      </w:r>
    </w:p>
  </w:endnote>
  <w:endnote w:id="69">
    <w:p w:rsidR="00B63280" w:rsidRDefault="00B63280">
      <w:pPr>
        <w:pStyle w:val="EndnoteText"/>
      </w:pPr>
      <w:r>
        <w:rPr>
          <w:rStyle w:val="EndnoteCharacters"/>
        </w:rPr>
        <w:endnoteRef/>
      </w:r>
      <w:r>
        <w:rPr>
          <w:rtl/>
        </w:rPr>
        <w:t xml:space="preserve">כיון </w:t>
      </w:r>
      <w:r>
        <w:rPr>
          <w:rtl/>
        </w:rPr>
        <w:t>שהגענו לזה, נראה שצריכים לדון אם אף אומרים שלחם מהני אגב לחם. יש צד שלרב לא צריכים הסיבה ליין. אם כן, יש לדון אם אוכל עמו פת, אם יכולים להוציא זא"ז בפת אגב מה שיכולים להוציא זא"ז ביין.</w:t>
      </w:r>
    </w:p>
  </w:endnote>
  <w:endnote w:id="70">
    <w:p w:rsidR="00B63280" w:rsidRDefault="00B63280">
      <w:pPr>
        <w:pStyle w:val="EndnoteText"/>
      </w:pPr>
      <w:r>
        <w:rPr>
          <w:rStyle w:val="EndnoteCharacters"/>
        </w:rPr>
        <w:endnoteRef/>
      </w:r>
      <w:r>
        <w:rPr>
          <w:rtl/>
        </w:rPr>
        <w:t xml:space="preserve">ויש </w:t>
      </w:r>
      <w:r>
        <w:rPr>
          <w:rtl/>
        </w:rPr>
        <w:t>לדון איזה מהם גם הם לענין איזה ברכה בא ראשון ואיזה בא אחרון.</w:t>
      </w:r>
    </w:p>
  </w:endnote>
  <w:endnote w:id="71">
    <w:p w:rsidR="00B63280" w:rsidRDefault="00B63280">
      <w:pPr>
        <w:pStyle w:val="EndnoteText"/>
      </w:pPr>
      <w:r>
        <w:rPr>
          <w:rStyle w:val="EndnoteCharacters"/>
        </w:rPr>
        <w:endnoteRef/>
      </w:r>
      <w:r>
        <w:rPr>
          <w:rtl/>
        </w:rPr>
        <w:t xml:space="preserve">איני </w:t>
      </w:r>
      <w:r>
        <w:rPr>
          <w:rtl/>
        </w:rPr>
        <w:t>יודע דין הקדם לברכות שונות בתוך שבעת המינים, שאיני יודע כל כך דין הקדם לברכות חלוקות. גמ’ לא מפרש אותם, אבל פוס’ אומרים סדר שתלוי במה לצאת במה.</w:t>
      </w:r>
    </w:p>
  </w:endnote>
  <w:endnote w:id="72">
    <w:p w:rsidR="00B63280" w:rsidRDefault="00B63280">
      <w:pPr>
        <w:pStyle w:val="EndnoteText"/>
      </w:pPr>
      <w:r>
        <w:rPr>
          <w:rStyle w:val="EndnoteCharacters"/>
        </w:rPr>
        <w:endnoteRef/>
      </w:r>
      <w:r>
        <w:rPr>
          <w:rtl/>
        </w:rPr>
        <w:t xml:space="preserve">איני </w:t>
      </w:r>
      <w:r>
        <w:rPr>
          <w:rtl/>
        </w:rPr>
        <w:t>יודע אם, כשמריח את השמן, העצים עדיים הם בתוכו.</w:t>
      </w:r>
    </w:p>
  </w:endnote>
  <w:endnote w:id="73">
    <w:p w:rsidR="00B63280" w:rsidRDefault="00B63280">
      <w:pPr>
        <w:pStyle w:val="EndnoteText"/>
      </w:pPr>
      <w:r>
        <w:rPr>
          <w:rStyle w:val="EndnoteCharacters"/>
        </w:rPr>
        <w:endnoteRef/>
      </w:r>
      <w:r>
        <w:rPr>
          <w:rtl/>
        </w:rPr>
        <w:t>לכאו’, ההגדרה שווה להגדרה של עשבי בשמים. ויש לדון.</w:t>
      </w:r>
    </w:p>
  </w:endnote>
  <w:endnote w:id="74">
    <w:p w:rsidR="00B63280" w:rsidRDefault="00B63280">
      <w:pPr>
        <w:pStyle w:val="EndnoteText"/>
      </w:pPr>
      <w:r>
        <w:rPr>
          <w:rStyle w:val="EndnoteCharacters"/>
        </w:rPr>
        <w:endnoteRef/>
      </w:r>
      <w:r>
        <w:rPr>
          <w:rtl/>
        </w:rPr>
        <w:t xml:space="preserve">לכאו’, </w:t>
      </w:r>
      <w:r>
        <w:rPr>
          <w:rtl/>
        </w:rPr>
        <w:t>יש שני דרכים:</w:t>
      </w:r>
    </w:p>
    <w:p w:rsidR="00B63280" w:rsidRDefault="00B63280" w:rsidP="008A6DF8">
      <w:pPr>
        <w:pStyle w:val="EndnoteText"/>
        <w:numPr>
          <w:ilvl w:val="0"/>
          <w:numId w:val="30"/>
        </w:numPr>
      </w:pPr>
      <w:r>
        <w:rPr>
          <w:rtl/>
        </w:rPr>
        <w:t>הוא שמן של דבר שריחו טוב. אז, ממילא הוא ריחו טוב. אז, שמן זיתים יהיה ריחו כזיתים.</w:t>
      </w:r>
    </w:p>
    <w:p w:rsidR="00B63280" w:rsidRDefault="00B63280" w:rsidP="008A6DF8">
      <w:pPr>
        <w:pStyle w:val="EndnoteText"/>
        <w:numPr>
          <w:ilvl w:val="0"/>
          <w:numId w:val="30"/>
        </w:numPr>
      </w:pPr>
      <w:r>
        <w:rPr>
          <w:rtl/>
        </w:rPr>
        <w:t>הוא שמן שיש בו דבר טוב.</w:t>
      </w:r>
    </w:p>
    <w:p w:rsidR="00B63280" w:rsidRDefault="00B63280">
      <w:pPr>
        <w:pStyle w:val="EndnoteText"/>
      </w:pPr>
      <w:r>
        <w:rPr>
          <w:rtl/>
        </w:rPr>
        <w:t>לכאו’, בשני ייתלה על מחלקת שהזכרנו גבי בורא עצי בשמים. ותחשב. ויש לדון אם אותו חמלקת יתקיים בראשון.</w:t>
      </w:r>
    </w:p>
  </w:endnote>
  <w:endnote w:id="75">
    <w:p w:rsidR="00B63280" w:rsidRDefault="00B63280">
      <w:pPr>
        <w:pStyle w:val="EndnoteText"/>
      </w:pPr>
      <w:r>
        <w:rPr>
          <w:rStyle w:val="EndnoteCharacters"/>
        </w:rPr>
        <w:endnoteRef/>
      </w:r>
      <w:r>
        <w:rPr>
          <w:rtl/>
        </w:rPr>
        <w:t xml:space="preserve">יש </w:t>
      </w:r>
      <w:r>
        <w:rPr>
          <w:rtl/>
        </w:rPr>
        <w:t>לדון מהו הדין אם שלק את הפרי.</w:t>
      </w:r>
    </w:p>
  </w:endnote>
  <w:endnote w:id="76">
    <w:p w:rsidR="00B63280" w:rsidRDefault="00B63280">
      <w:pPr>
        <w:pStyle w:val="EndnoteText"/>
      </w:pPr>
      <w:r>
        <w:rPr>
          <w:rStyle w:val="EndnoteCharacters"/>
        </w:rPr>
        <w:endnoteRef/>
      </w:r>
      <w:r>
        <w:rPr>
          <w:rtl/>
        </w:rPr>
        <w:t xml:space="preserve">אז, </w:t>
      </w:r>
      <w:r>
        <w:rPr>
          <w:rtl/>
        </w:rPr>
        <w:t xml:space="preserve">יש להסתפק אם זה דווקא כשגם סך בו (כמו בסוף סועדה), או בכל זמן, כיון שהוא דבר שגם יכול לסוך בו. ותו"ת. </w:t>
      </w:r>
    </w:p>
  </w:endnote>
  <w:endnote w:id="77">
    <w:p w:rsidR="00B63280" w:rsidRDefault="00B63280">
      <w:pPr>
        <w:pStyle w:val="EndnoteText"/>
      </w:pPr>
      <w:r>
        <w:rPr>
          <w:rStyle w:val="EndnoteCharacters"/>
        </w:rPr>
        <w:endnoteRef/>
      </w:r>
      <w:r>
        <w:rPr>
          <w:rtl/>
        </w:rPr>
        <w:t xml:space="preserve">ונראה </w:t>
      </w:r>
      <w:r>
        <w:rPr>
          <w:rtl/>
        </w:rPr>
        <w:t xml:space="preserve">שיש עוד נפק"מ על פי זה, והוא שאם יש מאכל שריחו טוב, מברך עליו ראשון, שגם יש הנאת אכילה. ויש לדון אם זה רק אם אוכלו. ויש לדון אם יכול לאכול ולהריח באופן שיכול לסוך ולהריח. ותו"ת. </w:t>
      </w:r>
    </w:p>
  </w:endnote>
  <w:endnote w:id="78">
    <w:p w:rsidR="00B63280" w:rsidRDefault="00B63280">
      <w:pPr>
        <w:pStyle w:val="EndnoteText"/>
      </w:pPr>
      <w:r>
        <w:rPr>
          <w:rStyle w:val="EndnoteCharacters"/>
        </w:rPr>
        <w:endnoteRef/>
      </w:r>
      <w:r>
        <w:rPr>
          <w:rtl/>
        </w:rPr>
        <w:t xml:space="preserve">נ’ </w:t>
      </w:r>
      <w:r>
        <w:rPr>
          <w:rtl/>
        </w:rPr>
        <w:t>שהחילוק בין זה לראשון הוא שאין מלח כל כך נצרך לאכילה, אבל אמירת טול וברוך יותר נצרך, שאי לאו הכי, לא יכיר לאכול. דחוק לומר שלא יכיר שיש לו לאכול. אולי הענין הוא ששם אומר התוצאה של הברכה, ואז בוודאי לא הפסיק, אבל כאן, היה מדבר על דבר אחר. ותחשב.</w:t>
      </w:r>
    </w:p>
  </w:endnote>
  <w:endnote w:id="79">
    <w:p w:rsidR="00B63280" w:rsidRDefault="00B63280">
      <w:pPr>
        <w:pStyle w:val="EndnoteText"/>
      </w:pPr>
      <w:r>
        <w:rPr>
          <w:rStyle w:val="EndnoteCharacters"/>
        </w:rPr>
        <w:endnoteRef/>
      </w:r>
      <w:r>
        <w:rPr>
          <w:rtl/>
        </w:rPr>
        <w:t xml:space="preserve">לכאו’, </w:t>
      </w:r>
      <w:r>
        <w:rPr>
          <w:rtl/>
        </w:rPr>
        <w:t>כאן הוא צריך. אולי אינו מעשה כלל בלחם. ותו"ת. גי"ל שרק מסלק מניעה, ולא עושה סיבה לאכילה. ותחשב. לא נ’ לומר שחולקים אם צריך להאכיל בהמה, שרב הוא שאומר שצריך להאכיל בהמתו קודם שיאכל הוא.</w:t>
      </w:r>
    </w:p>
  </w:endnote>
  <w:endnote w:id="80">
    <w:p w:rsidR="00B63280" w:rsidRDefault="00B63280">
      <w:pPr>
        <w:pStyle w:val="EndnoteText"/>
      </w:pPr>
      <w:r>
        <w:rPr>
          <w:rStyle w:val="EndnoteCharacters"/>
        </w:rPr>
        <w:endnoteRef/>
      </w:r>
      <w:r>
        <w:rPr>
          <w:rtl/>
        </w:rPr>
        <w:t xml:space="preserve">לא </w:t>
      </w:r>
      <w:r>
        <w:rPr>
          <w:rtl/>
        </w:rPr>
        <w:t>הבנתי כל כך למה עצות אלו עושים שאין ניצוצות, שלכאו’ מה שגורם ניצוצות הוא שבסוף הטלת מים, המי רגלים נשפכים, ולא מקלחים. ותחשב.</w:t>
      </w:r>
    </w:p>
  </w:endnote>
  <w:endnote w:id="81">
    <w:p w:rsidR="00B63280" w:rsidRDefault="00B63280">
      <w:pPr>
        <w:pStyle w:val="EndnoteText"/>
      </w:pPr>
      <w:r>
        <w:rPr>
          <w:rStyle w:val="EndnoteCharacters"/>
        </w:rPr>
        <w:endnoteRef/>
      </w:r>
      <w:r>
        <w:rPr>
          <w:rtl/>
        </w:rPr>
        <w:t xml:space="preserve">יש </w:t>
      </w:r>
      <w:r>
        <w:rPr>
          <w:rtl/>
        </w:rPr>
        <w:t xml:space="preserve">לדון אם דברים אלו באים עליו ביום ובלילה, או שבאים עליו אם אכילתו הרע היה ביום או היה בלילה. ותו"ת. </w:t>
      </w:r>
    </w:p>
  </w:endnote>
  <w:endnote w:id="82">
    <w:p w:rsidR="00B63280" w:rsidRDefault="00B63280">
      <w:pPr>
        <w:pStyle w:val="EndnoteText"/>
      </w:pPr>
      <w:r>
        <w:rPr>
          <w:rStyle w:val="EndnoteCharacters"/>
        </w:rPr>
        <w:endnoteRef/>
      </w:r>
      <w:r>
        <w:rPr>
          <w:rtl/>
        </w:rPr>
        <w:t xml:space="preserve">יש לדון אם אומר כן לענין הלכה, ואין בו דיני סעודה, כמו דבר בהא מחמת סעודה, ואולי אף ברכת המזון, או רק אומר שאינו כסעודה כל כך חשובה, והוא רק בדרך עצה טובה. ותו"ת. </w:t>
      </w:r>
    </w:p>
  </w:endnote>
  <w:endnote w:id="83">
    <w:p w:rsidR="00B63280" w:rsidRDefault="00B63280">
      <w:pPr>
        <w:pStyle w:val="EndnoteText"/>
      </w:pPr>
      <w:r>
        <w:rPr>
          <w:rStyle w:val="EndnoteCharacters"/>
        </w:rPr>
        <w:endnoteRef/>
      </w:r>
      <w:r>
        <w:rPr>
          <w:rtl/>
        </w:rPr>
        <w:t xml:space="preserve">יש </w:t>
      </w:r>
      <w:r>
        <w:rPr>
          <w:rtl/>
        </w:rPr>
        <w:t>לדון כמה מאלו דינים הם שווים. לא נראה ששני ושלישי שווים; נראה שני ראיות לזה:</w:t>
      </w:r>
    </w:p>
    <w:p w:rsidR="00B63280" w:rsidRDefault="00B63280" w:rsidP="008A6DF8">
      <w:pPr>
        <w:pStyle w:val="EndnoteText"/>
        <w:numPr>
          <w:ilvl w:val="0"/>
          <w:numId w:val="34"/>
        </w:numPr>
      </w:pPr>
      <w:r>
        <w:rPr>
          <w:rtl/>
        </w:rPr>
        <w:t>שלישי אומר שהוא על כל מאכלים, אבל שני איננו על פת נקיה.</w:t>
      </w:r>
    </w:p>
    <w:p w:rsidR="00B63280" w:rsidRDefault="00B63280" w:rsidP="008A6DF8">
      <w:pPr>
        <w:pStyle w:val="EndnoteText"/>
        <w:numPr>
          <w:ilvl w:val="0"/>
          <w:numId w:val="34"/>
        </w:numPr>
      </w:pPr>
      <w:r>
        <w:rPr>
          <w:rtl/>
        </w:rPr>
        <w:t>שלישי אומר לאכול מלח אחר כל אכילה, ואז לא צריך שיהיה לפני כל אוכל. אז, שני חלוק מן שלישי.</w:t>
      </w:r>
    </w:p>
  </w:endnote>
  <w:endnote w:id="84">
    <w:p w:rsidR="00B63280" w:rsidRDefault="00B63280">
      <w:pPr>
        <w:pStyle w:val="EndnoteText"/>
      </w:pPr>
      <w:r>
        <w:rPr>
          <w:rStyle w:val="EndnoteCharacters"/>
        </w:rPr>
        <w:endnoteRef/>
      </w:r>
      <w:r>
        <w:rPr>
          <w:rtl/>
        </w:rPr>
        <w:t xml:space="preserve">צריך </w:t>
      </w:r>
      <w:r>
        <w:rPr>
          <w:rtl/>
        </w:rPr>
        <w:t>ביאור, שגמ’ אומר כן לבאר משנה שאומר שהוא מי שברך על היין לכ"ע. אולי כיון שברך על יין נוטל ידיו תחילה. עדיין חסר כך מן הספר. ותחשב.</w:t>
      </w:r>
    </w:p>
  </w:endnote>
  <w:endnote w:id="85">
    <w:p w:rsidR="00B63280" w:rsidRDefault="00B63280">
      <w:pPr>
        <w:pStyle w:val="EndnoteText"/>
      </w:pPr>
      <w:r>
        <w:rPr>
          <w:rStyle w:val="EndnoteCharacters"/>
        </w:rPr>
        <w:endnoteRef/>
      </w:r>
      <w:r>
        <w:rPr>
          <w:rtl/>
        </w:rPr>
        <w:t xml:space="preserve">לא </w:t>
      </w:r>
      <w:r>
        <w:rPr>
          <w:rtl/>
        </w:rPr>
        <w:t xml:space="preserve">מבאר למה. אולי הוא מפני שנותן ריח רע. אבל, עדיין אינו בעיה לדבר עמו, אף שיש ריח רע. ותו"ת. </w:t>
      </w:r>
    </w:p>
  </w:endnote>
  <w:endnote w:id="86">
    <w:p w:rsidR="00B63280" w:rsidRDefault="00B63280">
      <w:pPr>
        <w:pStyle w:val="EndnoteText"/>
      </w:pPr>
      <w:r>
        <w:rPr>
          <w:rStyle w:val="EndnoteCharacters"/>
        </w:rPr>
        <w:endnoteRef/>
      </w:r>
      <w:r>
        <w:rPr>
          <w:rtl/>
        </w:rPr>
        <w:t xml:space="preserve">גמ’ </w:t>
      </w:r>
      <w:r>
        <w:rPr>
          <w:rtl/>
        </w:rPr>
        <w:t>רק אומר טעם זה גבי קורבתו, אבל נ’ שהוא כן אף לענין אשתו.</w:t>
      </w:r>
    </w:p>
  </w:endnote>
  <w:endnote w:id="87">
    <w:p w:rsidR="00B63280" w:rsidRDefault="00B63280">
      <w:pPr>
        <w:pStyle w:val="EndnoteText"/>
      </w:pPr>
      <w:r>
        <w:rPr>
          <w:rStyle w:val="EndnoteCharacters"/>
        </w:rPr>
        <w:endnoteRef/>
      </w:r>
      <w:r>
        <w:rPr>
          <w:rtl/>
        </w:rPr>
        <w:t xml:space="preserve"> </w:t>
      </w:r>
      <w:r>
        <w:rPr>
          <w:rtl/>
        </w:rPr>
        <w:t xml:space="preserve">ממה </w:t>
      </w:r>
      <w:r>
        <w:rPr>
          <w:rtl/>
        </w:rPr>
        <w:t>שגמ' מבאר דברים אלו בלשון הבריי', נ' שלא תקנו משה וכדו' לשון מיוחד, שאם תקנו, נאמר שצריך לומר (על כל פנים לכתחילה) כמו שתקנו, ולא צריך דינים אלו (או, עכ"פ, הנאמרים לכת').</w:t>
      </w:r>
    </w:p>
  </w:endnote>
  <w:endnote w:id="88">
    <w:p w:rsidR="00B63280" w:rsidRDefault="00B63280">
      <w:pPr>
        <w:pStyle w:val="EndnoteText"/>
      </w:pPr>
      <w:r>
        <w:rPr>
          <w:rStyle w:val="EndnoteCharacters"/>
        </w:rPr>
        <w:endnoteRef/>
      </w:r>
      <w:r>
        <w:rPr>
          <w:rtl/>
        </w:rPr>
        <w:t xml:space="preserve"> </w:t>
      </w:r>
      <w:r>
        <w:rPr>
          <w:rtl/>
        </w:rPr>
        <w:t xml:space="preserve">תנאים </w:t>
      </w:r>
      <w:r>
        <w:rPr>
          <w:rtl/>
        </w:rPr>
        <w:t>חלוקים אמרו כל אלו; הנחתי שאין חולקים.</w:t>
      </w:r>
    </w:p>
  </w:endnote>
  <w:endnote w:id="89">
    <w:p w:rsidR="00B63280" w:rsidRDefault="00B63280">
      <w:pPr>
        <w:pStyle w:val="EndnoteText"/>
      </w:pPr>
      <w:r>
        <w:rPr>
          <w:rStyle w:val="EndnoteCharacters"/>
        </w:rPr>
        <w:endnoteRef/>
      </w:r>
      <w:r>
        <w:rPr>
          <w:rtl/>
        </w:rPr>
        <w:t xml:space="preserve"> </w:t>
      </w:r>
      <w:r>
        <w:rPr>
          <w:rtl/>
        </w:rPr>
        <w:t xml:space="preserve">יש </w:t>
      </w:r>
      <w:r>
        <w:rPr>
          <w:rtl/>
        </w:rPr>
        <w:t>לדון בזה, שאולי גמ' אומר כן רק אם מתחיל ברחם על ישראל.</w:t>
      </w:r>
    </w:p>
  </w:endnote>
  <w:endnote w:id="90">
    <w:p w:rsidR="00B63280" w:rsidRDefault="00B63280">
      <w:pPr>
        <w:pStyle w:val="EndnoteText"/>
      </w:pPr>
      <w:r>
        <w:rPr>
          <w:rStyle w:val="EndnoteCharacters"/>
        </w:rPr>
        <w:endnoteRef/>
      </w:r>
      <w:r>
        <w:rPr>
          <w:rtl/>
        </w:rPr>
        <w:t xml:space="preserve"> </w:t>
      </w:r>
      <w:r>
        <w:rPr>
          <w:rtl/>
        </w:rPr>
        <w:t xml:space="preserve">צריך </w:t>
      </w:r>
      <w:r>
        <w:rPr>
          <w:rtl/>
        </w:rPr>
        <w:t>ביאור, שגמ' לקמן אומר שלא אמר מלכות בברכת הארץ. (גם צריך ביאור, אזגב, אם אומר שהוא חלק מברכת הארץ אף לענין שאר דינים, כמו מתי עונה אמן. יש להעיר שמתחיל לומר שהוא חלק מאותו ברכה, ושוב אומר שהוא ברכה הסמוכה לחברתה. ותחשב.)</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hofar">
    <w:panose1 w:val="02000000000000000000"/>
    <w:charset w:val="00"/>
    <w:family w:val="auto"/>
    <w:pitch w:val="variable"/>
    <w:sig w:usb0="8000086F" w:usb1="4000204A" w:usb2="00000000" w:usb3="00000000" w:csb0="00000021" w:csb1="00000000"/>
  </w:font>
  <w:font w:name="Calibri Light">
    <w:panose1 w:val="020F0302020204030204"/>
    <w:charset w:val="00"/>
    <w:family w:val="swiss"/>
    <w:pitch w:val="variable"/>
    <w:sig w:usb0="E4002EFF" w:usb1="C000247B"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A6DF8" w:rsidRDefault="008A6DF8">
      <w:pPr>
        <w:rPr>
          <w:sz w:val="12"/>
        </w:rPr>
      </w:pPr>
      <w:r>
        <w:separator/>
      </w:r>
    </w:p>
  </w:footnote>
  <w:footnote w:type="continuationSeparator" w:id="0">
    <w:p w:rsidR="008A6DF8" w:rsidRDefault="008A6DF8">
      <w:pPr>
        <w:rPr>
          <w:sz w:val="12"/>
        </w:rPr>
      </w:pPr>
      <w:r>
        <w:continuationSeparator/>
      </w:r>
    </w:p>
  </w:footnote>
  <w:footnote w:id="1">
    <w:p w:rsidR="00B63280" w:rsidRDefault="00B63280">
      <w:pPr>
        <w:pStyle w:val="FootnoteText"/>
        <w:rPr>
          <w:b/>
          <w:bCs/>
        </w:rPr>
      </w:pPr>
      <w:r>
        <w:rPr>
          <w:rStyle w:val="FootnoteCharacters"/>
        </w:rPr>
        <w:footnoteRef/>
      </w:r>
      <w:r>
        <w:rPr>
          <w:rtl/>
        </w:rPr>
        <w:t xml:space="preserve"> צריך להיות דבר שנותן לא הנאת אכילה, ואף אם אותו הנאה באה לו אגב סיבה אחרת., ואף אם הוא מזיק לאוכלו. </w:t>
      </w:r>
      <w:r>
        <w:rPr>
          <w:b/>
          <w:bCs/>
          <w:rtl/>
        </w:rPr>
        <w:t>(לו.)</w:t>
      </w:r>
    </w:p>
    <w:p w:rsidR="00B63280" w:rsidRDefault="00B63280">
      <w:pPr>
        <w:pStyle w:val="FootnoteText"/>
      </w:pPr>
      <w:r>
        <w:rPr>
          <w:rtl/>
        </w:rPr>
        <w:t xml:space="preserve">גם צריך להיות דבר שדרכו לאכול. עייין בדף </w:t>
      </w:r>
      <w:r>
        <w:rPr>
          <w:b/>
          <w:bCs/>
          <w:rtl/>
        </w:rPr>
        <w:t>לו:</w:t>
      </w:r>
      <w:r>
        <w:rPr>
          <w:rtl/>
        </w:rPr>
        <w:t xml:space="preserve"> שחול' בדין אוכל פלפלים, כיון שאינו רגיל, אם מברכים בפה"א או שהכל. יל"ד אם חול' אם רגיל  הוא או לא; או אם צריך להיות רגיל כדי לברך עליו או לא.</w:t>
      </w:r>
    </w:p>
  </w:footnote>
  <w:footnote w:id="2">
    <w:p w:rsidR="00B63280" w:rsidRDefault="00B63280">
      <w:pPr>
        <w:pStyle w:val="FootnoteText"/>
      </w:pPr>
      <w:r>
        <w:rPr>
          <w:rStyle w:val="FootnoteCharacters"/>
        </w:rPr>
        <w:footnoteRef/>
      </w:r>
      <w:r>
        <w:rPr>
          <w:rtl/>
        </w:rPr>
        <w:t xml:space="preserve"> </w:t>
      </w:r>
      <w:r>
        <w:rPr>
          <w:b/>
          <w:bCs/>
          <w:rtl/>
        </w:rPr>
        <w:t xml:space="preserve">ויקרא </w:t>
      </w:r>
      <w:r>
        <w:rPr>
          <w:b/>
          <w:bCs/>
          <w:rtl/>
        </w:rPr>
        <w:t>(יט)</w:t>
      </w:r>
      <w:r>
        <w:rPr>
          <w:rtl/>
        </w:rPr>
        <w:t>, גבי נטע רבעי.</w:t>
      </w:r>
    </w:p>
  </w:footnote>
  <w:footnote w:id="3">
    <w:p w:rsidR="00B63280" w:rsidRDefault="00B63280">
      <w:pPr>
        <w:pStyle w:val="FootnoteText"/>
      </w:pPr>
      <w:r>
        <w:rPr>
          <w:rStyle w:val="FootnoteCharacters"/>
        </w:rPr>
        <w:footnoteRef/>
      </w:r>
      <w:r>
        <w:rPr>
          <w:rtl/>
        </w:rPr>
        <w:t xml:space="preserve"> </w:t>
      </w:r>
      <w:r>
        <w:rPr>
          <w:rtl/>
        </w:rPr>
        <w:t xml:space="preserve">"גבי </w:t>
      </w:r>
      <w:r>
        <w:rPr>
          <w:rtl/>
        </w:rPr>
        <w:t>נטע רבעי כתיב, "להוסיף לכם תבואתו," ובמק"א כ', "ותבואת הכרם."</w:t>
      </w:r>
    </w:p>
  </w:footnote>
  <w:footnote w:id="4">
    <w:p w:rsidR="00B63280" w:rsidRDefault="00B63280">
      <w:pPr>
        <w:pStyle w:val="FootnoteText"/>
      </w:pPr>
      <w:r>
        <w:rPr>
          <w:rStyle w:val="FootnoteCharacters"/>
        </w:rPr>
        <w:footnoteRef/>
      </w:r>
      <w:r>
        <w:rPr>
          <w:rtl/>
        </w:rPr>
        <w:t xml:space="preserve">אגב, </w:t>
      </w:r>
      <w:r>
        <w:rPr>
          <w:rtl/>
        </w:rPr>
        <w:t>ק"ק למה, אז, לא חייב לברך ארבע (או שלש) ברכות. לפעמים, מצאנו קל וחומר שאינו ממש קל וחומר (כמו שלא לזכור שמניח תפילים, בפ“ק של שבת), אבל אי אפשר לומר כן כאן, שגמ’ מחפש למקור מדאו’.</w:t>
      </w:r>
    </w:p>
  </w:footnote>
  <w:footnote w:id="5">
    <w:p w:rsidR="00B63280" w:rsidRDefault="00B63280">
      <w:pPr>
        <w:pStyle w:val="FootnoteText"/>
        <w:rPr>
          <w:b/>
          <w:bCs/>
        </w:rPr>
      </w:pPr>
      <w:r>
        <w:rPr>
          <w:rStyle w:val="FootnoteCharacters"/>
        </w:rPr>
        <w:footnoteRef/>
      </w:r>
      <w:r>
        <w:rPr>
          <w:rtl/>
        </w:rPr>
        <w:t xml:space="preserve"> </w:t>
      </w:r>
      <w:r>
        <w:rPr>
          <w:b/>
          <w:bCs/>
          <w:rtl/>
        </w:rPr>
        <w:t>לה.</w:t>
      </w:r>
    </w:p>
  </w:footnote>
  <w:footnote w:id="6">
    <w:p w:rsidR="00C04695" w:rsidRDefault="00C04695" w:rsidP="00C04695">
      <w:pPr>
        <w:pStyle w:val="FootnoteText"/>
        <w:rPr>
          <w:b/>
          <w:bCs/>
        </w:rPr>
      </w:pPr>
      <w:r>
        <w:rPr>
          <w:rStyle w:val="FootnoteCharacters"/>
        </w:rPr>
        <w:footnoteRef/>
      </w:r>
      <w:r>
        <w:rPr>
          <w:rtl/>
        </w:rPr>
        <w:t xml:space="preserve"> </w:t>
      </w:r>
      <w:r>
        <w:rPr>
          <w:b/>
          <w:bCs/>
          <w:rtl/>
        </w:rPr>
        <w:t>כא.</w:t>
      </w:r>
    </w:p>
  </w:footnote>
  <w:footnote w:id="7">
    <w:p w:rsidR="00B63280" w:rsidRDefault="00B63280">
      <w:pPr>
        <w:pStyle w:val="FootnoteText"/>
        <w:rPr>
          <w:b/>
          <w:bCs/>
        </w:rPr>
      </w:pPr>
      <w:r>
        <w:rPr>
          <w:rStyle w:val="FootnoteCharacters"/>
        </w:rPr>
        <w:footnoteRef/>
      </w:r>
      <w:r>
        <w:rPr>
          <w:rtl/>
        </w:rPr>
        <w:t xml:space="preserve"> </w:t>
      </w:r>
      <w:r>
        <w:rPr>
          <w:b/>
          <w:bCs/>
          <w:rtl/>
        </w:rPr>
        <w:t>מח:</w:t>
      </w:r>
    </w:p>
  </w:footnote>
  <w:footnote w:id="8">
    <w:p w:rsidR="00B63280" w:rsidRDefault="00B63280">
      <w:pPr>
        <w:pStyle w:val="FootnoteText"/>
        <w:rPr>
          <w:b/>
          <w:bCs/>
        </w:rPr>
      </w:pPr>
      <w:r>
        <w:rPr>
          <w:rStyle w:val="FootnoteCharacters"/>
        </w:rPr>
        <w:footnoteRef/>
      </w:r>
      <w:r>
        <w:rPr>
          <w:rtl/>
        </w:rPr>
        <w:t xml:space="preserve"> </w:t>
      </w:r>
      <w:r>
        <w:rPr>
          <w:b/>
          <w:bCs/>
          <w:rtl/>
        </w:rPr>
        <w:t>מח:</w:t>
      </w:r>
    </w:p>
  </w:footnote>
  <w:footnote w:id="9">
    <w:p w:rsidR="00B63280" w:rsidRDefault="00B63280">
      <w:pPr>
        <w:pStyle w:val="FootnoteText"/>
        <w:rPr>
          <w:b/>
          <w:bCs/>
        </w:rPr>
      </w:pPr>
      <w:r>
        <w:rPr>
          <w:rStyle w:val="FootnoteCharacters"/>
        </w:rPr>
        <w:footnoteRef/>
      </w:r>
      <w:r>
        <w:rPr>
          <w:rtl/>
        </w:rPr>
        <w:t xml:space="preserve"> </w:t>
      </w:r>
      <w:r>
        <w:rPr>
          <w:b/>
          <w:bCs/>
          <w:rtl/>
        </w:rPr>
        <w:t>מח:</w:t>
      </w:r>
    </w:p>
  </w:footnote>
  <w:footnote w:id="10">
    <w:p w:rsidR="00B63280" w:rsidRDefault="00B63280">
      <w:pPr>
        <w:pStyle w:val="FootnoteText"/>
        <w:rPr>
          <w:rFonts w:hint="cs"/>
        </w:rPr>
      </w:pPr>
      <w:r>
        <w:rPr>
          <w:rStyle w:val="FootnoteReference"/>
        </w:rPr>
        <w:footnoteRef/>
      </w:r>
      <w:r>
        <w:rPr>
          <w:rtl/>
        </w:rPr>
        <w:t xml:space="preserve"> </w:t>
      </w:r>
      <w:r>
        <w:rPr>
          <w:rFonts w:hint="cs"/>
          <w:rtl/>
        </w:rPr>
        <w:t>יש להעיר שקרא זה בנביא הוא, ולא נלמד ממנו חיוב דאו'. ויש לדון, שאולי גילוי חיוב דאו' הוא, כמו שמצאנו בכמה מקומות.</w:t>
      </w:r>
    </w:p>
  </w:footnote>
  <w:footnote w:id="11">
    <w:p w:rsidR="00B63280" w:rsidRDefault="00B63280">
      <w:pPr>
        <w:pStyle w:val="FootnoteText"/>
      </w:pPr>
      <w:r>
        <w:rPr>
          <w:rStyle w:val="FootnoteCharacters"/>
        </w:rPr>
        <w:footnoteRef/>
      </w:r>
      <w:r>
        <w:rPr>
          <w:rtl/>
        </w:rPr>
        <w:t xml:space="preserve"> </w:t>
      </w:r>
      <w:r>
        <w:rPr>
          <w:rtl/>
        </w:rPr>
        <w:t>חטה, שעורה, תאנה, רמון, דבר (תמר), גפן (ענבים), זית.</w:t>
      </w:r>
    </w:p>
  </w:footnote>
  <w:footnote w:id="12">
    <w:p w:rsidR="00B63280" w:rsidRDefault="00B63280">
      <w:pPr>
        <w:pStyle w:val="FootnoteText"/>
      </w:pPr>
      <w:r>
        <w:rPr>
          <w:rStyle w:val="FootnoteCharacters"/>
        </w:rPr>
        <w:footnoteRef/>
      </w:r>
      <w:r>
        <w:rPr>
          <w:rtl/>
        </w:rPr>
        <w:t xml:space="preserve">גמ׳ </w:t>
      </w:r>
      <w:r>
        <w:rPr>
          <w:rtl/>
        </w:rPr>
        <w:t>אומר שחולקים רבן גמליאל ורבנן אם קרא קאי על שבעת המינים או רק לחם֭</w:t>
      </w:r>
    </w:p>
  </w:footnote>
  <w:footnote w:id="13">
    <w:p w:rsidR="00B63280" w:rsidRDefault="00B63280">
      <w:pPr>
        <w:pStyle w:val="FootnoteText"/>
        <w:rPr>
          <w:b/>
          <w:bCs/>
        </w:rPr>
      </w:pPr>
      <w:r>
        <w:rPr>
          <w:rStyle w:val="FootnoteCharacters"/>
        </w:rPr>
        <w:footnoteRef/>
      </w:r>
      <w:r>
        <w:rPr>
          <w:rtl/>
        </w:rPr>
        <w:t xml:space="preserve"> </w:t>
      </w:r>
      <w:r>
        <w:rPr>
          <w:b/>
          <w:bCs/>
          <w:rtl/>
        </w:rPr>
        <w:t>לה.</w:t>
      </w:r>
    </w:p>
  </w:footnote>
  <w:footnote w:id="14">
    <w:p w:rsidR="00B63280" w:rsidRDefault="00B63280">
      <w:pPr>
        <w:pStyle w:val="FootnoteText"/>
        <w:rPr>
          <w:b/>
          <w:bCs/>
        </w:rPr>
      </w:pPr>
      <w:r>
        <w:rPr>
          <w:rStyle w:val="FootnoteCharacters"/>
        </w:rPr>
        <w:footnoteRef/>
      </w:r>
      <w:r>
        <w:rPr>
          <w:rtl/>
        </w:rPr>
        <w:t xml:space="preserve"> </w:t>
      </w:r>
      <w:r>
        <w:rPr>
          <w:b/>
          <w:bCs/>
          <w:rtl/>
        </w:rPr>
        <w:t>מח:</w:t>
      </w:r>
    </w:p>
  </w:footnote>
  <w:footnote w:id="15">
    <w:p w:rsidR="00B63280" w:rsidRDefault="00B63280">
      <w:pPr>
        <w:pStyle w:val="FootnoteText"/>
        <w:rPr>
          <w:b/>
          <w:bCs/>
        </w:rPr>
      </w:pPr>
      <w:r>
        <w:rPr>
          <w:rStyle w:val="FootnoteCharacters"/>
        </w:rPr>
        <w:footnoteRef/>
      </w:r>
      <w:r>
        <w:rPr>
          <w:rtl/>
        </w:rPr>
        <w:t xml:space="preserve"> </w:t>
      </w:r>
      <w:r>
        <w:rPr>
          <w:b/>
          <w:bCs/>
          <w:rtl/>
        </w:rPr>
        <w:t>לה.</w:t>
      </w:r>
    </w:p>
  </w:footnote>
  <w:footnote w:id="16">
    <w:p w:rsidR="00B63280" w:rsidRDefault="00B63280" w:rsidP="00482DA7">
      <w:pPr>
        <w:pStyle w:val="FootnoteText"/>
        <w:rPr>
          <w:b/>
          <w:bCs/>
        </w:rPr>
      </w:pPr>
      <w:r>
        <w:rPr>
          <w:rStyle w:val="FootnoteCharacters"/>
        </w:rPr>
        <w:footnoteRef/>
      </w:r>
      <w:r>
        <w:rPr>
          <w:rtl/>
        </w:rPr>
        <w:t xml:space="preserve"> </w:t>
      </w:r>
      <w:r>
        <w:rPr>
          <w:b/>
          <w:bCs/>
          <w:rtl/>
        </w:rPr>
        <w:t>מח:</w:t>
      </w:r>
    </w:p>
  </w:footnote>
  <w:footnote w:id="17">
    <w:p w:rsidR="008109D2" w:rsidRDefault="008109D2">
      <w:pPr>
        <w:pStyle w:val="FootnoteText"/>
        <w:rPr>
          <w:rFonts w:hint="cs"/>
        </w:rPr>
      </w:pPr>
      <w:r>
        <w:rPr>
          <w:rStyle w:val="FootnoteReference"/>
        </w:rPr>
        <w:footnoteRef/>
      </w:r>
      <w:r>
        <w:rPr>
          <w:rtl/>
        </w:rPr>
        <w:t xml:space="preserve"> </w:t>
      </w:r>
      <w:r>
        <w:rPr>
          <w:rFonts w:hint="cs"/>
          <w:rtl/>
        </w:rPr>
        <w:t>היה אפשר לומר ששאר חייבים גם מפני שכ', "הוא יברך," אבל בפשטות קרא זה קאי על לפני האכילה, שעל זה היו מדברים. אבל, יש לדון בזה.</w:t>
      </w:r>
    </w:p>
  </w:footnote>
  <w:footnote w:id="18">
    <w:p w:rsidR="00555C33" w:rsidRPr="00555C33" w:rsidRDefault="00555C33">
      <w:pPr>
        <w:pStyle w:val="FootnoteText"/>
        <w:rPr>
          <w:rFonts w:hint="cs"/>
          <w:b/>
          <w:bCs/>
        </w:rPr>
      </w:pPr>
      <w:r>
        <w:rPr>
          <w:rStyle w:val="FootnoteReference"/>
        </w:rPr>
        <w:footnoteRef/>
      </w:r>
      <w:r>
        <w:rPr>
          <w:rtl/>
        </w:rPr>
        <w:t xml:space="preserve"> </w:t>
      </w:r>
      <w:r>
        <w:rPr>
          <w:rFonts w:hint="cs"/>
          <w:b/>
          <w:bCs/>
          <w:rtl/>
        </w:rPr>
        <w:t>כא.</w:t>
      </w:r>
    </w:p>
  </w:footnote>
  <w:footnote w:id="19">
    <w:p w:rsidR="00604CE1" w:rsidRPr="00604CE1" w:rsidRDefault="00604CE1">
      <w:pPr>
        <w:pStyle w:val="FootnoteText"/>
        <w:rPr>
          <w:rFonts w:hint="cs"/>
          <w:b/>
          <w:bCs/>
        </w:rPr>
      </w:pPr>
      <w:r>
        <w:rPr>
          <w:rStyle w:val="FootnoteReference"/>
        </w:rPr>
        <w:footnoteRef/>
      </w:r>
      <w:r>
        <w:rPr>
          <w:rtl/>
        </w:rPr>
        <w:t xml:space="preserve"> </w:t>
      </w:r>
      <w:r>
        <w:rPr>
          <w:rFonts w:hint="cs"/>
          <w:b/>
          <w:bCs/>
          <w:rtl/>
        </w:rPr>
        <w:t>מח.</w:t>
      </w:r>
    </w:p>
  </w:footnote>
  <w:footnote w:id="20">
    <w:p w:rsidR="006B5187" w:rsidRDefault="006B5187">
      <w:pPr>
        <w:pStyle w:val="FootnoteText"/>
        <w:rPr>
          <w:rFonts w:hint="cs"/>
        </w:rPr>
      </w:pPr>
      <w:r>
        <w:rPr>
          <w:rStyle w:val="FootnoteReference"/>
        </w:rPr>
        <w:footnoteRef/>
      </w:r>
      <w:r>
        <w:rPr>
          <w:rtl/>
        </w:rPr>
        <w:t xml:space="preserve"> </w:t>
      </w:r>
      <w:r>
        <w:rPr>
          <w:rFonts w:hint="cs"/>
          <w:rtl/>
        </w:rPr>
        <w:t>יש לדון אם לשון מדוייק שצריך לומר הוא מדאו'. ואם תאמר הרי אין מקור לו מן התורה. וי"ל שכיון שתורה אומר לנו לברך, מסתבר, אולי, שמסרה את הברכה לחכמים לתקן, וצריכים אנו לומר אותו כתיקון חכמים.</w:t>
      </w:r>
    </w:p>
  </w:footnote>
  <w:footnote w:id="21">
    <w:p w:rsidR="006F754D" w:rsidRDefault="006F754D">
      <w:pPr>
        <w:pStyle w:val="FootnoteText"/>
        <w:rPr>
          <w:rFonts w:hint="cs"/>
        </w:rPr>
      </w:pPr>
      <w:r>
        <w:rPr>
          <w:rStyle w:val="FootnoteReference"/>
        </w:rPr>
        <w:footnoteRef/>
      </w:r>
      <w:r>
        <w:rPr>
          <w:rtl/>
        </w:rPr>
        <w:t xml:space="preserve"> </w:t>
      </w:r>
      <w:r>
        <w:rPr>
          <w:rFonts w:hint="cs"/>
          <w:rtl/>
        </w:rPr>
        <w:t>גמ', באמת, רק אומר שהיה מסיים כן. אולי לא סובר שיש צורך, אלא שיש טוב, והוא הקפיד לעשות כן.</w:t>
      </w:r>
    </w:p>
  </w:footnote>
  <w:footnote w:id="22">
    <w:p w:rsidR="00E30FE8" w:rsidRDefault="00E30FE8">
      <w:pPr>
        <w:pStyle w:val="FootnoteText"/>
        <w:rPr>
          <w:rFonts w:hint="cs"/>
        </w:rPr>
      </w:pPr>
      <w:r>
        <w:rPr>
          <w:rStyle w:val="FootnoteReference"/>
        </w:rPr>
        <w:footnoteRef/>
      </w:r>
      <w:r>
        <w:rPr>
          <w:rtl/>
        </w:rPr>
        <w:t xml:space="preserve"> </w:t>
      </w:r>
      <w:r>
        <w:rPr>
          <w:rFonts w:hint="cs"/>
          <w:rtl/>
        </w:rPr>
        <w:t>לא מפרש</w:t>
      </w:r>
      <w:r w:rsidR="005D4244">
        <w:rPr>
          <w:rFonts w:hint="cs"/>
          <w:rtl/>
        </w:rPr>
        <w:t xml:space="preserve"> גמרא</w:t>
      </w:r>
      <w:r>
        <w:rPr>
          <w:rFonts w:hint="cs"/>
          <w:rtl/>
        </w:rPr>
        <w:t xml:space="preserve"> מה הכוונה. אולי הוא שברכה מדאו' הוא. גם אפשר שכיון שהוא על תורה, ותורה חשוב מאד, הוא ברכה מעולה.</w:t>
      </w:r>
      <w:r w:rsidR="005D4244">
        <w:rPr>
          <w:rFonts w:hint="cs"/>
          <w:rtl/>
        </w:rPr>
        <w:t xml:space="preserve"> ועיין ברשי שלכאו' מכוון לומר השני.</w:t>
      </w:r>
    </w:p>
  </w:footnote>
  <w:footnote w:id="23">
    <w:p w:rsidR="009B6C48" w:rsidRDefault="009B6C48">
      <w:pPr>
        <w:pStyle w:val="FootnoteText"/>
        <w:rPr>
          <w:rFonts w:hint="cs"/>
        </w:rPr>
      </w:pPr>
      <w:r>
        <w:rPr>
          <w:rStyle w:val="FootnoteReference"/>
        </w:rPr>
        <w:footnoteRef/>
      </w:r>
      <w:r>
        <w:rPr>
          <w:rtl/>
        </w:rPr>
        <w:t xml:space="preserve"> </w:t>
      </w:r>
      <w:r>
        <w:rPr>
          <w:rFonts w:hint="cs"/>
          <w:rtl/>
        </w:rPr>
        <w:t>לכאו', ספק ברכות הוא. צריך לומר שכיון שהוא מעולה שבברכות, רבנן תקנו לומר שני הלשונות. עדיין צריך ביאור, ששמואל לא סבר כן, ורב המנונא לא סבר כן. דחוק לומר שכיון שהיא ברכה מעולה, רבנן הרשו לכל מי שיש לו סיבה טובה להוסיף על הברכה. 0אבל, זה יבאר איך רבי יוחנן היה מוסיף, אף שלא היה מצריך (אם לא היה מצריך) שאחרים יוסיפו. ותחשב.)</w:t>
      </w:r>
    </w:p>
  </w:footnote>
  <w:footnote w:id="24">
    <w:p w:rsidR="008C19FA" w:rsidRPr="008C19FA" w:rsidRDefault="008C19FA">
      <w:pPr>
        <w:pStyle w:val="FootnoteText"/>
        <w:rPr>
          <w:rFonts w:hint="cs"/>
          <w:b/>
          <w:bCs/>
        </w:rPr>
      </w:pPr>
      <w:r>
        <w:rPr>
          <w:rStyle w:val="FootnoteReference"/>
        </w:rPr>
        <w:footnoteRef/>
      </w:r>
      <w:r>
        <w:rPr>
          <w:rtl/>
        </w:rPr>
        <w:t xml:space="preserve"> </w:t>
      </w:r>
      <w:r>
        <w:rPr>
          <w:rFonts w:hint="cs"/>
          <w:b/>
          <w:bCs/>
          <w:rtl/>
        </w:rPr>
        <w:t>יא:</w:t>
      </w:r>
    </w:p>
  </w:footnote>
  <w:footnote w:id="25">
    <w:p w:rsidR="008C19FA" w:rsidRPr="008C19FA" w:rsidRDefault="008C19FA">
      <w:pPr>
        <w:pStyle w:val="FootnoteText"/>
        <w:rPr>
          <w:rFonts w:hint="cs"/>
          <w:b/>
          <w:bCs/>
        </w:rPr>
      </w:pPr>
      <w:r>
        <w:rPr>
          <w:rStyle w:val="FootnoteReference"/>
        </w:rPr>
        <w:footnoteRef/>
      </w:r>
      <w:r>
        <w:rPr>
          <w:rtl/>
        </w:rPr>
        <w:t xml:space="preserve"> </w:t>
      </w:r>
      <w:r>
        <w:rPr>
          <w:rFonts w:hint="cs"/>
          <w:b/>
          <w:bCs/>
          <w:rtl/>
        </w:rPr>
        <w:t>יא:</w:t>
      </w:r>
    </w:p>
  </w:footnote>
  <w:footnote w:id="26">
    <w:p w:rsidR="009A4D88" w:rsidRDefault="009A4D88">
      <w:pPr>
        <w:pStyle w:val="FootnoteText"/>
        <w:rPr>
          <w:rFonts w:hint="cs"/>
        </w:rPr>
      </w:pPr>
      <w:r>
        <w:rPr>
          <w:rStyle w:val="FootnoteReference"/>
        </w:rPr>
        <w:footnoteRef/>
      </w:r>
      <w:r>
        <w:rPr>
          <w:rtl/>
        </w:rPr>
        <w:t xml:space="preserve"> </w:t>
      </w:r>
      <w:r>
        <w:rPr>
          <w:rFonts w:hint="cs"/>
          <w:rtl/>
        </w:rPr>
        <w:t>לא כל כך פשוט מהו מקור של המחלקת. לכאו', לא מסתבר לומר שיש מי שסובר שלימוד משניות אינו בכלל תורה, ולפעמים הוא גם לימוד תורה שבכתב, שצריך כך לבאר מקרא (ויל"ד אם יש מח' גם בחלקים אלו של משניות). וצריך לחשוב.</w:t>
      </w:r>
    </w:p>
  </w:footnote>
  <w:footnote w:id="27">
    <w:p w:rsidR="00560B86" w:rsidRPr="00BD6A66" w:rsidRDefault="00560B86">
      <w:pPr>
        <w:pStyle w:val="FootnoteText"/>
        <w:rPr>
          <w:rFonts w:hint="cs"/>
          <w:b/>
          <w:bCs/>
        </w:rPr>
      </w:pPr>
      <w:r>
        <w:rPr>
          <w:rStyle w:val="FootnoteReference"/>
        </w:rPr>
        <w:footnoteRef/>
      </w:r>
      <w:r>
        <w:rPr>
          <w:rtl/>
        </w:rPr>
        <w:t xml:space="preserve"> </w:t>
      </w:r>
      <w:r w:rsidR="00BD6A66">
        <w:rPr>
          <w:rFonts w:hint="cs"/>
          <w:b/>
          <w:bCs/>
          <w:rtl/>
        </w:rPr>
        <w:t>יא:</w:t>
      </w:r>
    </w:p>
  </w:footnote>
  <w:footnote w:id="28">
    <w:p w:rsidR="00DD0E74" w:rsidRDefault="00DD0E74">
      <w:pPr>
        <w:pStyle w:val="FootnoteText"/>
        <w:rPr>
          <w:rFonts w:hint="cs"/>
        </w:rPr>
      </w:pPr>
      <w:r>
        <w:rPr>
          <w:rStyle w:val="FootnoteReference"/>
        </w:rPr>
        <w:footnoteRef/>
      </w:r>
      <w:r>
        <w:rPr>
          <w:rtl/>
        </w:rPr>
        <w:t xml:space="preserve"> </w:t>
      </w:r>
      <w:r>
        <w:rPr>
          <w:rFonts w:hint="cs"/>
          <w:rtl/>
        </w:rPr>
        <w:t xml:space="preserve">כן אומר גמ', אבל יש להעיר שזה לא פשוט, שיש שיטות שסוברים שכתוב בפירוש (כמו שבארנו) שצריך לברך לפניו. ותו"ת. </w:t>
      </w:r>
    </w:p>
  </w:footnote>
  <w:footnote w:id="29">
    <w:p w:rsidR="00BD6A66" w:rsidRPr="00BD6A66" w:rsidRDefault="00BD6A66">
      <w:pPr>
        <w:pStyle w:val="FootnoteText"/>
        <w:rPr>
          <w:rFonts w:hint="cs"/>
          <w:b/>
          <w:bCs/>
        </w:rPr>
      </w:pPr>
      <w:r>
        <w:rPr>
          <w:rStyle w:val="FootnoteReference"/>
        </w:rPr>
        <w:footnoteRef/>
      </w:r>
      <w:r>
        <w:rPr>
          <w:rtl/>
        </w:rPr>
        <w:t xml:space="preserve"> </w:t>
      </w:r>
      <w:r>
        <w:rPr>
          <w:rFonts w:hint="cs"/>
          <w:b/>
          <w:bCs/>
          <w:rtl/>
        </w:rPr>
        <w:t>כא.</w:t>
      </w:r>
    </w:p>
  </w:footnote>
  <w:footnote w:id="30">
    <w:p w:rsidR="00F433D0" w:rsidRDefault="00F433D0">
      <w:pPr>
        <w:pStyle w:val="FootnoteText"/>
        <w:rPr>
          <w:rFonts w:hint="cs"/>
        </w:rPr>
      </w:pPr>
      <w:r>
        <w:rPr>
          <w:rStyle w:val="FootnoteReference"/>
        </w:rPr>
        <w:footnoteRef/>
      </w:r>
      <w:r>
        <w:rPr>
          <w:rtl/>
        </w:rPr>
        <w:t xml:space="preserve"> </w:t>
      </w:r>
      <w:r w:rsidR="000224FE">
        <w:rPr>
          <w:rFonts w:hint="cs"/>
          <w:rtl/>
        </w:rPr>
        <w:t>בספר המצוות מצות עשה ה ובהלכות תפלה פרק ראשון.</w:t>
      </w:r>
    </w:p>
  </w:footnote>
  <w:footnote w:id="31">
    <w:p w:rsidR="00096566" w:rsidRPr="00096566" w:rsidRDefault="00096566">
      <w:pPr>
        <w:pStyle w:val="FootnoteText"/>
        <w:rPr>
          <w:rFonts w:hint="cs"/>
          <w:b/>
          <w:bCs/>
        </w:rPr>
      </w:pPr>
      <w:r>
        <w:rPr>
          <w:rStyle w:val="FootnoteReference"/>
        </w:rPr>
        <w:footnoteRef/>
      </w:r>
      <w:r>
        <w:rPr>
          <w:rtl/>
        </w:rPr>
        <w:t xml:space="preserve"> </w:t>
      </w:r>
      <w:r>
        <w:rPr>
          <w:rFonts w:hint="cs"/>
          <w:b/>
          <w:bCs/>
          <w:rtl/>
        </w:rPr>
        <w:t>יד.</w:t>
      </w:r>
    </w:p>
  </w:footnote>
  <w:footnote w:id="32">
    <w:p w:rsidR="00B63280" w:rsidRDefault="00B63280">
      <w:pPr>
        <w:pStyle w:val="FootnoteText"/>
        <w:rPr>
          <w:b/>
          <w:bCs/>
        </w:rPr>
      </w:pPr>
      <w:r>
        <w:rPr>
          <w:rStyle w:val="FootnoteCharacters"/>
        </w:rPr>
        <w:footnoteRef/>
      </w:r>
      <w:r>
        <w:rPr>
          <w:b/>
          <w:bCs/>
          <w:rtl/>
        </w:rPr>
        <w:t xml:space="preserve">  </w:t>
      </w:r>
      <w:r>
        <w:rPr>
          <w:b/>
          <w:bCs/>
          <w:rtl/>
        </w:rPr>
        <w:t>מ:</w:t>
      </w:r>
    </w:p>
  </w:footnote>
  <w:footnote w:id="33">
    <w:p w:rsidR="00B63280" w:rsidRDefault="00B63280">
      <w:pPr>
        <w:pStyle w:val="FootnoteText"/>
      </w:pPr>
      <w:r>
        <w:rPr>
          <w:rStyle w:val="FootnoteCharacters"/>
        </w:rPr>
        <w:footnoteRef/>
      </w:r>
      <w:r>
        <w:rPr>
          <w:rtl/>
        </w:rPr>
        <w:t>חוץ ממה שהזכרנו לקמן שאין לו ברכה.</w:t>
      </w:r>
    </w:p>
  </w:footnote>
  <w:footnote w:id="34">
    <w:p w:rsidR="00B63280" w:rsidRDefault="00B63280">
      <w:pPr>
        <w:pStyle w:val="FootnoteText"/>
        <w:rPr>
          <w:b/>
          <w:bCs/>
        </w:rPr>
      </w:pPr>
      <w:r>
        <w:rPr>
          <w:rStyle w:val="FootnoteCharacters"/>
        </w:rPr>
        <w:footnoteRef/>
      </w:r>
      <w:r>
        <w:rPr>
          <w:b/>
          <w:bCs/>
          <w:rtl/>
        </w:rPr>
        <w:t>מד.</w:t>
      </w:r>
    </w:p>
  </w:footnote>
  <w:footnote w:id="35">
    <w:p w:rsidR="00B63280" w:rsidRDefault="00B63280">
      <w:pPr>
        <w:pStyle w:val="FootnoteText"/>
      </w:pPr>
      <w:r>
        <w:rPr>
          <w:rStyle w:val="FootnoteCharacters"/>
        </w:rPr>
        <w:footnoteRef/>
      </w:r>
      <w:r>
        <w:rPr>
          <w:rtl/>
        </w:rPr>
        <w:t xml:space="preserve">רש"י </w:t>
      </w:r>
      <w:r>
        <w:rPr>
          <w:b/>
          <w:bCs/>
          <w:rtl/>
        </w:rPr>
        <w:t>מה.</w:t>
      </w:r>
    </w:p>
  </w:footnote>
  <w:footnote w:id="36">
    <w:p w:rsidR="00B63280" w:rsidRDefault="00B63280">
      <w:pPr>
        <w:pStyle w:val="FootnoteText"/>
        <w:rPr>
          <w:b/>
          <w:bCs/>
        </w:rPr>
      </w:pPr>
      <w:r>
        <w:rPr>
          <w:rStyle w:val="FootnoteCharacters"/>
        </w:rPr>
        <w:footnoteRef/>
      </w:r>
      <w:r>
        <w:rPr>
          <w:rtl/>
        </w:rPr>
        <w:t xml:space="preserve"> </w:t>
      </w:r>
      <w:r>
        <w:rPr>
          <w:b/>
          <w:bCs/>
          <w:rtl/>
        </w:rPr>
        <w:t>מ.</w:t>
      </w:r>
    </w:p>
  </w:footnote>
  <w:footnote w:id="37">
    <w:p w:rsidR="00B63280" w:rsidRDefault="00B63280">
      <w:pPr>
        <w:pStyle w:val="FootnoteText"/>
        <w:rPr>
          <w:b/>
          <w:bCs/>
        </w:rPr>
      </w:pPr>
      <w:r>
        <w:rPr>
          <w:rStyle w:val="FootnoteCharacters"/>
        </w:rPr>
        <w:footnoteRef/>
      </w:r>
      <w:r>
        <w:rPr>
          <w:rtl/>
        </w:rPr>
        <w:t xml:space="preserve"> </w:t>
      </w:r>
      <w:r>
        <w:rPr>
          <w:b/>
          <w:bCs/>
          <w:rtl/>
        </w:rPr>
        <w:t>מ:</w:t>
      </w:r>
    </w:p>
  </w:footnote>
  <w:footnote w:id="38">
    <w:p w:rsidR="00B63280" w:rsidRDefault="00B63280">
      <w:pPr>
        <w:pStyle w:val="FootnoteText"/>
        <w:rPr>
          <w:b/>
          <w:bCs/>
        </w:rPr>
      </w:pPr>
      <w:r>
        <w:rPr>
          <w:rStyle w:val="FootnoteCharacters"/>
        </w:rPr>
        <w:footnoteRef/>
      </w:r>
      <w:r>
        <w:rPr>
          <w:b/>
          <w:bCs/>
          <w:rtl/>
        </w:rPr>
        <w:t>לה.</w:t>
      </w:r>
    </w:p>
  </w:footnote>
  <w:footnote w:id="39">
    <w:p w:rsidR="00B63280" w:rsidRDefault="00B63280">
      <w:pPr>
        <w:pStyle w:val="FootnoteText"/>
        <w:rPr>
          <w:b/>
          <w:bCs/>
        </w:rPr>
      </w:pPr>
      <w:r>
        <w:rPr>
          <w:rStyle w:val="FootnoteCharacters"/>
        </w:rPr>
        <w:footnoteRef/>
      </w:r>
      <w:r>
        <w:rPr>
          <w:rtl/>
        </w:rPr>
        <w:t xml:space="preserve"> </w:t>
      </w:r>
      <w:r>
        <w:rPr>
          <w:b/>
          <w:bCs/>
          <w:rtl/>
        </w:rPr>
        <w:t>לז.</w:t>
      </w:r>
    </w:p>
  </w:footnote>
  <w:footnote w:id="40">
    <w:p w:rsidR="00B63280" w:rsidRDefault="00B63280">
      <w:pPr>
        <w:pStyle w:val="FootnoteText"/>
        <w:rPr>
          <w:b/>
          <w:bCs/>
        </w:rPr>
      </w:pPr>
      <w:r>
        <w:rPr>
          <w:rStyle w:val="FootnoteCharacters"/>
        </w:rPr>
        <w:footnoteRef/>
      </w:r>
      <w:r>
        <w:rPr>
          <w:b/>
          <w:bCs/>
          <w:rtl/>
        </w:rPr>
        <w:t>לז.</w:t>
      </w:r>
    </w:p>
  </w:footnote>
  <w:footnote w:id="41">
    <w:p w:rsidR="00B63280" w:rsidRDefault="00B63280">
      <w:pPr>
        <w:pStyle w:val="FootnoteText"/>
        <w:rPr>
          <w:b/>
          <w:bCs/>
        </w:rPr>
      </w:pPr>
      <w:r>
        <w:rPr>
          <w:rStyle w:val="FootnoteCharacters"/>
        </w:rPr>
        <w:footnoteRef/>
      </w:r>
      <w:r>
        <w:rPr>
          <w:rtl/>
        </w:rPr>
        <w:t xml:space="preserve"> </w:t>
      </w:r>
      <w:r>
        <w:rPr>
          <w:b/>
          <w:bCs/>
          <w:rtl/>
        </w:rPr>
        <w:t>לז.</w:t>
      </w:r>
    </w:p>
  </w:footnote>
  <w:footnote w:id="42">
    <w:p w:rsidR="00B63280" w:rsidRDefault="00B63280">
      <w:pPr>
        <w:pStyle w:val="FootnoteText"/>
        <w:rPr>
          <w:b/>
          <w:bCs/>
        </w:rPr>
      </w:pPr>
      <w:r>
        <w:rPr>
          <w:rStyle w:val="FootnoteCharacters"/>
        </w:rPr>
        <w:footnoteRef/>
      </w:r>
      <w:r>
        <w:rPr>
          <w:rtl/>
        </w:rPr>
        <w:t xml:space="preserve"> </w:t>
      </w:r>
      <w:r>
        <w:rPr>
          <w:b/>
          <w:bCs/>
          <w:rtl/>
        </w:rPr>
        <w:t>לז:, לח.</w:t>
      </w:r>
    </w:p>
  </w:footnote>
  <w:footnote w:id="43">
    <w:p w:rsidR="00B63280" w:rsidRDefault="00B63280">
      <w:pPr>
        <w:pStyle w:val="FootnoteText"/>
        <w:rPr>
          <w:b/>
          <w:bCs/>
        </w:rPr>
      </w:pPr>
      <w:r>
        <w:rPr>
          <w:rStyle w:val="FootnoteCharacters"/>
        </w:rPr>
        <w:footnoteRef/>
      </w:r>
      <w:r>
        <w:rPr>
          <w:b/>
          <w:bCs/>
          <w:rtl/>
        </w:rPr>
        <w:t xml:space="preserve"> </w:t>
      </w:r>
      <w:r>
        <w:rPr>
          <w:b/>
          <w:bCs/>
          <w:rtl/>
        </w:rPr>
        <w:t>פסחים לז</w:t>
      </w:r>
    </w:p>
  </w:footnote>
  <w:footnote w:id="44">
    <w:p w:rsidR="00B63280" w:rsidRDefault="00B63280">
      <w:pPr>
        <w:pStyle w:val="FootnoteText"/>
        <w:rPr>
          <w:b/>
          <w:bCs/>
        </w:rPr>
      </w:pPr>
      <w:r>
        <w:rPr>
          <w:rStyle w:val="FootnoteCharacters"/>
        </w:rPr>
        <w:footnoteRef/>
      </w:r>
      <w:r>
        <w:rPr>
          <w:rtl/>
        </w:rPr>
        <w:t xml:space="preserve"> </w:t>
      </w:r>
      <w:r>
        <w:rPr>
          <w:b/>
          <w:bCs/>
          <w:rtl/>
        </w:rPr>
        <w:t>לז:</w:t>
      </w:r>
    </w:p>
  </w:footnote>
  <w:footnote w:id="45">
    <w:p w:rsidR="00B63280" w:rsidRDefault="00B63280">
      <w:pPr>
        <w:pStyle w:val="FootnoteText"/>
        <w:rPr>
          <w:b/>
          <w:bCs/>
        </w:rPr>
      </w:pPr>
      <w:r>
        <w:rPr>
          <w:rStyle w:val="FootnoteCharacters"/>
        </w:rPr>
        <w:footnoteRef/>
      </w:r>
      <w:r>
        <w:rPr>
          <w:rtl/>
        </w:rPr>
        <w:t xml:space="preserve"> </w:t>
      </w:r>
      <w:r>
        <w:rPr>
          <w:b/>
          <w:bCs/>
          <w:rtl/>
        </w:rPr>
        <w:t>לז:</w:t>
      </w:r>
    </w:p>
  </w:footnote>
  <w:footnote w:id="46">
    <w:p w:rsidR="00B63280" w:rsidRDefault="00B63280">
      <w:pPr>
        <w:pStyle w:val="FootnoteText"/>
      </w:pPr>
      <w:r>
        <w:rPr>
          <w:rStyle w:val="FootnoteCharacters"/>
        </w:rPr>
        <w:footnoteRef/>
      </w:r>
      <w:r>
        <w:rPr>
          <w:rtl/>
        </w:rPr>
        <w:t xml:space="preserve"> </w:t>
      </w:r>
      <w:r>
        <w:rPr>
          <w:b/>
          <w:bCs/>
          <w:rtl/>
        </w:rPr>
        <w:t>מב.</w:t>
      </w:r>
    </w:p>
  </w:footnote>
  <w:footnote w:id="47">
    <w:p w:rsidR="00B63280" w:rsidRDefault="00B63280">
      <w:pPr>
        <w:pStyle w:val="FootnoteText"/>
      </w:pPr>
      <w:r>
        <w:rPr>
          <w:rStyle w:val="FootnoteCharacters"/>
        </w:rPr>
        <w:footnoteRef/>
      </w:r>
      <w:r>
        <w:rPr>
          <w:rtl/>
        </w:rPr>
        <w:t xml:space="preserve"> </w:t>
      </w:r>
      <w:r>
        <w:rPr>
          <w:rtl/>
        </w:rPr>
        <w:t>גמרא (</w:t>
      </w:r>
      <w:r>
        <w:rPr>
          <w:b/>
          <w:bCs/>
          <w:rtl/>
        </w:rPr>
        <w:t>לז.</w:t>
      </w:r>
      <w:r>
        <w:rPr>
          <w:rtl/>
        </w:rPr>
        <w:t>) אומר כן לענין תבשילים של חמש המינים. הנחתי שהוא כן אף לענין פת.</w:t>
      </w:r>
    </w:p>
  </w:footnote>
  <w:footnote w:id="48">
    <w:p w:rsidR="00B63280" w:rsidRDefault="00B63280">
      <w:pPr>
        <w:pStyle w:val="FootnoteText"/>
        <w:rPr>
          <w:b/>
          <w:bCs/>
        </w:rPr>
      </w:pPr>
      <w:r>
        <w:rPr>
          <w:rStyle w:val="FootnoteCharacters"/>
        </w:rPr>
        <w:footnoteRef/>
      </w:r>
      <w:r>
        <w:rPr>
          <w:b/>
          <w:bCs/>
          <w:rtl/>
        </w:rPr>
        <w:t>לט.</w:t>
      </w:r>
    </w:p>
  </w:footnote>
  <w:footnote w:id="49">
    <w:p w:rsidR="00B63280" w:rsidRDefault="00B63280">
      <w:pPr>
        <w:pStyle w:val="FootnoteText"/>
        <w:rPr>
          <w:b/>
          <w:bCs/>
        </w:rPr>
      </w:pPr>
      <w:r>
        <w:rPr>
          <w:rStyle w:val="FootnoteCharacters"/>
        </w:rPr>
        <w:footnoteRef/>
      </w:r>
      <w:r>
        <w:rPr>
          <w:rtl/>
        </w:rPr>
        <w:t xml:space="preserve"> </w:t>
      </w:r>
      <w:r>
        <w:rPr>
          <w:b/>
          <w:bCs/>
          <w:rtl/>
        </w:rPr>
        <w:t>לח.</w:t>
      </w:r>
    </w:p>
  </w:footnote>
  <w:footnote w:id="50">
    <w:p w:rsidR="00B63280" w:rsidRDefault="00B63280">
      <w:pPr>
        <w:pStyle w:val="FootnoteText"/>
        <w:rPr>
          <w:b/>
          <w:bCs/>
        </w:rPr>
      </w:pPr>
      <w:r>
        <w:rPr>
          <w:rStyle w:val="FootnoteCharacters"/>
        </w:rPr>
        <w:footnoteRef/>
      </w:r>
      <w:r>
        <w:rPr>
          <w:b/>
          <w:bCs/>
          <w:rtl/>
        </w:rPr>
        <w:t>מב.</w:t>
      </w:r>
    </w:p>
  </w:footnote>
  <w:footnote w:id="51">
    <w:p w:rsidR="00B63280" w:rsidRDefault="00B63280">
      <w:pPr>
        <w:pStyle w:val="FootnoteText"/>
      </w:pPr>
      <w:r>
        <w:rPr>
          <w:rStyle w:val="FootnoteCharacters"/>
        </w:rPr>
        <w:footnoteRef/>
      </w:r>
      <w:r>
        <w:rPr>
          <w:rtl/>
        </w:rPr>
        <w:t>חלקו ראשונים אם הוא מתוק, או יש בו דבר מתוק, או הוא יבש.</w:t>
      </w:r>
    </w:p>
  </w:footnote>
  <w:footnote w:id="52">
    <w:p w:rsidR="00B63280" w:rsidRDefault="00B63280">
      <w:pPr>
        <w:pStyle w:val="FootnoteText"/>
        <w:rPr>
          <w:b/>
          <w:bCs/>
        </w:rPr>
      </w:pPr>
      <w:r>
        <w:rPr>
          <w:rStyle w:val="FootnoteCharacters"/>
        </w:rPr>
        <w:footnoteRef/>
      </w:r>
      <w:r>
        <w:rPr>
          <w:b/>
          <w:bCs/>
          <w:rtl/>
        </w:rPr>
        <w:t>לז.</w:t>
      </w:r>
    </w:p>
  </w:footnote>
  <w:footnote w:id="53">
    <w:p w:rsidR="00B63280" w:rsidRDefault="00B63280">
      <w:pPr>
        <w:pStyle w:val="FootnoteText"/>
        <w:rPr>
          <w:b/>
          <w:bCs/>
        </w:rPr>
      </w:pPr>
      <w:r>
        <w:rPr>
          <w:rStyle w:val="FootnoteCharacters"/>
        </w:rPr>
        <w:footnoteRef/>
      </w:r>
      <w:r>
        <w:rPr>
          <w:b/>
          <w:bCs/>
          <w:rtl/>
        </w:rPr>
        <w:t>לז.</w:t>
      </w:r>
    </w:p>
  </w:footnote>
  <w:footnote w:id="54">
    <w:p w:rsidR="00B63280" w:rsidRDefault="00B63280">
      <w:pPr>
        <w:pStyle w:val="FootnoteText"/>
        <w:rPr>
          <w:b/>
          <w:bCs/>
        </w:rPr>
      </w:pPr>
      <w:r>
        <w:rPr>
          <w:rStyle w:val="FootnoteCharacters"/>
        </w:rPr>
        <w:footnoteRef/>
      </w:r>
      <w:r>
        <w:rPr>
          <w:b/>
          <w:bCs/>
          <w:rtl/>
        </w:rPr>
        <w:t>לז.</w:t>
      </w:r>
    </w:p>
  </w:footnote>
  <w:footnote w:id="55">
    <w:p w:rsidR="00B63280" w:rsidRDefault="00B63280">
      <w:pPr>
        <w:pStyle w:val="FootnoteText"/>
        <w:rPr>
          <w:b/>
          <w:bCs/>
        </w:rPr>
      </w:pPr>
      <w:r>
        <w:rPr>
          <w:rStyle w:val="FootnoteCharacters"/>
        </w:rPr>
        <w:footnoteRef/>
      </w:r>
      <w:r>
        <w:rPr>
          <w:b/>
          <w:bCs/>
          <w:rtl/>
        </w:rPr>
        <w:t>לז.</w:t>
      </w:r>
    </w:p>
  </w:footnote>
  <w:footnote w:id="56">
    <w:p w:rsidR="00B63280" w:rsidRDefault="00B63280">
      <w:pPr>
        <w:pStyle w:val="FootnoteText"/>
        <w:rPr>
          <w:b/>
          <w:bCs/>
        </w:rPr>
      </w:pPr>
      <w:r>
        <w:rPr>
          <w:rStyle w:val="FootnoteCharacters"/>
        </w:rPr>
        <w:footnoteRef/>
      </w:r>
      <w:r>
        <w:rPr>
          <w:rtl/>
        </w:rPr>
        <w:t xml:space="preserve"> </w:t>
      </w:r>
      <w:r>
        <w:rPr>
          <w:b/>
          <w:bCs/>
          <w:rtl/>
        </w:rPr>
        <w:t>לה.</w:t>
      </w:r>
    </w:p>
  </w:footnote>
  <w:footnote w:id="57">
    <w:p w:rsidR="00B63280" w:rsidRDefault="00B63280">
      <w:pPr>
        <w:pStyle w:val="FootnoteText"/>
        <w:rPr>
          <w:b/>
          <w:bCs/>
        </w:rPr>
      </w:pPr>
      <w:r>
        <w:rPr>
          <w:rStyle w:val="FootnoteCharacters"/>
        </w:rPr>
        <w:footnoteRef/>
      </w:r>
      <w:r>
        <w:rPr>
          <w:rtl/>
        </w:rPr>
        <w:t xml:space="preserve"> </w:t>
      </w:r>
      <w:r>
        <w:rPr>
          <w:b/>
          <w:bCs/>
          <w:rtl/>
        </w:rPr>
        <w:t>לה.</w:t>
      </w:r>
    </w:p>
  </w:footnote>
  <w:footnote w:id="58">
    <w:p w:rsidR="00B63280" w:rsidRDefault="00B63280">
      <w:pPr>
        <w:pStyle w:val="FootnoteText"/>
        <w:rPr>
          <w:b/>
          <w:bCs/>
        </w:rPr>
      </w:pPr>
      <w:r>
        <w:rPr>
          <w:rStyle w:val="FootnoteCharacters"/>
        </w:rPr>
        <w:footnoteRef/>
      </w:r>
      <w:r>
        <w:rPr>
          <w:rtl/>
        </w:rPr>
        <w:t xml:space="preserve"> </w:t>
      </w:r>
      <w:r>
        <w:rPr>
          <w:b/>
          <w:bCs/>
          <w:rtl/>
        </w:rPr>
        <w:t>לה:</w:t>
      </w:r>
    </w:p>
  </w:footnote>
  <w:footnote w:id="59">
    <w:p w:rsidR="00B63280" w:rsidRDefault="00B63280">
      <w:pPr>
        <w:pStyle w:val="FootnoteText"/>
        <w:rPr>
          <w:b/>
          <w:bCs/>
        </w:rPr>
      </w:pPr>
      <w:r>
        <w:rPr>
          <w:rStyle w:val="FootnoteCharacters"/>
        </w:rPr>
        <w:footnoteRef/>
      </w:r>
      <w:r>
        <w:rPr>
          <w:rtl/>
        </w:rPr>
        <w:t xml:space="preserve"> </w:t>
      </w:r>
      <w:r>
        <w:rPr>
          <w:b/>
          <w:bCs/>
          <w:rtl/>
        </w:rPr>
        <w:t>מ:</w:t>
      </w:r>
    </w:p>
  </w:footnote>
  <w:footnote w:id="60">
    <w:p w:rsidR="00B63280" w:rsidRDefault="00B63280">
      <w:pPr>
        <w:pStyle w:val="FootnoteText"/>
        <w:rPr>
          <w:b/>
          <w:bCs/>
        </w:rPr>
      </w:pPr>
      <w:r>
        <w:rPr>
          <w:rStyle w:val="FootnoteCharacters"/>
        </w:rPr>
        <w:footnoteRef/>
      </w:r>
      <w:r>
        <w:rPr>
          <w:rtl/>
        </w:rPr>
        <w:t xml:space="preserve"> </w:t>
      </w:r>
      <w:r>
        <w:rPr>
          <w:b/>
          <w:bCs/>
          <w:rtl/>
        </w:rPr>
        <w:t>לה.</w:t>
      </w:r>
    </w:p>
  </w:footnote>
  <w:footnote w:id="61">
    <w:p w:rsidR="00B63280" w:rsidRDefault="00B63280">
      <w:pPr>
        <w:pStyle w:val="FootnoteText"/>
        <w:rPr>
          <w:b/>
          <w:bCs/>
        </w:rPr>
      </w:pPr>
      <w:r>
        <w:rPr>
          <w:rStyle w:val="FootnoteCharacters"/>
        </w:rPr>
        <w:footnoteRef/>
      </w:r>
      <w:r>
        <w:rPr>
          <w:rtl/>
        </w:rPr>
        <w:t xml:space="preserve"> </w:t>
      </w:r>
      <w:r>
        <w:rPr>
          <w:b/>
          <w:bCs/>
          <w:rtl/>
        </w:rPr>
        <w:t>לה.</w:t>
      </w:r>
    </w:p>
  </w:footnote>
  <w:footnote w:id="62">
    <w:p w:rsidR="00B63280" w:rsidRDefault="00B63280">
      <w:pPr>
        <w:pStyle w:val="FootnoteText"/>
        <w:rPr>
          <w:b/>
          <w:bCs/>
        </w:rPr>
      </w:pPr>
      <w:r>
        <w:rPr>
          <w:rStyle w:val="FootnoteCharacters"/>
        </w:rPr>
        <w:footnoteRef/>
      </w:r>
      <w:r>
        <w:rPr>
          <w:b/>
          <w:bCs/>
          <w:rtl/>
        </w:rPr>
        <w:t>מד.</w:t>
      </w:r>
    </w:p>
  </w:footnote>
  <w:footnote w:id="63">
    <w:p w:rsidR="00B63280" w:rsidRDefault="00B63280">
      <w:pPr>
        <w:pStyle w:val="FootnoteText"/>
        <w:rPr>
          <w:b/>
          <w:bCs/>
        </w:rPr>
      </w:pPr>
      <w:r>
        <w:rPr>
          <w:rStyle w:val="FootnoteCharacters"/>
        </w:rPr>
        <w:footnoteRef/>
      </w:r>
      <w:r>
        <w:rPr>
          <w:rtl/>
        </w:rPr>
        <w:t xml:space="preserve"> </w:t>
      </w:r>
      <w:r>
        <w:rPr>
          <w:b/>
          <w:bCs/>
          <w:rtl/>
        </w:rPr>
        <w:t>לה:</w:t>
      </w:r>
    </w:p>
  </w:footnote>
  <w:footnote w:id="64">
    <w:p w:rsidR="00B63280" w:rsidRDefault="00B63280">
      <w:pPr>
        <w:pStyle w:val="FootnoteText"/>
      </w:pPr>
      <w:r>
        <w:rPr>
          <w:rStyle w:val="FootnoteCharacters"/>
        </w:rPr>
        <w:footnoteRef/>
      </w:r>
      <w:r>
        <w:rPr>
          <w:rtl/>
        </w:rPr>
        <w:t xml:space="preserve"> </w:t>
      </w:r>
      <w:r>
        <w:rPr>
          <w:rtl/>
        </w:rPr>
        <w:t>גמרא אומר את זה לענין ברכת בפה"א, אבל הנחתי שיהיה כן אף לענין בפה"ע. כן הוא בכמה דברים אחרים שכתבי.</w:t>
      </w:r>
    </w:p>
  </w:footnote>
  <w:footnote w:id="65">
    <w:p w:rsidR="00B63280" w:rsidRDefault="00B63280">
      <w:pPr>
        <w:pStyle w:val="FootnoteText"/>
        <w:rPr>
          <w:b/>
          <w:bCs/>
        </w:rPr>
      </w:pPr>
      <w:r>
        <w:rPr>
          <w:rStyle w:val="FootnoteCharacters"/>
        </w:rPr>
        <w:footnoteRef/>
      </w:r>
      <w:r>
        <w:rPr>
          <w:rtl/>
        </w:rPr>
        <w:t xml:space="preserve"> </w:t>
      </w:r>
      <w:r>
        <w:rPr>
          <w:b/>
          <w:bCs/>
          <w:rtl/>
        </w:rPr>
        <w:t>לו.</w:t>
      </w:r>
    </w:p>
  </w:footnote>
  <w:footnote w:id="66">
    <w:p w:rsidR="00B63280" w:rsidRDefault="00B63280">
      <w:pPr>
        <w:pStyle w:val="FootnoteText"/>
        <w:rPr>
          <w:b/>
          <w:bCs/>
        </w:rPr>
      </w:pPr>
      <w:r>
        <w:rPr>
          <w:rStyle w:val="FootnoteCharacters"/>
        </w:rPr>
        <w:footnoteRef/>
      </w:r>
      <w:r>
        <w:rPr>
          <w:rtl/>
        </w:rPr>
        <w:t xml:space="preserve"> </w:t>
      </w:r>
      <w:r>
        <w:rPr>
          <w:b/>
          <w:bCs/>
          <w:rtl/>
        </w:rPr>
        <w:t>לו.</w:t>
      </w:r>
    </w:p>
  </w:footnote>
  <w:footnote w:id="67">
    <w:p w:rsidR="00B63280" w:rsidRDefault="00B63280">
      <w:pPr>
        <w:pStyle w:val="FootnoteText"/>
        <w:rPr>
          <w:b/>
          <w:bCs/>
        </w:rPr>
      </w:pPr>
      <w:r>
        <w:rPr>
          <w:rStyle w:val="FootnoteCharacters"/>
        </w:rPr>
        <w:footnoteRef/>
      </w:r>
      <w:r>
        <w:rPr>
          <w:rtl/>
        </w:rPr>
        <w:t xml:space="preserve"> </w:t>
      </w:r>
      <w:r>
        <w:rPr>
          <w:b/>
          <w:bCs/>
          <w:rtl/>
        </w:rPr>
        <w:t>לו.</w:t>
      </w:r>
    </w:p>
  </w:footnote>
  <w:footnote w:id="68">
    <w:p w:rsidR="00B63280" w:rsidRDefault="00B63280">
      <w:pPr>
        <w:pStyle w:val="FootnoteText"/>
        <w:rPr>
          <w:b/>
          <w:bCs/>
        </w:rPr>
      </w:pPr>
      <w:r>
        <w:rPr>
          <w:rStyle w:val="FootnoteCharacters"/>
        </w:rPr>
        <w:footnoteRef/>
      </w:r>
      <w:r>
        <w:rPr>
          <w:rtl/>
        </w:rPr>
        <w:t xml:space="preserve"> </w:t>
      </w:r>
      <w:r>
        <w:rPr>
          <w:b/>
          <w:bCs/>
          <w:rtl/>
        </w:rPr>
        <w:t>לו.</w:t>
      </w:r>
    </w:p>
  </w:footnote>
  <w:footnote w:id="69">
    <w:p w:rsidR="00B63280" w:rsidRDefault="00B63280">
      <w:pPr>
        <w:pStyle w:val="FootnoteText"/>
        <w:rPr>
          <w:b/>
          <w:bCs/>
        </w:rPr>
      </w:pPr>
      <w:r>
        <w:rPr>
          <w:rStyle w:val="FootnoteCharacters"/>
        </w:rPr>
        <w:footnoteRef/>
      </w:r>
      <w:r>
        <w:rPr>
          <w:rtl/>
        </w:rPr>
        <w:t xml:space="preserve"> </w:t>
      </w:r>
      <w:r>
        <w:rPr>
          <w:b/>
          <w:bCs/>
          <w:rtl/>
        </w:rPr>
        <w:t>לו:</w:t>
      </w:r>
    </w:p>
  </w:footnote>
  <w:footnote w:id="70">
    <w:p w:rsidR="00B63280" w:rsidRDefault="00B63280">
      <w:pPr>
        <w:pStyle w:val="FootnoteText"/>
        <w:rPr>
          <w:b/>
          <w:bCs/>
        </w:rPr>
      </w:pPr>
      <w:r>
        <w:rPr>
          <w:rStyle w:val="FootnoteCharacters"/>
        </w:rPr>
        <w:footnoteRef/>
      </w:r>
      <w:r>
        <w:rPr>
          <w:rtl/>
        </w:rPr>
        <w:t xml:space="preserve"> </w:t>
      </w:r>
      <w:r>
        <w:rPr>
          <w:b/>
          <w:bCs/>
          <w:rtl/>
        </w:rPr>
        <w:t>לח:</w:t>
      </w:r>
    </w:p>
  </w:footnote>
  <w:footnote w:id="71">
    <w:p w:rsidR="00B63280" w:rsidRDefault="00B63280">
      <w:pPr>
        <w:pStyle w:val="FootnoteText"/>
        <w:rPr>
          <w:b/>
          <w:bCs/>
        </w:rPr>
      </w:pPr>
      <w:r>
        <w:rPr>
          <w:rStyle w:val="FootnoteCharacters"/>
        </w:rPr>
        <w:footnoteRef/>
      </w:r>
      <w:r>
        <w:rPr>
          <w:rtl/>
        </w:rPr>
        <w:t xml:space="preserve"> </w:t>
      </w:r>
      <w:r>
        <w:rPr>
          <w:b/>
          <w:bCs/>
          <w:rtl/>
        </w:rPr>
        <w:t>לח:</w:t>
      </w:r>
    </w:p>
  </w:footnote>
  <w:footnote w:id="72">
    <w:p w:rsidR="00B63280" w:rsidRDefault="00B63280">
      <w:pPr>
        <w:pStyle w:val="FootnoteText"/>
        <w:rPr>
          <w:b/>
          <w:bCs/>
        </w:rPr>
      </w:pPr>
      <w:r>
        <w:rPr>
          <w:rStyle w:val="FootnoteCharacters"/>
        </w:rPr>
        <w:footnoteRef/>
      </w:r>
      <w:r>
        <w:rPr>
          <w:rtl/>
        </w:rPr>
        <w:t xml:space="preserve"> </w:t>
      </w:r>
      <w:r>
        <w:rPr>
          <w:b/>
          <w:bCs/>
          <w:rtl/>
        </w:rPr>
        <w:t>לה.</w:t>
      </w:r>
    </w:p>
  </w:footnote>
  <w:footnote w:id="73">
    <w:p w:rsidR="00B63280" w:rsidRDefault="00B63280">
      <w:pPr>
        <w:pStyle w:val="FootnoteText"/>
        <w:rPr>
          <w:b/>
          <w:bCs/>
        </w:rPr>
      </w:pPr>
      <w:r>
        <w:rPr>
          <w:rStyle w:val="FootnoteCharacters"/>
        </w:rPr>
        <w:footnoteRef/>
      </w:r>
      <w:r>
        <w:rPr>
          <w:rtl/>
        </w:rPr>
        <w:t xml:space="preserve"> </w:t>
      </w:r>
      <w:r>
        <w:rPr>
          <w:b/>
          <w:bCs/>
          <w:rtl/>
        </w:rPr>
        <w:t>לה.</w:t>
      </w:r>
    </w:p>
  </w:footnote>
  <w:footnote w:id="74">
    <w:p w:rsidR="00B63280" w:rsidRDefault="00B63280">
      <w:pPr>
        <w:pStyle w:val="FootnoteText"/>
        <w:rPr>
          <w:b/>
          <w:bCs/>
        </w:rPr>
      </w:pPr>
      <w:r>
        <w:rPr>
          <w:rStyle w:val="FootnoteCharacters"/>
        </w:rPr>
        <w:footnoteRef/>
      </w:r>
      <w:r>
        <w:rPr>
          <w:rtl/>
        </w:rPr>
        <w:t xml:space="preserve"> </w:t>
      </w:r>
      <w:r>
        <w:rPr>
          <w:b/>
          <w:bCs/>
          <w:rtl/>
        </w:rPr>
        <w:t>לז.</w:t>
      </w:r>
    </w:p>
  </w:footnote>
  <w:footnote w:id="75">
    <w:p w:rsidR="00B63280" w:rsidRDefault="00B63280">
      <w:pPr>
        <w:pStyle w:val="FootnoteText"/>
        <w:rPr>
          <w:b/>
          <w:bCs/>
        </w:rPr>
      </w:pPr>
      <w:r>
        <w:rPr>
          <w:rStyle w:val="FootnoteCharacters"/>
        </w:rPr>
        <w:footnoteRef/>
      </w:r>
      <w:r>
        <w:rPr>
          <w:rtl/>
        </w:rPr>
        <w:t xml:space="preserve"> </w:t>
      </w:r>
      <w:r>
        <w:rPr>
          <w:b/>
          <w:bCs/>
          <w:rtl/>
        </w:rPr>
        <w:t>לז.</w:t>
      </w:r>
    </w:p>
  </w:footnote>
  <w:footnote w:id="76">
    <w:p w:rsidR="00B63280" w:rsidRDefault="00B63280">
      <w:pPr>
        <w:pStyle w:val="FootnoteText"/>
        <w:rPr>
          <w:b/>
          <w:bCs/>
        </w:rPr>
      </w:pPr>
      <w:r>
        <w:rPr>
          <w:rStyle w:val="FootnoteCharacters"/>
        </w:rPr>
        <w:footnoteRef/>
      </w:r>
      <w:r>
        <w:rPr>
          <w:rtl/>
        </w:rPr>
        <w:t xml:space="preserve"> </w:t>
      </w:r>
      <w:r>
        <w:rPr>
          <w:b/>
          <w:bCs/>
          <w:rtl/>
        </w:rPr>
        <w:t>לח.</w:t>
      </w:r>
    </w:p>
  </w:footnote>
  <w:footnote w:id="77">
    <w:p w:rsidR="00B63280" w:rsidRDefault="00B63280">
      <w:pPr>
        <w:pStyle w:val="FootnoteText"/>
        <w:rPr>
          <w:b/>
          <w:bCs/>
        </w:rPr>
      </w:pPr>
      <w:r>
        <w:rPr>
          <w:rStyle w:val="FootnoteCharacters"/>
        </w:rPr>
        <w:footnoteRef/>
      </w:r>
      <w:r>
        <w:rPr>
          <w:rtl/>
        </w:rPr>
        <w:t xml:space="preserve"> </w:t>
      </w:r>
      <w:r>
        <w:rPr>
          <w:b/>
          <w:bCs/>
          <w:rtl/>
        </w:rPr>
        <w:t>לז.</w:t>
      </w:r>
    </w:p>
  </w:footnote>
  <w:footnote w:id="78">
    <w:p w:rsidR="00B63280" w:rsidRDefault="00B63280">
      <w:pPr>
        <w:pStyle w:val="FootnoteText"/>
        <w:rPr>
          <w:b/>
          <w:bCs/>
        </w:rPr>
      </w:pPr>
      <w:r>
        <w:rPr>
          <w:rStyle w:val="FootnoteCharacters"/>
        </w:rPr>
        <w:footnoteRef/>
      </w:r>
      <w:r>
        <w:rPr>
          <w:rtl/>
        </w:rPr>
        <w:t xml:space="preserve"> </w:t>
      </w:r>
      <w:r>
        <w:rPr>
          <w:b/>
          <w:bCs/>
          <w:rtl/>
        </w:rPr>
        <w:t>לז:, לח.</w:t>
      </w:r>
    </w:p>
  </w:footnote>
  <w:footnote w:id="79">
    <w:p w:rsidR="00B63280" w:rsidRDefault="00B63280">
      <w:pPr>
        <w:pStyle w:val="FootnoteText"/>
        <w:rPr>
          <w:b/>
          <w:bCs/>
        </w:rPr>
      </w:pPr>
      <w:r>
        <w:rPr>
          <w:rStyle w:val="FootnoteCharacters"/>
        </w:rPr>
        <w:footnoteRef/>
      </w:r>
      <w:r>
        <w:rPr>
          <w:b/>
          <w:bCs/>
          <w:rtl/>
        </w:rPr>
        <w:t xml:space="preserve"> </w:t>
      </w:r>
      <w:r>
        <w:rPr>
          <w:b/>
          <w:bCs/>
          <w:rtl/>
        </w:rPr>
        <w:t>פסחים לז</w:t>
      </w:r>
    </w:p>
  </w:footnote>
  <w:footnote w:id="80">
    <w:p w:rsidR="00B63280" w:rsidRDefault="00B63280">
      <w:pPr>
        <w:pStyle w:val="FootnoteText"/>
        <w:rPr>
          <w:b/>
          <w:bCs/>
        </w:rPr>
      </w:pPr>
      <w:r>
        <w:rPr>
          <w:rStyle w:val="FootnoteCharacters"/>
        </w:rPr>
        <w:footnoteRef/>
      </w:r>
      <w:r>
        <w:rPr>
          <w:b/>
          <w:bCs/>
          <w:rtl/>
        </w:rPr>
        <w:t>לז.</w:t>
      </w:r>
    </w:p>
  </w:footnote>
  <w:footnote w:id="81">
    <w:p w:rsidR="00B63280" w:rsidRDefault="00B63280">
      <w:pPr>
        <w:pStyle w:val="FootnoteText"/>
        <w:rPr>
          <w:b/>
          <w:bCs/>
        </w:rPr>
      </w:pPr>
      <w:r>
        <w:rPr>
          <w:rStyle w:val="FootnoteCharacters"/>
        </w:rPr>
        <w:footnoteRef/>
      </w:r>
      <w:r>
        <w:rPr>
          <w:rtl/>
        </w:rPr>
        <w:t xml:space="preserve"> </w:t>
      </w:r>
      <w:r>
        <w:rPr>
          <w:b/>
          <w:bCs/>
          <w:rtl/>
        </w:rPr>
        <w:t>לז:</w:t>
      </w:r>
    </w:p>
  </w:footnote>
  <w:footnote w:id="82">
    <w:p w:rsidR="00B63280" w:rsidRDefault="00B63280">
      <w:pPr>
        <w:pStyle w:val="FootnoteText"/>
        <w:rPr>
          <w:b/>
          <w:bCs/>
        </w:rPr>
      </w:pPr>
      <w:r>
        <w:rPr>
          <w:rStyle w:val="FootnoteCharacters"/>
        </w:rPr>
        <w:footnoteRef/>
      </w:r>
      <w:r>
        <w:rPr>
          <w:rtl/>
        </w:rPr>
        <w:t xml:space="preserve"> </w:t>
      </w:r>
      <w:r>
        <w:rPr>
          <w:b/>
          <w:bCs/>
          <w:rtl/>
        </w:rPr>
        <w:t>לז:</w:t>
      </w:r>
    </w:p>
  </w:footnote>
  <w:footnote w:id="83">
    <w:p w:rsidR="00B63280" w:rsidRDefault="00B63280">
      <w:pPr>
        <w:pStyle w:val="FootnoteText"/>
      </w:pPr>
      <w:r>
        <w:rPr>
          <w:rStyle w:val="FootnoteCharacters"/>
        </w:rPr>
        <w:footnoteRef/>
      </w:r>
      <w:r>
        <w:rPr>
          <w:rtl/>
        </w:rPr>
        <w:t xml:space="preserve"> </w:t>
      </w:r>
      <w:r>
        <w:rPr>
          <w:rtl/>
        </w:rPr>
        <w:t>גמרא (</w:t>
      </w:r>
      <w:r>
        <w:rPr>
          <w:b/>
          <w:bCs/>
          <w:rtl/>
        </w:rPr>
        <w:t>לז.</w:t>
      </w:r>
      <w:r>
        <w:rPr>
          <w:rtl/>
        </w:rPr>
        <w:t>) אומר כן לענין תבשילים של חמש המינים. הנחתי שהוא כן אף לענין פת.</w:t>
      </w:r>
    </w:p>
  </w:footnote>
  <w:footnote w:id="84">
    <w:p w:rsidR="00B63280" w:rsidRDefault="00B63280">
      <w:pPr>
        <w:pStyle w:val="FootnoteText"/>
      </w:pPr>
      <w:r>
        <w:rPr>
          <w:rStyle w:val="FootnoteCharacters"/>
        </w:rPr>
        <w:footnoteRef/>
      </w:r>
      <w:r>
        <w:rPr>
          <w:rtl/>
        </w:rPr>
        <w:t xml:space="preserve"> </w:t>
      </w:r>
      <w:r>
        <w:rPr>
          <w:rtl/>
        </w:rPr>
        <w:t xml:space="preserve">תבשיל </w:t>
      </w:r>
      <w:r>
        <w:rPr>
          <w:rtl/>
        </w:rPr>
        <w:t>הוא כל דבר שמבושל, נאפה, או מטוגן.</w:t>
      </w:r>
    </w:p>
  </w:footnote>
  <w:footnote w:id="85">
    <w:p w:rsidR="00B63280" w:rsidRDefault="00B63280">
      <w:pPr>
        <w:pStyle w:val="FootnoteText"/>
        <w:rPr>
          <w:b/>
          <w:bCs/>
        </w:rPr>
      </w:pPr>
      <w:r>
        <w:rPr>
          <w:rStyle w:val="FootnoteCharacters"/>
        </w:rPr>
        <w:footnoteRef/>
      </w:r>
      <w:r>
        <w:rPr>
          <w:rtl/>
        </w:rPr>
        <w:t xml:space="preserve"> </w:t>
      </w:r>
      <w:r>
        <w:rPr>
          <w:b/>
          <w:bCs/>
          <w:rtl/>
        </w:rPr>
        <w:t>לז.</w:t>
      </w:r>
    </w:p>
  </w:footnote>
  <w:footnote w:id="86">
    <w:p w:rsidR="00B63280" w:rsidRDefault="00B63280">
      <w:pPr>
        <w:pStyle w:val="FootnoteText"/>
        <w:rPr>
          <w:b/>
          <w:bCs/>
        </w:rPr>
      </w:pPr>
      <w:r>
        <w:rPr>
          <w:rStyle w:val="FootnoteCharacters"/>
        </w:rPr>
        <w:footnoteRef/>
      </w:r>
      <w:r>
        <w:rPr>
          <w:rtl/>
        </w:rPr>
        <w:t xml:space="preserve"> </w:t>
      </w:r>
      <w:r>
        <w:rPr>
          <w:b/>
          <w:bCs/>
          <w:rtl/>
        </w:rPr>
        <w:t>לט.</w:t>
      </w:r>
    </w:p>
  </w:footnote>
  <w:footnote w:id="87">
    <w:p w:rsidR="00B63280" w:rsidRDefault="00B63280">
      <w:pPr>
        <w:pStyle w:val="FootnoteText"/>
        <w:rPr>
          <w:b/>
          <w:bCs/>
        </w:rPr>
      </w:pPr>
      <w:r>
        <w:rPr>
          <w:rStyle w:val="FootnoteCharacters"/>
        </w:rPr>
        <w:footnoteRef/>
      </w:r>
      <w:r>
        <w:rPr>
          <w:rtl/>
        </w:rPr>
        <w:t xml:space="preserve"> </w:t>
      </w:r>
      <w:r>
        <w:rPr>
          <w:b/>
          <w:bCs/>
          <w:rtl/>
        </w:rPr>
        <w:t>לו.</w:t>
      </w:r>
    </w:p>
  </w:footnote>
  <w:footnote w:id="88">
    <w:p w:rsidR="00B63280" w:rsidRDefault="00B63280">
      <w:pPr>
        <w:pStyle w:val="FootnoteText"/>
        <w:rPr>
          <w:b/>
          <w:bCs/>
        </w:rPr>
      </w:pPr>
      <w:r>
        <w:rPr>
          <w:rStyle w:val="FootnoteCharacters"/>
        </w:rPr>
        <w:footnoteRef/>
      </w:r>
      <w:r>
        <w:rPr>
          <w:rtl/>
        </w:rPr>
        <w:t xml:space="preserve"> </w:t>
      </w:r>
      <w:r>
        <w:rPr>
          <w:b/>
          <w:bCs/>
          <w:rtl/>
        </w:rPr>
        <w:t>לו.</w:t>
      </w:r>
    </w:p>
  </w:footnote>
  <w:footnote w:id="89">
    <w:p w:rsidR="00B63280" w:rsidRDefault="00B63280">
      <w:pPr>
        <w:pStyle w:val="FootnoteText"/>
        <w:rPr>
          <w:b/>
          <w:bCs/>
        </w:rPr>
      </w:pPr>
      <w:r>
        <w:rPr>
          <w:rStyle w:val="FootnoteCharacters"/>
        </w:rPr>
        <w:footnoteRef/>
      </w:r>
      <w:r>
        <w:rPr>
          <w:rtl/>
        </w:rPr>
        <w:t xml:space="preserve"> </w:t>
      </w:r>
      <w:r>
        <w:rPr>
          <w:b/>
          <w:bCs/>
          <w:rtl/>
        </w:rPr>
        <w:t>לח:</w:t>
      </w:r>
    </w:p>
  </w:footnote>
  <w:footnote w:id="90">
    <w:p w:rsidR="00B63280" w:rsidRDefault="00B63280">
      <w:pPr>
        <w:pStyle w:val="FootnoteText"/>
        <w:rPr>
          <w:b/>
          <w:bCs/>
        </w:rPr>
      </w:pPr>
      <w:r>
        <w:rPr>
          <w:rStyle w:val="FootnoteCharacters"/>
        </w:rPr>
        <w:footnoteRef/>
      </w:r>
      <w:r>
        <w:rPr>
          <w:rtl/>
        </w:rPr>
        <w:t xml:space="preserve"> </w:t>
      </w:r>
      <w:r>
        <w:rPr>
          <w:b/>
          <w:bCs/>
          <w:rtl/>
        </w:rPr>
        <w:t>לח:</w:t>
      </w:r>
    </w:p>
  </w:footnote>
  <w:footnote w:id="91">
    <w:p w:rsidR="00B63280" w:rsidRDefault="00B63280">
      <w:pPr>
        <w:pStyle w:val="FootnoteText"/>
        <w:rPr>
          <w:b/>
          <w:bCs/>
        </w:rPr>
      </w:pPr>
      <w:r>
        <w:rPr>
          <w:rStyle w:val="FootnoteCharacters"/>
        </w:rPr>
        <w:footnoteRef/>
      </w:r>
      <w:r>
        <w:rPr>
          <w:rtl/>
        </w:rPr>
        <w:t xml:space="preserve"> </w:t>
      </w:r>
      <w:r>
        <w:rPr>
          <w:b/>
          <w:bCs/>
          <w:rtl/>
        </w:rPr>
        <w:t>מ.</w:t>
      </w:r>
    </w:p>
  </w:footnote>
  <w:footnote w:id="92">
    <w:p w:rsidR="00B63280" w:rsidRDefault="00B63280">
      <w:pPr>
        <w:pStyle w:val="FootnoteText"/>
        <w:rPr>
          <w:b/>
          <w:bCs/>
        </w:rPr>
      </w:pPr>
      <w:r>
        <w:rPr>
          <w:rStyle w:val="FootnoteCharacters"/>
        </w:rPr>
        <w:footnoteRef/>
      </w:r>
      <w:r>
        <w:rPr>
          <w:b/>
          <w:bCs/>
          <w:rtl/>
        </w:rPr>
        <w:t>מד.</w:t>
      </w:r>
    </w:p>
  </w:footnote>
  <w:footnote w:id="93">
    <w:p w:rsidR="00B63280" w:rsidRDefault="00B63280">
      <w:pPr>
        <w:pStyle w:val="FootnoteText"/>
        <w:rPr>
          <w:b/>
          <w:bCs/>
        </w:rPr>
      </w:pPr>
      <w:r>
        <w:rPr>
          <w:rStyle w:val="FootnoteCharacters"/>
        </w:rPr>
        <w:footnoteRef/>
      </w:r>
      <w:r>
        <w:rPr>
          <w:b/>
          <w:bCs/>
          <w:rtl/>
        </w:rPr>
        <w:t>מד.</w:t>
      </w:r>
    </w:p>
  </w:footnote>
  <w:footnote w:id="94">
    <w:p w:rsidR="00625D22" w:rsidRPr="00946BAA" w:rsidRDefault="00625D22">
      <w:pPr>
        <w:pStyle w:val="FootnoteText"/>
        <w:rPr>
          <w:rFonts w:hint="cs"/>
        </w:rPr>
      </w:pPr>
      <w:r>
        <w:rPr>
          <w:rStyle w:val="FootnoteReference"/>
        </w:rPr>
        <w:footnoteRef/>
      </w:r>
      <w:r>
        <w:rPr>
          <w:rtl/>
        </w:rPr>
        <w:t xml:space="preserve"> </w:t>
      </w:r>
      <w:r>
        <w:rPr>
          <w:rFonts w:hint="cs"/>
          <w:b/>
          <w:bCs/>
          <w:rtl/>
        </w:rPr>
        <w:t>יב.</w:t>
      </w:r>
      <w:r w:rsidR="00946BAA">
        <w:rPr>
          <w:rFonts w:hint="cs"/>
          <w:b/>
          <w:bCs/>
          <w:rtl/>
        </w:rPr>
        <w:t xml:space="preserve"> </w:t>
      </w:r>
      <w:r w:rsidR="00946BAA">
        <w:rPr>
          <w:rFonts w:hint="cs"/>
          <w:rtl/>
        </w:rPr>
        <w:t>(עיין שם, שפשטות הגמ' הוא שברכה ראשונה הוא. אבל, מחודש מאד לומר שיכול לברך "המוציא לחם מן הארץ" עליו כיון שמיזן. אז, יותר מסתבר לומר</w:t>
      </w:r>
      <w:r w:rsidR="00D278B1">
        <w:rPr>
          <w:rFonts w:hint="cs"/>
          <w:rtl/>
        </w:rPr>
        <w:t>, וכן םי' המאירי, שקאי על ברכה שלאחריו.</w:t>
      </w:r>
      <w:r w:rsidR="00536831">
        <w:rPr>
          <w:rFonts w:hint="cs"/>
          <w:rtl/>
        </w:rPr>
        <w:t xml:space="preserve"> אבל, איני יודע מקורו שצריך להיות משבעת המינים. ותחשב. וצריך לעיןי.)</w:t>
      </w:r>
    </w:p>
  </w:footnote>
  <w:footnote w:id="95">
    <w:p w:rsidR="00336969" w:rsidRDefault="00336969">
      <w:pPr>
        <w:pStyle w:val="FootnoteText"/>
        <w:rPr>
          <w:rFonts w:hint="cs"/>
        </w:rPr>
      </w:pPr>
      <w:r>
        <w:rPr>
          <w:rStyle w:val="FootnoteReference"/>
        </w:rPr>
        <w:footnoteRef/>
      </w:r>
      <w:r>
        <w:rPr>
          <w:rtl/>
        </w:rPr>
        <w:t xml:space="preserve"> </w:t>
      </w:r>
      <w:r>
        <w:rPr>
          <w:rFonts w:hint="cs"/>
          <w:rtl/>
        </w:rPr>
        <w:t>דנים הפוסקים אם זה גם אם לא אכל כזית.</w:t>
      </w:r>
    </w:p>
  </w:footnote>
  <w:footnote w:id="96">
    <w:p w:rsidR="00B9311A" w:rsidRDefault="001517CE" w:rsidP="00B9311A">
      <w:pPr>
        <w:pStyle w:val="FootnoteText"/>
        <w:rPr>
          <w:rFonts w:hint="cs"/>
        </w:rPr>
      </w:pPr>
      <w:r>
        <w:rPr>
          <w:rStyle w:val="FootnoteReference"/>
        </w:rPr>
        <w:footnoteRef/>
      </w:r>
      <w:r>
        <w:rPr>
          <w:rtl/>
        </w:rPr>
        <w:t xml:space="preserve"> </w:t>
      </w:r>
      <w:r>
        <w:rPr>
          <w:rFonts w:hint="cs"/>
          <w:rtl/>
        </w:rPr>
        <w:t>ואם תאמר איך דורשים אותו מן הקרא כיון שהוא מדרבנן. זה קושיה פשוטה וחזקה. אולי צריך לומר שיש מחלקת בזה, וצד אחד אומר שאכן שיטת רבי מאיר ורבי יהודה הוא מדאו', ויש שיטה אחרת שאומרים ששיטתם רק מדרבנן. ותחשב.</w:t>
      </w:r>
      <w:r w:rsidR="00D9182A">
        <w:rPr>
          <w:rFonts w:hint="cs"/>
          <w:rtl/>
        </w:rPr>
        <w:t xml:space="preserve"> גם יש לומר שהוא רק אסמכתא. גמ' לא משמע כראשון, שאומר זה לת' לקושיה, ואז מוכרח שכוע"מ לזה, אבל גם לא משעמ כשני, שדורש מקרא לת' לקושיה.</w:t>
      </w:r>
    </w:p>
  </w:footnote>
  <w:footnote w:id="97">
    <w:p w:rsidR="00FA07FE" w:rsidRPr="00FA07FE" w:rsidRDefault="00FA07FE">
      <w:pPr>
        <w:pStyle w:val="FootnoteText"/>
        <w:rPr>
          <w:rFonts w:hint="cs"/>
          <w:b/>
          <w:bCs/>
        </w:rPr>
      </w:pPr>
      <w:r>
        <w:rPr>
          <w:rStyle w:val="FootnoteReference"/>
        </w:rPr>
        <w:footnoteRef/>
      </w:r>
      <w:r>
        <w:rPr>
          <w:rtl/>
        </w:rPr>
        <w:t xml:space="preserve"> </w:t>
      </w:r>
      <w:r>
        <w:rPr>
          <w:rFonts w:hint="cs"/>
          <w:b/>
          <w:bCs/>
          <w:rtl/>
        </w:rPr>
        <w:t>כ:</w:t>
      </w:r>
    </w:p>
  </w:footnote>
  <w:footnote w:id="98">
    <w:p w:rsidR="003C4F19" w:rsidRDefault="003C4F19">
      <w:pPr>
        <w:pStyle w:val="FootnoteText"/>
        <w:rPr>
          <w:rFonts w:hint="cs"/>
        </w:rPr>
      </w:pPr>
      <w:r>
        <w:rPr>
          <w:rStyle w:val="FootnoteReference"/>
        </w:rPr>
        <w:footnoteRef/>
      </w:r>
      <w:r>
        <w:rPr>
          <w:rtl/>
        </w:rPr>
        <w:t xml:space="preserve"> </w:t>
      </w:r>
      <w:r>
        <w:rPr>
          <w:rFonts w:hint="cs"/>
          <w:rtl/>
        </w:rPr>
        <w:t>אגב, עיין שם, שקצת קשה למה לא מזכיר את זה להו"א.</w:t>
      </w:r>
    </w:p>
  </w:footnote>
  <w:footnote w:id="99">
    <w:p w:rsidR="00454E8C" w:rsidRPr="00454E8C" w:rsidRDefault="00454E8C">
      <w:pPr>
        <w:pStyle w:val="FootnoteText"/>
        <w:rPr>
          <w:rFonts w:hint="cs"/>
          <w:b/>
          <w:bCs/>
        </w:rPr>
      </w:pPr>
      <w:r>
        <w:rPr>
          <w:rStyle w:val="FootnoteReference"/>
        </w:rPr>
        <w:footnoteRef/>
      </w:r>
      <w:r>
        <w:rPr>
          <w:rtl/>
        </w:rPr>
        <w:t xml:space="preserve"> </w:t>
      </w:r>
      <w:r>
        <w:rPr>
          <w:rFonts w:hint="cs"/>
          <w:b/>
          <w:bCs/>
          <w:rtl/>
        </w:rPr>
        <w:t>כ:</w:t>
      </w:r>
    </w:p>
  </w:footnote>
  <w:footnote w:id="100">
    <w:p w:rsidR="00B63280" w:rsidRDefault="00B63280">
      <w:pPr>
        <w:pStyle w:val="FootnoteText"/>
      </w:pPr>
      <w:r>
        <w:rPr>
          <w:rStyle w:val="FootnoteCharacters"/>
        </w:rPr>
        <w:footnoteRef/>
      </w:r>
      <w:r>
        <w:rPr>
          <w:rtl/>
        </w:rPr>
        <w:t xml:space="preserve"> </w:t>
      </w:r>
      <w:r>
        <w:rPr>
          <w:rtl/>
        </w:rPr>
        <w:t xml:space="preserve">גדר ביחד כולל אף אם זה אכל כשזה גמר לאכול, אם היה עדיין אוכל אילו הביאו לו דבר שאוהב </w:t>
      </w:r>
      <w:r>
        <w:rPr>
          <w:b/>
          <w:bCs/>
          <w:rtl/>
        </w:rPr>
        <w:t>(מז.)</w:t>
      </w:r>
    </w:p>
  </w:footnote>
  <w:footnote w:id="101">
    <w:p w:rsidR="00B63280" w:rsidRDefault="00B63280">
      <w:pPr>
        <w:pStyle w:val="FootnoteText"/>
        <w:rPr>
          <w:b/>
          <w:bCs/>
        </w:rPr>
      </w:pPr>
      <w:r>
        <w:rPr>
          <w:rStyle w:val="FootnoteCharacters"/>
        </w:rPr>
        <w:footnoteRef/>
      </w:r>
      <w:r>
        <w:rPr>
          <w:rtl/>
        </w:rPr>
        <w:t xml:space="preserve"> </w:t>
      </w:r>
      <w:r>
        <w:rPr>
          <w:b/>
          <w:bCs/>
          <w:rtl/>
        </w:rPr>
        <w:t>מה.</w:t>
      </w:r>
    </w:p>
  </w:footnote>
  <w:footnote w:id="102">
    <w:p w:rsidR="00B63280" w:rsidRDefault="00B63280">
      <w:pPr>
        <w:pStyle w:val="FootnoteText"/>
        <w:rPr>
          <w:b/>
          <w:bCs/>
        </w:rPr>
      </w:pPr>
      <w:r>
        <w:rPr>
          <w:rStyle w:val="FootnoteCharacters"/>
        </w:rPr>
        <w:footnoteRef/>
      </w:r>
      <w:r>
        <w:rPr>
          <w:rtl/>
        </w:rPr>
        <w:t xml:space="preserve"> </w:t>
      </w:r>
      <w:r>
        <w:rPr>
          <w:b/>
          <w:bCs/>
          <w:rtl/>
        </w:rPr>
        <w:t>מה:</w:t>
      </w:r>
    </w:p>
  </w:footnote>
  <w:footnote w:id="103">
    <w:p w:rsidR="00B63280" w:rsidRDefault="00B63280">
      <w:pPr>
        <w:pStyle w:val="FootnoteText"/>
        <w:rPr>
          <w:b/>
          <w:bCs/>
        </w:rPr>
      </w:pPr>
      <w:r>
        <w:rPr>
          <w:rStyle w:val="FootnoteCharacters"/>
        </w:rPr>
        <w:footnoteRef/>
      </w:r>
      <w:r>
        <w:rPr>
          <w:rtl/>
        </w:rPr>
        <w:t xml:space="preserve"> </w:t>
      </w:r>
      <w:r>
        <w:rPr>
          <w:b/>
          <w:bCs/>
          <w:rtl/>
        </w:rPr>
        <w:t>נ.</w:t>
      </w:r>
    </w:p>
  </w:footnote>
  <w:footnote w:id="104">
    <w:p w:rsidR="00B63280" w:rsidRDefault="00B63280">
      <w:pPr>
        <w:pStyle w:val="FootnoteText"/>
        <w:rPr>
          <w:b/>
          <w:bCs/>
        </w:rPr>
      </w:pPr>
      <w:r>
        <w:rPr>
          <w:rStyle w:val="FootnoteCharacters"/>
        </w:rPr>
        <w:footnoteRef/>
      </w:r>
      <w:r>
        <w:rPr>
          <w:rtl/>
        </w:rPr>
        <w:t xml:space="preserve"> </w:t>
      </w:r>
      <w:r>
        <w:rPr>
          <w:b/>
          <w:bCs/>
          <w:rtl/>
        </w:rPr>
        <w:t>מה.</w:t>
      </w:r>
    </w:p>
  </w:footnote>
  <w:footnote w:id="105">
    <w:p w:rsidR="00B63280" w:rsidRDefault="00B63280">
      <w:pPr>
        <w:pStyle w:val="FootnoteText"/>
        <w:rPr>
          <w:b/>
          <w:bCs/>
        </w:rPr>
      </w:pPr>
      <w:r>
        <w:rPr>
          <w:rStyle w:val="FootnoteCharacters"/>
        </w:rPr>
        <w:footnoteRef/>
      </w:r>
      <w:r>
        <w:rPr>
          <w:rtl/>
        </w:rPr>
        <w:t xml:space="preserve"> </w:t>
      </w:r>
      <w:r>
        <w:rPr>
          <w:b/>
          <w:bCs/>
          <w:rtl/>
        </w:rPr>
        <w:t>מה.</w:t>
      </w:r>
    </w:p>
  </w:footnote>
  <w:footnote w:id="106">
    <w:p w:rsidR="00B63280" w:rsidRDefault="00B63280">
      <w:pPr>
        <w:pStyle w:val="FootnoteText"/>
        <w:rPr>
          <w:b/>
          <w:bCs/>
        </w:rPr>
      </w:pPr>
      <w:r>
        <w:rPr>
          <w:rStyle w:val="FootnoteCharacters"/>
        </w:rPr>
        <w:footnoteRef/>
      </w:r>
      <w:r>
        <w:rPr>
          <w:rtl/>
        </w:rPr>
        <w:t xml:space="preserve"> </w:t>
      </w:r>
      <w:r>
        <w:rPr>
          <w:b/>
          <w:bCs/>
          <w:rtl/>
        </w:rPr>
        <w:t>נ.</w:t>
      </w:r>
    </w:p>
  </w:footnote>
  <w:footnote w:id="107">
    <w:p w:rsidR="00B63280" w:rsidRDefault="00B63280">
      <w:pPr>
        <w:pStyle w:val="FootnoteText"/>
        <w:rPr>
          <w:b/>
          <w:bCs/>
        </w:rPr>
      </w:pPr>
      <w:r>
        <w:rPr>
          <w:rStyle w:val="FootnoteCharacters"/>
        </w:rPr>
        <w:footnoteRef/>
      </w:r>
      <w:r>
        <w:rPr>
          <w:rtl/>
        </w:rPr>
        <w:t xml:space="preserve"> </w:t>
      </w:r>
      <w:r>
        <w:rPr>
          <w:b/>
          <w:bCs/>
          <w:rtl/>
        </w:rPr>
        <w:t>כא:</w:t>
      </w:r>
    </w:p>
  </w:footnote>
  <w:footnote w:id="108">
    <w:p w:rsidR="00B63280" w:rsidRDefault="00B63280">
      <w:pPr>
        <w:pStyle w:val="FootnoteText"/>
        <w:rPr>
          <w:b/>
          <w:bCs/>
        </w:rPr>
      </w:pPr>
      <w:r>
        <w:rPr>
          <w:rStyle w:val="FootnoteCharacters"/>
        </w:rPr>
        <w:footnoteRef/>
      </w:r>
      <w:r>
        <w:rPr>
          <w:b/>
          <w:bCs/>
          <w:rtl/>
        </w:rPr>
        <w:t>נ.</w:t>
      </w:r>
    </w:p>
  </w:footnote>
  <w:footnote w:id="109">
    <w:p w:rsidR="00B63280" w:rsidRDefault="00B63280">
      <w:pPr>
        <w:pStyle w:val="FootnoteText"/>
        <w:rPr>
          <w:b/>
          <w:bCs/>
        </w:rPr>
      </w:pPr>
      <w:r>
        <w:rPr>
          <w:rStyle w:val="FootnoteCharacters"/>
        </w:rPr>
        <w:footnoteRef/>
      </w:r>
      <w:r>
        <w:rPr>
          <w:rtl/>
        </w:rPr>
        <w:t xml:space="preserve"> </w:t>
      </w:r>
      <w:r>
        <w:rPr>
          <w:b/>
          <w:bCs/>
          <w:rtl/>
        </w:rPr>
        <w:t>מה.</w:t>
      </w:r>
    </w:p>
  </w:footnote>
  <w:footnote w:id="110">
    <w:p w:rsidR="00B63280" w:rsidRDefault="00B63280">
      <w:pPr>
        <w:pStyle w:val="FootnoteText"/>
        <w:rPr>
          <w:b/>
          <w:bCs/>
        </w:rPr>
      </w:pPr>
      <w:r>
        <w:rPr>
          <w:rStyle w:val="FootnoteCharacters"/>
        </w:rPr>
        <w:footnoteRef/>
      </w:r>
      <w:r>
        <w:rPr>
          <w:rtl/>
        </w:rPr>
        <w:t xml:space="preserve"> </w:t>
      </w:r>
      <w:r>
        <w:rPr>
          <w:b/>
          <w:bCs/>
          <w:rtl/>
        </w:rPr>
        <w:t>נ.</w:t>
      </w:r>
    </w:p>
  </w:footnote>
  <w:footnote w:id="111">
    <w:p w:rsidR="00B63280" w:rsidRDefault="00B63280">
      <w:pPr>
        <w:pStyle w:val="FootnoteText"/>
        <w:rPr>
          <w:b/>
          <w:bCs/>
        </w:rPr>
      </w:pPr>
      <w:r>
        <w:rPr>
          <w:rStyle w:val="FootnoteCharacters"/>
        </w:rPr>
        <w:footnoteRef/>
      </w:r>
      <w:r>
        <w:rPr>
          <w:rtl/>
        </w:rPr>
        <w:t xml:space="preserve"> </w:t>
      </w:r>
      <w:r>
        <w:rPr>
          <w:b/>
          <w:bCs/>
          <w:rtl/>
        </w:rPr>
        <w:t>מה.</w:t>
      </w:r>
    </w:p>
  </w:footnote>
  <w:footnote w:id="112">
    <w:p w:rsidR="00B63280" w:rsidRDefault="00B63280">
      <w:pPr>
        <w:pStyle w:val="FootnoteText"/>
        <w:rPr>
          <w:b/>
          <w:bCs/>
        </w:rPr>
      </w:pPr>
      <w:r>
        <w:rPr>
          <w:rStyle w:val="FootnoteCharacters"/>
        </w:rPr>
        <w:footnoteRef/>
      </w:r>
      <w:r>
        <w:rPr>
          <w:rtl/>
        </w:rPr>
        <w:t xml:space="preserve"> </w:t>
      </w:r>
      <w:r>
        <w:rPr>
          <w:b/>
          <w:bCs/>
          <w:rtl/>
        </w:rPr>
        <w:t>נ.</w:t>
      </w:r>
    </w:p>
  </w:footnote>
  <w:footnote w:id="113">
    <w:p w:rsidR="00B63280" w:rsidRDefault="00B63280">
      <w:pPr>
        <w:pStyle w:val="FootnoteText"/>
      </w:pPr>
      <w:r>
        <w:rPr>
          <w:rStyle w:val="FootnoteCharacters"/>
        </w:rPr>
        <w:footnoteRef/>
      </w:r>
      <w:r>
        <w:rPr>
          <w:rtl/>
        </w:rPr>
        <w:t>הצד בכל אלו לברך דבר חלוק הוא שכ’, “במקהלות ברכו ה’ ממקור ישראל.” (</w:t>
      </w:r>
      <w:r>
        <w:rPr>
          <w:b/>
          <w:bCs/>
          <w:rtl/>
        </w:rPr>
        <w:t>מט:</w:t>
      </w:r>
      <w:r>
        <w:rPr>
          <w:rtl/>
        </w:rPr>
        <w:t>)</w:t>
      </w:r>
    </w:p>
  </w:footnote>
  <w:footnote w:id="114">
    <w:p w:rsidR="00B63280" w:rsidRDefault="00B63280">
      <w:pPr>
        <w:pStyle w:val="FootnoteText"/>
        <w:rPr>
          <w:b/>
          <w:bCs/>
        </w:rPr>
      </w:pPr>
      <w:r>
        <w:rPr>
          <w:rStyle w:val="FootnoteCharacters"/>
        </w:rPr>
        <w:footnoteRef/>
      </w:r>
      <w:r>
        <w:rPr>
          <w:rtl/>
        </w:rPr>
        <w:t xml:space="preserve"> </w:t>
      </w:r>
      <w:r>
        <w:rPr>
          <w:b/>
          <w:bCs/>
          <w:rtl/>
        </w:rPr>
        <w:t>מה.</w:t>
      </w:r>
    </w:p>
  </w:footnote>
  <w:footnote w:id="115">
    <w:p w:rsidR="00B63280" w:rsidRDefault="00B63280">
      <w:pPr>
        <w:pStyle w:val="FootnoteText"/>
        <w:rPr>
          <w:b/>
          <w:bCs/>
        </w:rPr>
      </w:pPr>
      <w:r>
        <w:rPr>
          <w:rStyle w:val="FootnoteCharacters"/>
        </w:rPr>
        <w:footnoteRef/>
      </w:r>
      <w:r>
        <w:rPr>
          <w:rtl/>
        </w:rPr>
        <w:t xml:space="preserve"> </w:t>
      </w:r>
      <w:r>
        <w:rPr>
          <w:b/>
          <w:bCs/>
          <w:rtl/>
        </w:rPr>
        <w:t>נ.</w:t>
      </w:r>
    </w:p>
  </w:footnote>
  <w:footnote w:id="116">
    <w:p w:rsidR="00B63280" w:rsidRDefault="00B63280">
      <w:pPr>
        <w:pStyle w:val="FootnoteText"/>
        <w:rPr>
          <w:b/>
          <w:bCs/>
        </w:rPr>
      </w:pPr>
      <w:r>
        <w:rPr>
          <w:rStyle w:val="FootnoteCharacters"/>
        </w:rPr>
        <w:footnoteRef/>
      </w:r>
      <w:r>
        <w:rPr>
          <w:b/>
          <w:bCs/>
          <w:rtl/>
        </w:rPr>
        <w:t>נ.</w:t>
      </w:r>
    </w:p>
  </w:footnote>
  <w:footnote w:id="117">
    <w:p w:rsidR="00B63280" w:rsidRDefault="00B63280">
      <w:pPr>
        <w:pStyle w:val="FootnoteText"/>
        <w:rPr>
          <w:b/>
          <w:bCs/>
        </w:rPr>
      </w:pPr>
      <w:r>
        <w:rPr>
          <w:rStyle w:val="FootnoteCharacters"/>
        </w:rPr>
        <w:footnoteRef/>
      </w:r>
      <w:r>
        <w:rPr>
          <w:b/>
          <w:bCs/>
          <w:rtl/>
        </w:rPr>
        <w:t>מט:</w:t>
      </w:r>
    </w:p>
  </w:footnote>
  <w:footnote w:id="118">
    <w:p w:rsidR="00B63280" w:rsidRDefault="00B63280">
      <w:pPr>
        <w:pStyle w:val="FootnoteText"/>
        <w:rPr>
          <w:b/>
          <w:bCs/>
        </w:rPr>
      </w:pPr>
      <w:r>
        <w:rPr>
          <w:rStyle w:val="FootnoteCharacters"/>
        </w:rPr>
        <w:footnoteRef/>
      </w:r>
      <w:r>
        <w:rPr>
          <w:b/>
          <w:bCs/>
          <w:rtl/>
        </w:rPr>
        <w:t>מז:</w:t>
      </w:r>
    </w:p>
  </w:footnote>
  <w:footnote w:id="119">
    <w:p w:rsidR="00B63280" w:rsidRDefault="00B63280">
      <w:pPr>
        <w:pStyle w:val="FootnoteText"/>
      </w:pPr>
      <w:r>
        <w:rPr>
          <w:rStyle w:val="FootnoteCharacters"/>
        </w:rPr>
        <w:footnoteRef/>
      </w:r>
      <w:r>
        <w:rPr>
          <w:rtl/>
        </w:rPr>
        <w:t>לא מבאר גמ’ אם יש להסתפק בשנים מצטרפים עם שמנה וכדו’. יל"ד אם דינו שווה לאכול ירק.</w:t>
      </w:r>
    </w:p>
  </w:footnote>
  <w:footnote w:id="120">
    <w:p w:rsidR="00B63280" w:rsidRDefault="00B63280">
      <w:pPr>
        <w:pStyle w:val="FootnoteText"/>
        <w:rPr>
          <w:b/>
          <w:bCs/>
        </w:rPr>
      </w:pPr>
      <w:r>
        <w:rPr>
          <w:rStyle w:val="FootnoteCharacters"/>
        </w:rPr>
        <w:footnoteRef/>
      </w:r>
      <w:r>
        <w:rPr>
          <w:b/>
          <w:bCs/>
          <w:rtl/>
        </w:rPr>
        <w:t>מז:</w:t>
      </w:r>
    </w:p>
  </w:footnote>
  <w:footnote w:id="121">
    <w:p w:rsidR="00B63280" w:rsidRDefault="00B63280">
      <w:pPr>
        <w:pStyle w:val="FootnoteText"/>
        <w:rPr>
          <w:b/>
          <w:bCs/>
        </w:rPr>
      </w:pPr>
      <w:r>
        <w:rPr>
          <w:rStyle w:val="FootnoteCharacters"/>
        </w:rPr>
        <w:footnoteRef/>
      </w:r>
      <w:r>
        <w:rPr>
          <w:b/>
          <w:bCs/>
          <w:rtl/>
        </w:rPr>
        <w:t>מח.</w:t>
      </w:r>
    </w:p>
  </w:footnote>
  <w:footnote w:id="122">
    <w:p w:rsidR="00B63280" w:rsidRDefault="00B63280">
      <w:pPr>
        <w:pStyle w:val="FootnoteText"/>
        <w:rPr>
          <w:b/>
          <w:bCs/>
        </w:rPr>
      </w:pPr>
      <w:r>
        <w:rPr>
          <w:rStyle w:val="FootnoteCharacters"/>
        </w:rPr>
        <w:footnoteRef/>
      </w:r>
      <w:r>
        <w:rPr>
          <w:b/>
          <w:bCs/>
          <w:rtl/>
        </w:rPr>
        <w:t>מח.</w:t>
      </w:r>
    </w:p>
  </w:footnote>
  <w:footnote w:id="123">
    <w:p w:rsidR="00B63280" w:rsidRDefault="00B63280">
      <w:pPr>
        <w:pStyle w:val="FootnoteText"/>
      </w:pPr>
      <w:r>
        <w:rPr>
          <w:rStyle w:val="FootnoteCharacters"/>
        </w:rPr>
        <w:footnoteRef/>
      </w:r>
      <w:r>
        <w:rPr>
          <w:rtl/>
        </w:rPr>
        <w:t>גמ’ אומר שמזמנים עליו; הנחתי שמצטרף לשלש ומצטרף לעשר.</w:t>
      </w:r>
    </w:p>
  </w:footnote>
  <w:footnote w:id="124">
    <w:p w:rsidR="00B63280" w:rsidRDefault="00B63280">
      <w:pPr>
        <w:pStyle w:val="FootnoteText"/>
        <w:rPr>
          <w:b/>
          <w:bCs/>
        </w:rPr>
      </w:pPr>
      <w:r>
        <w:rPr>
          <w:rStyle w:val="FootnoteCharacters"/>
        </w:rPr>
        <w:footnoteRef/>
      </w:r>
      <w:r>
        <w:rPr>
          <w:b/>
          <w:bCs/>
          <w:rtl/>
        </w:rPr>
        <w:t>מז:</w:t>
      </w:r>
    </w:p>
  </w:footnote>
  <w:footnote w:id="125">
    <w:p w:rsidR="00B63280" w:rsidRDefault="00B63280">
      <w:pPr>
        <w:pStyle w:val="FootnoteText"/>
        <w:rPr>
          <w:b/>
          <w:bCs/>
        </w:rPr>
      </w:pPr>
      <w:r>
        <w:rPr>
          <w:rStyle w:val="FootnoteCharacters"/>
        </w:rPr>
        <w:footnoteRef/>
      </w:r>
      <w:r>
        <w:rPr>
          <w:b/>
          <w:bCs/>
          <w:rtl/>
        </w:rPr>
        <w:t>מה:</w:t>
      </w:r>
    </w:p>
  </w:footnote>
  <w:footnote w:id="126">
    <w:p w:rsidR="00B63280" w:rsidRDefault="00B63280">
      <w:pPr>
        <w:pStyle w:val="FootnoteText"/>
        <w:rPr>
          <w:b/>
          <w:bCs/>
        </w:rPr>
      </w:pPr>
      <w:r>
        <w:rPr>
          <w:rStyle w:val="FootnoteCharacters"/>
        </w:rPr>
        <w:footnoteRef/>
      </w:r>
      <w:r>
        <w:rPr>
          <w:b/>
          <w:bCs/>
          <w:rtl/>
        </w:rPr>
        <w:t>מז:</w:t>
      </w:r>
    </w:p>
  </w:footnote>
  <w:footnote w:id="127">
    <w:p w:rsidR="00B63280" w:rsidRDefault="00B63280">
      <w:pPr>
        <w:pStyle w:val="FootnoteText"/>
        <w:rPr>
          <w:b/>
          <w:bCs/>
        </w:rPr>
      </w:pPr>
      <w:r>
        <w:rPr>
          <w:rStyle w:val="FootnoteCharacters"/>
        </w:rPr>
        <w:footnoteRef/>
      </w:r>
      <w:r>
        <w:rPr>
          <w:b/>
          <w:bCs/>
          <w:rtl/>
        </w:rPr>
        <w:t>מז:</w:t>
      </w:r>
    </w:p>
  </w:footnote>
  <w:footnote w:id="128">
    <w:p w:rsidR="00B63280" w:rsidRDefault="00B63280">
      <w:pPr>
        <w:pStyle w:val="FootnoteText"/>
        <w:rPr>
          <w:b/>
          <w:bCs/>
        </w:rPr>
      </w:pPr>
      <w:r>
        <w:rPr>
          <w:rStyle w:val="FootnoteCharacters"/>
        </w:rPr>
        <w:footnoteRef/>
      </w:r>
      <w:r>
        <w:rPr>
          <w:b/>
          <w:bCs/>
          <w:rtl/>
        </w:rPr>
        <w:t>מז:</w:t>
      </w:r>
    </w:p>
  </w:footnote>
  <w:footnote w:id="129">
    <w:p w:rsidR="00B63280" w:rsidRDefault="00B63280">
      <w:pPr>
        <w:pStyle w:val="FootnoteText"/>
        <w:rPr>
          <w:b/>
          <w:bCs/>
        </w:rPr>
      </w:pPr>
      <w:r>
        <w:rPr>
          <w:rStyle w:val="FootnoteCharacters"/>
        </w:rPr>
        <w:footnoteRef/>
      </w:r>
      <w:r>
        <w:rPr>
          <w:b/>
          <w:bCs/>
          <w:rtl/>
        </w:rPr>
        <w:t>מה:</w:t>
      </w:r>
    </w:p>
  </w:footnote>
  <w:footnote w:id="130">
    <w:p w:rsidR="00B63280" w:rsidRDefault="00B63280">
      <w:pPr>
        <w:pStyle w:val="FootnoteText"/>
      </w:pPr>
      <w:r>
        <w:rPr>
          <w:rStyle w:val="FootnoteCharacters"/>
        </w:rPr>
        <w:footnoteRef/>
      </w:r>
      <w:r>
        <w:rPr>
          <w:rtl/>
        </w:rPr>
        <w:t>מסתמא, אף זה צירוף, והוא שמצרפים השכינה שביניהם. (ואם תאמר הרי אין שכינה איש. וי"ל שהיא מעולה מאיש. ואם תאמר הרי שכינה לא אכל. וי"ל שלא צריך לכך כדי לצרף שכינה, אלא כדי לצרף אדם. ותחשב.)</w:t>
      </w:r>
    </w:p>
  </w:footnote>
  <w:footnote w:id="131">
    <w:p w:rsidR="00B63280" w:rsidRDefault="00B63280">
      <w:pPr>
        <w:pStyle w:val="FootnoteText"/>
        <w:rPr>
          <w:b/>
          <w:bCs/>
        </w:rPr>
      </w:pPr>
      <w:r>
        <w:rPr>
          <w:rStyle w:val="FootnoteCharacters"/>
        </w:rPr>
        <w:footnoteRef/>
      </w:r>
      <w:r>
        <w:rPr>
          <w:b/>
          <w:bCs/>
          <w:rtl/>
        </w:rPr>
        <w:t>מז:</w:t>
      </w:r>
    </w:p>
  </w:footnote>
  <w:footnote w:id="132">
    <w:p w:rsidR="00B63280" w:rsidRDefault="00B63280">
      <w:pPr>
        <w:pStyle w:val="FootnoteText"/>
        <w:rPr>
          <w:b/>
          <w:bCs/>
        </w:rPr>
      </w:pPr>
      <w:r>
        <w:rPr>
          <w:rStyle w:val="FootnoteCharacters"/>
        </w:rPr>
        <w:footnoteRef/>
      </w:r>
      <w:r>
        <w:rPr>
          <w:b/>
          <w:bCs/>
          <w:rtl/>
        </w:rPr>
        <w:t>מו.</w:t>
      </w:r>
    </w:p>
  </w:footnote>
  <w:footnote w:id="133">
    <w:p w:rsidR="00B63280" w:rsidRDefault="00B63280">
      <w:pPr>
        <w:pStyle w:val="FootnoteText"/>
        <w:rPr>
          <w:b/>
          <w:bCs/>
        </w:rPr>
      </w:pPr>
      <w:r>
        <w:rPr>
          <w:rStyle w:val="FootnoteCharacters"/>
        </w:rPr>
        <w:footnoteRef/>
      </w:r>
      <w:r>
        <w:rPr>
          <w:b/>
          <w:bCs/>
          <w:rtl/>
        </w:rPr>
        <w:t>מו.</w:t>
      </w:r>
    </w:p>
  </w:footnote>
  <w:footnote w:id="134">
    <w:p w:rsidR="00B63280" w:rsidRDefault="00B63280">
      <w:pPr>
        <w:pStyle w:val="FootnoteText"/>
        <w:rPr>
          <w:b/>
          <w:bCs/>
        </w:rPr>
      </w:pPr>
      <w:r>
        <w:rPr>
          <w:rStyle w:val="FootnoteCharacters"/>
        </w:rPr>
        <w:footnoteRef/>
      </w:r>
      <w:r>
        <w:rPr>
          <w:rtl/>
        </w:rPr>
        <w:t xml:space="preserve"> </w:t>
      </w:r>
      <w:r>
        <w:rPr>
          <w:b/>
          <w:bCs/>
          <w:rtl/>
        </w:rPr>
        <w:t>מח:</w:t>
      </w:r>
    </w:p>
  </w:footnote>
  <w:footnote w:id="135">
    <w:p w:rsidR="00B63280" w:rsidRDefault="00B63280">
      <w:pPr>
        <w:pStyle w:val="FootnoteText"/>
        <w:rPr>
          <w:b/>
          <w:bCs/>
        </w:rPr>
      </w:pPr>
      <w:r>
        <w:rPr>
          <w:rStyle w:val="FootnoteCharacters"/>
        </w:rPr>
        <w:footnoteRef/>
      </w:r>
      <w:r>
        <w:rPr>
          <w:rtl/>
        </w:rPr>
        <w:t xml:space="preserve"> </w:t>
      </w:r>
      <w:r>
        <w:rPr>
          <w:b/>
          <w:bCs/>
          <w:rtl/>
        </w:rPr>
        <w:t>מח:</w:t>
      </w:r>
    </w:p>
  </w:footnote>
  <w:footnote w:id="136">
    <w:p w:rsidR="00B63280" w:rsidRDefault="00B63280">
      <w:pPr>
        <w:pStyle w:val="FootnoteText"/>
      </w:pPr>
      <w:r>
        <w:rPr>
          <w:rStyle w:val="FootnoteCharacters"/>
        </w:rPr>
        <w:footnoteRef/>
      </w:r>
      <w:r>
        <w:rPr>
          <w:rtl/>
        </w:rPr>
        <w:t xml:space="preserve"> </w:t>
      </w:r>
      <w:r>
        <w:rPr>
          <w:rtl/>
        </w:rPr>
        <w:t>לעיל (מה.), הזכיר גמ' קרא אחר: "כי שם ה' אקרא הבו גודל לאלקינו." לכאו', זה עוד מקור.</w:t>
      </w:r>
    </w:p>
  </w:footnote>
  <w:footnote w:id="137">
    <w:p w:rsidR="00B63280" w:rsidRDefault="00B63280">
      <w:pPr>
        <w:pStyle w:val="FootnoteText"/>
      </w:pPr>
      <w:r>
        <w:rPr>
          <w:rStyle w:val="FootnoteCharacters"/>
        </w:rPr>
        <w:footnoteRef/>
      </w:r>
      <w:r>
        <w:rPr>
          <w:rtl/>
        </w:rPr>
        <w:t xml:space="preserve"> </w:t>
      </w:r>
      <w:r>
        <w:rPr>
          <w:rtl/>
        </w:rPr>
        <w:t xml:space="preserve">נבאר </w:t>
      </w:r>
      <w:r>
        <w:rPr>
          <w:rtl/>
        </w:rPr>
        <w:t>ברכת הזן כאן; אפשר שאין כאן שלש ברכות, אלא אחד מהם הוא חלק מברכת הזימון.</w:t>
      </w:r>
    </w:p>
  </w:footnote>
  <w:footnote w:id="138">
    <w:p w:rsidR="00B63280" w:rsidRDefault="00B63280">
      <w:pPr>
        <w:pStyle w:val="FootnoteText"/>
        <w:rPr>
          <w:b/>
          <w:bCs/>
        </w:rPr>
      </w:pPr>
      <w:r>
        <w:rPr>
          <w:rStyle w:val="FootnoteCharacters"/>
        </w:rPr>
        <w:footnoteRef/>
      </w:r>
      <w:r>
        <w:rPr>
          <w:rtl/>
        </w:rPr>
        <w:t xml:space="preserve"> </w:t>
      </w:r>
      <w:r>
        <w:rPr>
          <w:b/>
          <w:bCs/>
          <w:rtl/>
        </w:rPr>
        <w:t>מח:</w:t>
      </w:r>
    </w:p>
  </w:footnote>
  <w:footnote w:id="139">
    <w:p w:rsidR="00B63280" w:rsidRDefault="00B63280">
      <w:pPr>
        <w:pStyle w:val="FootnoteText"/>
        <w:rPr>
          <w:b/>
          <w:bCs/>
        </w:rPr>
      </w:pPr>
      <w:r>
        <w:rPr>
          <w:rStyle w:val="FootnoteCharacters"/>
        </w:rPr>
        <w:footnoteRef/>
      </w:r>
      <w:r>
        <w:rPr>
          <w:rtl/>
        </w:rPr>
        <w:t xml:space="preserve"> </w:t>
      </w:r>
      <w:r>
        <w:rPr>
          <w:b/>
          <w:bCs/>
          <w:rtl/>
        </w:rPr>
        <w:t>מח:</w:t>
      </w:r>
    </w:p>
  </w:footnote>
  <w:footnote w:id="140">
    <w:p w:rsidR="00B63280" w:rsidRDefault="00B63280">
      <w:pPr>
        <w:pStyle w:val="FootnoteText"/>
        <w:rPr>
          <w:b/>
          <w:bCs/>
        </w:rPr>
      </w:pPr>
      <w:r>
        <w:rPr>
          <w:rStyle w:val="FootnoteCharacters"/>
        </w:rPr>
        <w:footnoteRef/>
      </w:r>
      <w:r>
        <w:rPr>
          <w:b/>
          <w:bCs/>
          <w:rtl/>
        </w:rPr>
        <w:t>מט.</w:t>
      </w:r>
    </w:p>
  </w:footnote>
  <w:footnote w:id="141">
    <w:p w:rsidR="00B63280" w:rsidRDefault="00B63280">
      <w:pPr>
        <w:pStyle w:val="FootnoteText"/>
        <w:rPr>
          <w:b/>
          <w:bCs/>
        </w:rPr>
      </w:pPr>
      <w:r>
        <w:rPr>
          <w:rStyle w:val="FootnoteCharacters"/>
        </w:rPr>
        <w:footnoteRef/>
      </w:r>
      <w:r>
        <w:rPr>
          <w:rtl/>
        </w:rPr>
        <w:t xml:space="preserve"> </w:t>
      </w:r>
      <w:r>
        <w:rPr>
          <w:b/>
          <w:bCs/>
          <w:rtl/>
        </w:rPr>
        <w:t>מח:</w:t>
      </w:r>
    </w:p>
  </w:footnote>
  <w:footnote w:id="142">
    <w:p w:rsidR="00B63280" w:rsidRDefault="00B63280">
      <w:pPr>
        <w:pStyle w:val="FootnoteText"/>
        <w:rPr>
          <w:b/>
          <w:bCs/>
        </w:rPr>
      </w:pPr>
      <w:r>
        <w:rPr>
          <w:rStyle w:val="FootnoteCharacters"/>
        </w:rPr>
        <w:footnoteRef/>
      </w:r>
      <w:r>
        <w:rPr>
          <w:b/>
          <w:bCs/>
          <w:rtl/>
        </w:rPr>
        <w:t>מו.</w:t>
      </w:r>
    </w:p>
  </w:footnote>
  <w:footnote w:id="143">
    <w:p w:rsidR="00B63280" w:rsidRDefault="00B63280">
      <w:pPr>
        <w:pStyle w:val="FootnoteText"/>
        <w:rPr>
          <w:b/>
          <w:bCs/>
        </w:rPr>
      </w:pPr>
      <w:r>
        <w:rPr>
          <w:rStyle w:val="FootnoteCharacters"/>
        </w:rPr>
        <w:footnoteRef/>
      </w:r>
      <w:r>
        <w:rPr>
          <w:b/>
          <w:bCs/>
          <w:rtl/>
        </w:rPr>
        <w:t>מו:</w:t>
      </w:r>
    </w:p>
  </w:footnote>
  <w:footnote w:id="144">
    <w:p w:rsidR="00B63280" w:rsidRDefault="00B63280">
      <w:pPr>
        <w:pStyle w:val="FootnoteText"/>
        <w:rPr>
          <w:b/>
          <w:bCs/>
        </w:rPr>
      </w:pPr>
      <w:r>
        <w:rPr>
          <w:rStyle w:val="FootnoteCharacters"/>
        </w:rPr>
        <w:footnoteRef/>
      </w:r>
      <w:r>
        <w:rPr>
          <w:b/>
          <w:bCs/>
          <w:rtl/>
        </w:rPr>
        <w:t>מד.</w:t>
      </w:r>
    </w:p>
  </w:footnote>
  <w:footnote w:id="145">
    <w:p w:rsidR="00B63280" w:rsidRDefault="00B63280">
      <w:pPr>
        <w:pStyle w:val="FootnoteText"/>
        <w:rPr>
          <w:b/>
          <w:bCs/>
        </w:rPr>
      </w:pPr>
      <w:r>
        <w:rPr>
          <w:rStyle w:val="FootnoteCharacters"/>
        </w:rPr>
        <w:footnoteRef/>
      </w:r>
      <w:r>
        <w:rPr>
          <w:b/>
          <w:bCs/>
          <w:rtl/>
        </w:rPr>
        <w:t>מד.</w:t>
      </w:r>
    </w:p>
  </w:footnote>
  <w:footnote w:id="146">
    <w:p w:rsidR="00B63280" w:rsidRDefault="00B63280">
      <w:pPr>
        <w:pStyle w:val="FootnoteText"/>
        <w:rPr>
          <w:b/>
          <w:bCs/>
        </w:rPr>
      </w:pPr>
      <w:r>
        <w:rPr>
          <w:rStyle w:val="FootnoteCharacters"/>
        </w:rPr>
        <w:footnoteRef/>
      </w:r>
      <w:r>
        <w:rPr>
          <w:b/>
          <w:bCs/>
          <w:rtl/>
        </w:rPr>
        <w:t>מד:</w:t>
      </w:r>
    </w:p>
  </w:footnote>
  <w:footnote w:id="147">
    <w:p w:rsidR="00B63280" w:rsidRDefault="00B63280">
      <w:pPr>
        <w:pStyle w:val="FootnoteText"/>
        <w:rPr>
          <w:b/>
          <w:bCs/>
        </w:rPr>
      </w:pPr>
      <w:r>
        <w:rPr>
          <w:rStyle w:val="FootnoteCharacters"/>
        </w:rPr>
        <w:footnoteRef/>
      </w:r>
      <w:r>
        <w:rPr>
          <w:b/>
          <w:bCs/>
          <w:rtl/>
        </w:rPr>
        <w:t>מד:</w:t>
      </w:r>
    </w:p>
  </w:footnote>
  <w:footnote w:id="148">
    <w:p w:rsidR="00B63280" w:rsidRDefault="00B63280">
      <w:pPr>
        <w:pStyle w:val="FootnoteText"/>
        <w:rPr>
          <w:b/>
          <w:bCs/>
        </w:rPr>
      </w:pPr>
      <w:r>
        <w:rPr>
          <w:rStyle w:val="FootnoteCharacters"/>
        </w:rPr>
        <w:footnoteRef/>
      </w:r>
      <w:r>
        <w:rPr>
          <w:b/>
          <w:bCs/>
          <w:rtl/>
        </w:rPr>
        <w:t>מד.</w:t>
      </w:r>
    </w:p>
  </w:footnote>
  <w:footnote w:id="149">
    <w:p w:rsidR="00B63280" w:rsidRDefault="00B63280">
      <w:pPr>
        <w:pStyle w:val="FootnoteText"/>
        <w:rPr>
          <w:b/>
          <w:bCs/>
        </w:rPr>
      </w:pPr>
      <w:r>
        <w:rPr>
          <w:rStyle w:val="FootnoteCharacters"/>
        </w:rPr>
        <w:footnoteRef/>
      </w:r>
      <w:r>
        <w:rPr>
          <w:rtl/>
        </w:rPr>
        <w:t xml:space="preserve"> </w:t>
      </w:r>
      <w:r>
        <w:rPr>
          <w:b/>
          <w:bCs/>
          <w:rtl/>
        </w:rPr>
        <w:t>מ.</w:t>
      </w:r>
    </w:p>
  </w:footnote>
  <w:footnote w:id="150">
    <w:p w:rsidR="00B63280" w:rsidRDefault="00B63280">
      <w:pPr>
        <w:pStyle w:val="FootnoteText"/>
        <w:rPr>
          <w:b/>
          <w:bCs/>
        </w:rPr>
      </w:pPr>
      <w:r>
        <w:rPr>
          <w:rStyle w:val="FootnoteCharacters"/>
        </w:rPr>
        <w:footnoteRef/>
      </w:r>
      <w:r>
        <w:rPr>
          <w:rtl/>
        </w:rPr>
        <w:t xml:space="preserve"> </w:t>
      </w:r>
      <w:r>
        <w:rPr>
          <w:b/>
          <w:bCs/>
          <w:rtl/>
        </w:rPr>
        <w:t>לה.</w:t>
      </w:r>
    </w:p>
  </w:footnote>
  <w:footnote w:id="151">
    <w:p w:rsidR="00B63280" w:rsidRDefault="00B63280">
      <w:pPr>
        <w:pStyle w:val="FootnoteText"/>
        <w:rPr>
          <w:b/>
          <w:bCs/>
        </w:rPr>
      </w:pPr>
      <w:r>
        <w:rPr>
          <w:rStyle w:val="FootnoteCharacters"/>
        </w:rPr>
        <w:footnoteRef/>
      </w:r>
      <w:r>
        <w:rPr>
          <w:rtl/>
        </w:rPr>
        <w:t xml:space="preserve"> </w:t>
      </w:r>
      <w:r>
        <w:rPr>
          <w:b/>
          <w:bCs/>
          <w:rtl/>
        </w:rPr>
        <w:t>לז.</w:t>
      </w:r>
    </w:p>
  </w:footnote>
  <w:footnote w:id="152">
    <w:p w:rsidR="00B63280" w:rsidRDefault="00B63280">
      <w:pPr>
        <w:pStyle w:val="FootnoteText"/>
      </w:pPr>
      <w:r>
        <w:rPr>
          <w:rStyle w:val="FootnoteCharacters"/>
        </w:rPr>
        <w:footnoteRef/>
      </w:r>
      <w:r>
        <w:rPr>
          <w:rtl/>
        </w:rPr>
        <w:t xml:space="preserve"> </w:t>
      </w:r>
      <w:r>
        <w:rPr>
          <w:rtl/>
        </w:rPr>
        <w:t>ר"ל, שיכול לומר, "זה טוב, ברוך ה' לו," ואף שלא אומר לשון ברכה שקבעו חז"ל.</w:t>
      </w:r>
    </w:p>
  </w:footnote>
  <w:footnote w:id="153">
    <w:p w:rsidR="00B63280" w:rsidRDefault="00B63280">
      <w:pPr>
        <w:pStyle w:val="FootnoteText"/>
        <w:rPr>
          <w:b/>
          <w:bCs/>
        </w:rPr>
      </w:pPr>
      <w:r>
        <w:rPr>
          <w:rStyle w:val="FootnoteCharacters"/>
        </w:rPr>
        <w:footnoteRef/>
      </w:r>
      <w:r>
        <w:rPr>
          <w:b/>
          <w:bCs/>
          <w:rtl/>
        </w:rPr>
        <w:t>מ:</w:t>
      </w:r>
    </w:p>
  </w:footnote>
  <w:footnote w:id="154">
    <w:p w:rsidR="00B63280" w:rsidRDefault="00B63280">
      <w:pPr>
        <w:pStyle w:val="FootnoteText"/>
        <w:rPr>
          <w:b/>
          <w:bCs/>
        </w:rPr>
      </w:pPr>
      <w:r>
        <w:rPr>
          <w:rStyle w:val="FootnoteCharacters"/>
        </w:rPr>
        <w:footnoteRef/>
      </w:r>
      <w:r>
        <w:rPr>
          <w:b/>
          <w:bCs/>
          <w:rtl/>
        </w:rPr>
        <w:t>מ:</w:t>
      </w:r>
    </w:p>
  </w:footnote>
  <w:footnote w:id="155">
    <w:p w:rsidR="00B63280" w:rsidRDefault="00B63280">
      <w:pPr>
        <w:pStyle w:val="FootnoteText"/>
        <w:rPr>
          <w:b/>
          <w:bCs/>
        </w:rPr>
      </w:pPr>
      <w:r>
        <w:rPr>
          <w:rStyle w:val="FootnoteCharacters"/>
        </w:rPr>
        <w:footnoteRef/>
      </w:r>
      <w:r>
        <w:rPr>
          <w:b/>
          <w:bCs/>
          <w:rtl/>
        </w:rPr>
        <w:t>מ:</w:t>
      </w:r>
    </w:p>
  </w:footnote>
  <w:footnote w:id="156">
    <w:p w:rsidR="00B63280" w:rsidRDefault="00B63280">
      <w:pPr>
        <w:pStyle w:val="FootnoteText"/>
      </w:pPr>
      <w:r>
        <w:rPr>
          <w:rStyle w:val="FootnoteCharacters"/>
        </w:rPr>
        <w:footnoteRef/>
      </w:r>
      <w:r>
        <w:rPr>
          <w:rtl/>
        </w:rPr>
        <w:t>גמ’ מק’ ומסיק ש"הא ברטבתא הא ביבשתא.” לא מפרש איזה מברכים עליו ואיזה לא מברכים עליו.</w:t>
      </w:r>
    </w:p>
  </w:footnote>
  <w:footnote w:id="157">
    <w:p w:rsidR="00B63280" w:rsidRDefault="00B63280">
      <w:pPr>
        <w:pStyle w:val="FootnoteText"/>
        <w:rPr>
          <w:b/>
          <w:bCs/>
        </w:rPr>
      </w:pPr>
      <w:r>
        <w:rPr>
          <w:rStyle w:val="FootnoteCharacters"/>
        </w:rPr>
        <w:footnoteRef/>
      </w:r>
      <w:r>
        <w:rPr>
          <w:b/>
          <w:bCs/>
          <w:rtl/>
        </w:rPr>
        <w:t>לו:</w:t>
      </w:r>
    </w:p>
  </w:footnote>
  <w:footnote w:id="158">
    <w:p w:rsidR="00B63280" w:rsidRDefault="00B63280">
      <w:pPr>
        <w:pStyle w:val="FootnoteText"/>
        <w:rPr>
          <w:b/>
          <w:bCs/>
        </w:rPr>
      </w:pPr>
      <w:r>
        <w:rPr>
          <w:rStyle w:val="FootnoteCharacters"/>
        </w:rPr>
        <w:footnoteRef/>
      </w:r>
      <w:r>
        <w:rPr>
          <w:b/>
          <w:bCs/>
          <w:rtl/>
        </w:rPr>
        <w:t>מז.</w:t>
      </w:r>
      <w:r>
        <w:rPr>
          <w:rtl/>
        </w:rPr>
        <w:t>, וגם ב"ק תחילת פרק תשיעי.</w:t>
      </w:r>
    </w:p>
  </w:footnote>
  <w:footnote w:id="159">
    <w:p w:rsidR="00B63280" w:rsidRDefault="00B63280">
      <w:pPr>
        <w:pStyle w:val="FootnoteText"/>
        <w:rPr>
          <w:b/>
          <w:bCs/>
        </w:rPr>
      </w:pPr>
      <w:r>
        <w:rPr>
          <w:rStyle w:val="FootnoteCharacters"/>
        </w:rPr>
        <w:footnoteRef/>
      </w:r>
      <w:r>
        <w:rPr>
          <w:b/>
          <w:bCs/>
          <w:rtl/>
        </w:rPr>
        <w:t>מד:</w:t>
      </w:r>
    </w:p>
  </w:footnote>
  <w:footnote w:id="160">
    <w:p w:rsidR="00B63280" w:rsidRDefault="00B63280">
      <w:pPr>
        <w:pStyle w:val="FootnoteText"/>
        <w:rPr>
          <w:b/>
          <w:bCs/>
        </w:rPr>
      </w:pPr>
      <w:r>
        <w:rPr>
          <w:rStyle w:val="FootnoteCharacters"/>
        </w:rPr>
        <w:footnoteRef/>
      </w:r>
      <w:r>
        <w:rPr>
          <w:b/>
          <w:bCs/>
          <w:rtl/>
        </w:rPr>
        <w:t>כ:</w:t>
      </w:r>
    </w:p>
  </w:footnote>
  <w:footnote w:id="161">
    <w:p w:rsidR="00B63280" w:rsidRDefault="00B63280">
      <w:pPr>
        <w:pStyle w:val="FootnoteText"/>
        <w:rPr>
          <w:b/>
          <w:bCs/>
        </w:rPr>
      </w:pPr>
      <w:r>
        <w:rPr>
          <w:rStyle w:val="FootnoteCharacters"/>
        </w:rPr>
        <w:footnoteRef/>
      </w:r>
      <w:r>
        <w:rPr>
          <w:b/>
          <w:bCs/>
          <w:rtl/>
        </w:rPr>
        <w:t>מט:</w:t>
      </w:r>
    </w:p>
  </w:footnote>
  <w:footnote w:id="162">
    <w:p w:rsidR="00B63280" w:rsidRDefault="00B63280">
      <w:pPr>
        <w:pStyle w:val="FootnoteText"/>
        <w:rPr>
          <w:b/>
          <w:bCs/>
        </w:rPr>
      </w:pPr>
      <w:r>
        <w:rPr>
          <w:rStyle w:val="FootnoteCharacters"/>
        </w:rPr>
        <w:footnoteRef/>
      </w:r>
      <w:r>
        <w:rPr>
          <w:b/>
          <w:bCs/>
          <w:rtl/>
        </w:rPr>
        <w:t>מט:</w:t>
      </w:r>
    </w:p>
  </w:footnote>
  <w:footnote w:id="163">
    <w:p w:rsidR="00B63280" w:rsidRDefault="00B63280">
      <w:pPr>
        <w:pStyle w:val="FootnoteText"/>
        <w:rPr>
          <w:b/>
          <w:bCs/>
        </w:rPr>
      </w:pPr>
      <w:r>
        <w:rPr>
          <w:rStyle w:val="FootnoteCharacters"/>
        </w:rPr>
        <w:footnoteRef/>
      </w:r>
      <w:r>
        <w:rPr>
          <w:b/>
          <w:bCs/>
          <w:rtl/>
        </w:rPr>
        <w:t>מ.</w:t>
      </w:r>
    </w:p>
  </w:footnote>
  <w:footnote w:id="164">
    <w:p w:rsidR="00B63280" w:rsidRDefault="00B63280">
      <w:pPr>
        <w:pStyle w:val="FootnoteText"/>
        <w:rPr>
          <w:b/>
          <w:bCs/>
        </w:rPr>
      </w:pPr>
      <w:r>
        <w:rPr>
          <w:rStyle w:val="FootnoteCharacters"/>
        </w:rPr>
        <w:footnoteRef/>
      </w:r>
      <w:r>
        <w:rPr>
          <w:rtl/>
        </w:rPr>
        <w:t xml:space="preserve"> </w:t>
      </w:r>
      <w:r>
        <w:rPr>
          <w:b/>
          <w:bCs/>
          <w:rtl/>
        </w:rPr>
        <w:t>מח:</w:t>
      </w:r>
    </w:p>
  </w:footnote>
  <w:footnote w:id="165">
    <w:p w:rsidR="00B63280" w:rsidRDefault="00B63280">
      <w:pPr>
        <w:pStyle w:val="FootnoteText"/>
        <w:rPr>
          <w:b/>
          <w:bCs/>
        </w:rPr>
      </w:pPr>
      <w:r>
        <w:rPr>
          <w:rStyle w:val="FootnoteCharacters"/>
        </w:rPr>
        <w:footnoteRef/>
      </w:r>
      <w:r>
        <w:rPr>
          <w:rtl/>
        </w:rPr>
        <w:t xml:space="preserve"> </w:t>
      </w:r>
      <w:r>
        <w:rPr>
          <w:b/>
          <w:bCs/>
          <w:rtl/>
        </w:rPr>
        <w:t>מט.</w:t>
      </w:r>
    </w:p>
  </w:footnote>
  <w:footnote w:id="166">
    <w:p w:rsidR="00B63280" w:rsidRDefault="00B63280">
      <w:pPr>
        <w:pStyle w:val="FootnoteText"/>
        <w:rPr>
          <w:b/>
          <w:bCs/>
        </w:rPr>
      </w:pPr>
      <w:r>
        <w:rPr>
          <w:rStyle w:val="FootnoteCharacters"/>
        </w:rPr>
        <w:footnoteRef/>
      </w:r>
      <w:r>
        <w:rPr>
          <w:rtl/>
        </w:rPr>
        <w:t xml:space="preserve"> </w:t>
      </w:r>
      <w:r>
        <w:rPr>
          <w:b/>
          <w:bCs/>
          <w:rtl/>
        </w:rPr>
        <w:t>מט:</w:t>
      </w:r>
    </w:p>
  </w:footnote>
  <w:footnote w:id="167">
    <w:p w:rsidR="00B63280" w:rsidRDefault="00B63280">
      <w:pPr>
        <w:pStyle w:val="FootnoteText"/>
        <w:rPr>
          <w:b/>
          <w:bCs/>
        </w:rPr>
      </w:pPr>
      <w:r>
        <w:rPr>
          <w:rStyle w:val="FootnoteCharacters"/>
        </w:rPr>
        <w:footnoteRef/>
      </w:r>
      <w:r>
        <w:rPr>
          <w:b/>
          <w:bCs/>
          <w:rtl/>
        </w:rPr>
        <w:t>מד.</w:t>
      </w:r>
    </w:p>
  </w:footnote>
  <w:footnote w:id="168">
    <w:p w:rsidR="00B63280" w:rsidRDefault="00B63280">
      <w:pPr>
        <w:pStyle w:val="FootnoteText"/>
      </w:pPr>
      <w:r>
        <w:rPr>
          <w:rStyle w:val="FootnoteCharacters"/>
        </w:rPr>
        <w:footnoteRef/>
      </w:r>
      <w:r>
        <w:rPr>
          <w:rtl/>
        </w:rPr>
        <w:t>לכאו’, זה רק על פת. (כ"נ מגמ’ לט.)</w:t>
      </w:r>
    </w:p>
  </w:footnote>
  <w:footnote w:id="169">
    <w:p w:rsidR="00B63280" w:rsidRDefault="00B63280">
      <w:pPr>
        <w:pStyle w:val="FootnoteText"/>
        <w:rPr>
          <w:b/>
          <w:bCs/>
        </w:rPr>
      </w:pPr>
      <w:r>
        <w:rPr>
          <w:rStyle w:val="FootnoteCharacters"/>
        </w:rPr>
        <w:footnoteRef/>
      </w:r>
      <w:r>
        <w:rPr>
          <w:b/>
          <w:bCs/>
          <w:rtl/>
        </w:rPr>
        <w:t>לט.</w:t>
      </w:r>
    </w:p>
  </w:footnote>
  <w:footnote w:id="170">
    <w:p w:rsidR="00B63280" w:rsidRDefault="00B63280">
      <w:pPr>
        <w:pStyle w:val="FootnoteText"/>
        <w:rPr>
          <w:b/>
          <w:bCs/>
        </w:rPr>
      </w:pPr>
      <w:r>
        <w:rPr>
          <w:rStyle w:val="FootnoteCharacters"/>
        </w:rPr>
        <w:footnoteRef/>
      </w:r>
      <w:r>
        <w:rPr>
          <w:b/>
          <w:bCs/>
          <w:rtl/>
        </w:rPr>
        <w:t>לט:</w:t>
      </w:r>
    </w:p>
  </w:footnote>
  <w:footnote w:id="171">
    <w:p w:rsidR="00B63280" w:rsidRDefault="00B63280">
      <w:pPr>
        <w:pStyle w:val="FootnoteText"/>
      </w:pPr>
      <w:r>
        <w:rPr>
          <w:rStyle w:val="FootnoteCharacters"/>
        </w:rPr>
        <w:footnoteRef/>
      </w:r>
      <w:r>
        <w:rPr>
          <w:rtl/>
        </w:rPr>
        <w:t>איני יודע המקור לזה, אבל יודע אני שהוא נכון.</w:t>
      </w:r>
    </w:p>
  </w:footnote>
  <w:footnote w:id="172">
    <w:p w:rsidR="00B63280" w:rsidRDefault="00B63280">
      <w:pPr>
        <w:pStyle w:val="FootnoteText"/>
      </w:pPr>
      <w:r>
        <w:rPr>
          <w:rStyle w:val="FootnoteCharacters"/>
        </w:rPr>
        <w:footnoteRef/>
      </w:r>
      <w:r>
        <w:rPr>
          <w:rtl/>
        </w:rPr>
        <w:t xml:space="preserve">צריך </w:t>
      </w:r>
      <w:r>
        <w:rPr>
          <w:rtl/>
        </w:rPr>
        <w:t xml:space="preserve">להיות שלא כבר בירך ברכה אחרונה. (רש"י </w:t>
      </w:r>
      <w:r>
        <w:rPr>
          <w:b/>
          <w:bCs/>
          <w:rtl/>
        </w:rPr>
        <w:t>מב.</w:t>
      </w:r>
      <w:r>
        <w:rPr>
          <w:rtl/>
        </w:rPr>
        <w:t>)</w:t>
      </w:r>
    </w:p>
  </w:footnote>
  <w:footnote w:id="173">
    <w:p w:rsidR="00B63280" w:rsidRDefault="00B63280">
      <w:pPr>
        <w:pStyle w:val="FootnoteText"/>
      </w:pPr>
      <w:r>
        <w:rPr>
          <w:rStyle w:val="FootnoteCharacters"/>
        </w:rPr>
        <w:footnoteRef/>
      </w:r>
      <w:r>
        <w:rPr>
          <w:rtl/>
        </w:rPr>
        <w:t>ציור של גמ’ (מב.) הוא שאחד הוא לשתות, ואחד הוא לשרות אכילתו.</w:t>
      </w:r>
    </w:p>
  </w:footnote>
  <w:footnote w:id="174">
    <w:p w:rsidR="00B63280" w:rsidRDefault="00B63280">
      <w:pPr>
        <w:pStyle w:val="FootnoteText"/>
        <w:rPr>
          <w:b/>
          <w:bCs/>
        </w:rPr>
      </w:pPr>
      <w:r>
        <w:rPr>
          <w:rStyle w:val="FootnoteCharacters"/>
        </w:rPr>
        <w:footnoteRef/>
      </w:r>
      <w:r>
        <w:rPr>
          <w:b/>
          <w:bCs/>
          <w:rtl/>
        </w:rPr>
        <w:t>מב:</w:t>
      </w:r>
    </w:p>
  </w:footnote>
  <w:footnote w:id="175">
    <w:p w:rsidR="00B63280" w:rsidRDefault="00B63280">
      <w:pPr>
        <w:pStyle w:val="FootnoteText"/>
        <w:rPr>
          <w:b/>
          <w:bCs/>
        </w:rPr>
      </w:pPr>
      <w:r>
        <w:rPr>
          <w:rStyle w:val="FootnoteCharacters"/>
        </w:rPr>
        <w:footnoteRef/>
      </w:r>
      <w:r>
        <w:rPr>
          <w:b/>
          <w:bCs/>
          <w:rtl/>
        </w:rPr>
        <w:t>מא:</w:t>
      </w:r>
    </w:p>
  </w:footnote>
  <w:footnote w:id="176">
    <w:p w:rsidR="00B63280" w:rsidRDefault="00B63280">
      <w:pPr>
        <w:pStyle w:val="FootnoteText"/>
        <w:rPr>
          <w:b/>
          <w:bCs/>
        </w:rPr>
      </w:pPr>
      <w:r>
        <w:rPr>
          <w:rStyle w:val="FootnoteCharacters"/>
        </w:rPr>
        <w:footnoteRef/>
      </w:r>
      <w:r>
        <w:rPr>
          <w:b/>
          <w:bCs/>
          <w:rtl/>
        </w:rPr>
        <w:t>מב.</w:t>
      </w:r>
    </w:p>
  </w:footnote>
  <w:footnote w:id="177">
    <w:p w:rsidR="00B63280" w:rsidRDefault="00B63280">
      <w:pPr>
        <w:pStyle w:val="FootnoteText"/>
      </w:pPr>
      <w:r>
        <w:rPr>
          <w:rStyle w:val="FootnoteCharacters"/>
        </w:rPr>
        <w:footnoteRef/>
      </w:r>
      <w:r>
        <w:rPr>
          <w:rtl/>
        </w:rPr>
        <w:t>תוס’ מוסיף (מב.) שהוא ג"כ אחר שאמר, “הב לן ונבריך,” אף אם לא רחץ את ידיו.</w:t>
      </w:r>
    </w:p>
  </w:footnote>
  <w:footnote w:id="178">
    <w:p w:rsidR="00B63280" w:rsidRDefault="00B63280">
      <w:pPr>
        <w:pStyle w:val="FootnoteText"/>
        <w:rPr>
          <w:b/>
          <w:bCs/>
        </w:rPr>
      </w:pPr>
      <w:r>
        <w:rPr>
          <w:rStyle w:val="FootnoteCharacters"/>
        </w:rPr>
        <w:footnoteRef/>
      </w:r>
      <w:r>
        <w:rPr>
          <w:b/>
          <w:bCs/>
          <w:rtl/>
        </w:rPr>
        <w:t>מא:</w:t>
      </w:r>
    </w:p>
  </w:footnote>
  <w:footnote w:id="179">
    <w:p w:rsidR="00B63280" w:rsidRDefault="00B63280">
      <w:pPr>
        <w:pStyle w:val="FootnoteText"/>
        <w:rPr>
          <w:b/>
          <w:bCs/>
        </w:rPr>
      </w:pPr>
      <w:r>
        <w:rPr>
          <w:rStyle w:val="FootnoteCharacters"/>
        </w:rPr>
        <w:footnoteRef/>
      </w:r>
      <w:r>
        <w:rPr>
          <w:rtl/>
        </w:rPr>
        <w:t xml:space="preserve"> </w:t>
      </w:r>
      <w:r>
        <w:rPr>
          <w:b/>
          <w:bCs/>
          <w:rtl/>
        </w:rPr>
        <w:t>מב:</w:t>
      </w:r>
    </w:p>
  </w:footnote>
  <w:footnote w:id="180">
    <w:p w:rsidR="00B63280" w:rsidRDefault="00B63280">
      <w:pPr>
        <w:pStyle w:val="FootnoteText"/>
        <w:rPr>
          <w:b/>
          <w:bCs/>
        </w:rPr>
      </w:pPr>
      <w:r>
        <w:rPr>
          <w:rStyle w:val="FootnoteCharacters"/>
        </w:rPr>
        <w:footnoteRef/>
      </w:r>
      <w:r>
        <w:rPr>
          <w:b/>
          <w:bCs/>
          <w:rtl/>
        </w:rPr>
        <w:t>מד.</w:t>
      </w:r>
    </w:p>
  </w:footnote>
  <w:footnote w:id="181">
    <w:p w:rsidR="00B63280" w:rsidRDefault="00B63280">
      <w:pPr>
        <w:pStyle w:val="FootnoteText"/>
      </w:pPr>
      <w:r>
        <w:rPr>
          <w:rStyle w:val="FootnoteCharacters"/>
        </w:rPr>
        <w:footnoteRef/>
      </w:r>
      <w:r>
        <w:rPr>
          <w:rtl/>
        </w:rPr>
        <w:t>רש"י מפרש (מב.) שהוא דבר שאוכל להמשיך אכילה. איני מבין כל כך מה זה אומר; צריך להיות דבר שהוא סיבה לאכול אותו בין קודם מזון ובין לאחר מזון, שאז היו אוכלים אותו. אולי ר"ל שמשביע קצת. ותחשב.</w:t>
      </w:r>
    </w:p>
  </w:footnote>
  <w:footnote w:id="182">
    <w:p w:rsidR="00B63280" w:rsidRDefault="00B63280">
      <w:pPr>
        <w:pStyle w:val="FootnoteText"/>
        <w:rPr>
          <w:b/>
          <w:bCs/>
        </w:rPr>
      </w:pPr>
      <w:r>
        <w:rPr>
          <w:rStyle w:val="FootnoteCharacters"/>
        </w:rPr>
        <w:footnoteRef/>
      </w:r>
      <w:r>
        <w:rPr>
          <w:b/>
          <w:bCs/>
          <w:rtl/>
        </w:rPr>
        <w:t>מב.</w:t>
      </w:r>
    </w:p>
  </w:footnote>
  <w:footnote w:id="183">
    <w:p w:rsidR="00B63280" w:rsidRDefault="00B63280">
      <w:pPr>
        <w:pStyle w:val="FootnoteText"/>
        <w:rPr>
          <w:b/>
          <w:bCs/>
        </w:rPr>
      </w:pPr>
      <w:r>
        <w:rPr>
          <w:rStyle w:val="FootnoteCharacters"/>
        </w:rPr>
        <w:footnoteRef/>
      </w:r>
      <w:r>
        <w:rPr>
          <w:b/>
          <w:bCs/>
          <w:rtl/>
        </w:rPr>
        <w:t>מב:</w:t>
      </w:r>
    </w:p>
  </w:footnote>
  <w:footnote w:id="184">
    <w:p w:rsidR="00B63280" w:rsidRDefault="00B63280">
      <w:pPr>
        <w:pStyle w:val="FootnoteText"/>
        <w:rPr>
          <w:b/>
          <w:bCs/>
        </w:rPr>
      </w:pPr>
      <w:r>
        <w:rPr>
          <w:rStyle w:val="FootnoteCharacters"/>
        </w:rPr>
        <w:footnoteRef/>
      </w:r>
      <w:r>
        <w:rPr>
          <w:b/>
          <w:bCs/>
          <w:rtl/>
        </w:rPr>
        <w:t>מב.</w:t>
      </w:r>
    </w:p>
  </w:footnote>
  <w:footnote w:id="185">
    <w:p w:rsidR="00B63280" w:rsidRDefault="00B63280">
      <w:pPr>
        <w:pStyle w:val="FootnoteText"/>
        <w:rPr>
          <w:b/>
          <w:bCs/>
        </w:rPr>
      </w:pPr>
      <w:r>
        <w:rPr>
          <w:rStyle w:val="FootnoteCharacters"/>
        </w:rPr>
        <w:footnoteRef/>
      </w:r>
      <w:r>
        <w:rPr>
          <w:b/>
          <w:bCs/>
          <w:rtl/>
        </w:rPr>
        <w:t>מב:</w:t>
      </w:r>
    </w:p>
  </w:footnote>
  <w:footnote w:id="186">
    <w:p w:rsidR="00B63280" w:rsidRDefault="00B63280">
      <w:pPr>
        <w:pStyle w:val="FootnoteText"/>
      </w:pPr>
      <w:r>
        <w:rPr>
          <w:rStyle w:val="FootnoteCharacters"/>
        </w:rPr>
        <w:footnoteRef/>
      </w:r>
      <w:r>
        <w:rPr>
          <w:rtl/>
        </w:rPr>
        <w:t>לא מפרש גמ’ דינו (אם פוטר פרפרת או אם פוטר פת) כלל.</w:t>
      </w:r>
    </w:p>
  </w:footnote>
  <w:footnote w:id="187">
    <w:p w:rsidR="00B63280" w:rsidRDefault="00B63280">
      <w:pPr>
        <w:pStyle w:val="FootnoteText"/>
      </w:pPr>
      <w:r>
        <w:rPr>
          <w:rStyle w:val="FootnoteCharacters"/>
        </w:rPr>
        <w:footnoteRef/>
      </w:r>
      <w:r>
        <w:rPr>
          <w:rtl/>
        </w:rPr>
        <w:t xml:space="preserve">אין </w:t>
      </w:r>
      <w:r>
        <w:rPr>
          <w:rtl/>
        </w:rPr>
        <w:t>נפק"מ אם כולם אוכלים מלחם אחד או מכמה לחמים. (מב:) (עיין בהערות לקמן.)</w:t>
      </w:r>
    </w:p>
  </w:footnote>
  <w:footnote w:id="188">
    <w:p w:rsidR="00B63280" w:rsidRDefault="00B63280">
      <w:pPr>
        <w:pStyle w:val="FootnoteText"/>
        <w:rPr>
          <w:b/>
          <w:bCs/>
        </w:rPr>
      </w:pPr>
      <w:r>
        <w:rPr>
          <w:rStyle w:val="FootnoteCharacters"/>
        </w:rPr>
        <w:footnoteRef/>
      </w:r>
      <w:r>
        <w:rPr>
          <w:b/>
          <w:bCs/>
          <w:rtl/>
        </w:rPr>
        <w:t>מב:</w:t>
      </w:r>
    </w:p>
  </w:footnote>
  <w:footnote w:id="189">
    <w:p w:rsidR="00B63280" w:rsidRDefault="00B63280">
      <w:pPr>
        <w:pStyle w:val="FootnoteText"/>
        <w:rPr>
          <w:b/>
          <w:bCs/>
        </w:rPr>
      </w:pPr>
      <w:r>
        <w:rPr>
          <w:rStyle w:val="FootnoteCharacters"/>
        </w:rPr>
        <w:footnoteRef/>
      </w:r>
      <w:r>
        <w:rPr>
          <w:b/>
          <w:bCs/>
          <w:rtl/>
        </w:rPr>
        <w:t>מג.</w:t>
      </w:r>
    </w:p>
  </w:footnote>
  <w:footnote w:id="190">
    <w:p w:rsidR="00B63280" w:rsidRDefault="00B63280">
      <w:pPr>
        <w:pStyle w:val="FootnoteText"/>
        <w:rPr>
          <w:b/>
          <w:bCs/>
        </w:rPr>
      </w:pPr>
      <w:r>
        <w:rPr>
          <w:rStyle w:val="FootnoteCharacters"/>
        </w:rPr>
        <w:footnoteRef/>
      </w:r>
      <w:r>
        <w:rPr>
          <w:b/>
          <w:bCs/>
          <w:rtl/>
        </w:rPr>
        <w:t>מב:</w:t>
      </w:r>
    </w:p>
  </w:footnote>
  <w:footnote w:id="191">
    <w:p w:rsidR="00B63280" w:rsidRDefault="00B63280">
      <w:pPr>
        <w:pStyle w:val="FootnoteText"/>
      </w:pPr>
      <w:r>
        <w:rPr>
          <w:rStyle w:val="FootnoteCharacters"/>
        </w:rPr>
        <w:footnoteRef/>
      </w:r>
      <w:r>
        <w:rPr>
          <w:rtl/>
        </w:rPr>
        <w:t>רש"י מפרש (מב.) שצריך שיקבעו לאכול. לא מפרש למה. (אולי הוא מחפני שצריכים שיכוונו, ואם לא קבעו לאכול, לא מכוון. לא נראה שכן הוא המציאות מסברה.)</w:t>
      </w:r>
    </w:p>
  </w:footnote>
  <w:footnote w:id="192">
    <w:p w:rsidR="00B63280" w:rsidRDefault="00B63280">
      <w:pPr>
        <w:pStyle w:val="FootnoteText"/>
        <w:rPr>
          <w:b/>
          <w:bCs/>
        </w:rPr>
      </w:pPr>
      <w:r>
        <w:rPr>
          <w:rStyle w:val="FootnoteCharacters"/>
        </w:rPr>
        <w:footnoteRef/>
      </w:r>
      <w:r>
        <w:rPr>
          <w:b/>
          <w:bCs/>
          <w:rtl/>
        </w:rPr>
        <w:t>מב:</w:t>
      </w:r>
    </w:p>
  </w:footnote>
  <w:footnote w:id="193">
    <w:p w:rsidR="00B63280" w:rsidRDefault="00B63280">
      <w:pPr>
        <w:pStyle w:val="FootnoteText"/>
        <w:rPr>
          <w:b/>
          <w:bCs/>
        </w:rPr>
      </w:pPr>
      <w:r>
        <w:rPr>
          <w:rStyle w:val="FootnoteCharacters"/>
        </w:rPr>
        <w:footnoteRef/>
      </w:r>
      <w:r>
        <w:rPr>
          <w:b/>
          <w:bCs/>
          <w:rtl/>
        </w:rPr>
        <w:t>מג.</w:t>
      </w:r>
    </w:p>
  </w:footnote>
  <w:footnote w:id="194">
    <w:p w:rsidR="00B63280" w:rsidRDefault="00B63280">
      <w:pPr>
        <w:pStyle w:val="FootnoteText"/>
        <w:rPr>
          <w:b/>
          <w:bCs/>
        </w:rPr>
      </w:pPr>
      <w:r>
        <w:rPr>
          <w:rStyle w:val="FootnoteCharacters"/>
        </w:rPr>
        <w:footnoteRef/>
      </w:r>
      <w:r>
        <w:rPr>
          <w:b/>
          <w:bCs/>
          <w:rtl/>
        </w:rPr>
        <w:t>מג.</w:t>
      </w:r>
    </w:p>
  </w:footnote>
  <w:footnote w:id="195">
    <w:p w:rsidR="00B63280" w:rsidRDefault="00B63280">
      <w:pPr>
        <w:pStyle w:val="FootnoteText"/>
      </w:pPr>
      <w:r>
        <w:rPr>
          <w:rStyle w:val="FootnoteCharacters"/>
        </w:rPr>
        <w:footnoteRef/>
      </w:r>
      <w:r>
        <w:rPr>
          <w:rtl/>
        </w:rPr>
        <w:t>אורח עומד לעקור, ואז צריך להסב.</w:t>
      </w:r>
    </w:p>
  </w:footnote>
  <w:footnote w:id="196">
    <w:p w:rsidR="00B63280" w:rsidRDefault="00B63280">
      <w:pPr>
        <w:pStyle w:val="FootnoteText"/>
      </w:pPr>
      <w:r>
        <w:rPr>
          <w:rStyle w:val="FootnoteCharacters"/>
        </w:rPr>
        <w:footnoteRef/>
      </w:r>
      <w:r>
        <w:rPr>
          <w:rtl/>
        </w:rPr>
        <w:t xml:space="preserve">קצת </w:t>
      </w:r>
      <w:r>
        <w:rPr>
          <w:rtl/>
        </w:rPr>
        <w:t>צריך ביאור מהו הציור. אולי הציור הוא שכולם דרים שם, ואולי הציור הוא שכולם אורחים, ואין זה בעה"ב יותר מזה. ויש לדון.</w:t>
      </w:r>
    </w:p>
  </w:footnote>
  <w:footnote w:id="197">
    <w:p w:rsidR="00B63280" w:rsidRDefault="00B63280">
      <w:pPr>
        <w:pStyle w:val="FootnoteText"/>
        <w:rPr>
          <w:b/>
          <w:bCs/>
        </w:rPr>
      </w:pPr>
      <w:r>
        <w:rPr>
          <w:rStyle w:val="FootnoteCharacters"/>
        </w:rPr>
        <w:footnoteRef/>
      </w:r>
      <w:r>
        <w:rPr>
          <w:b/>
          <w:bCs/>
          <w:rtl/>
        </w:rPr>
        <w:t>מג.</w:t>
      </w:r>
    </w:p>
  </w:footnote>
  <w:footnote w:id="198">
    <w:p w:rsidR="00B63280" w:rsidRDefault="00B63280">
      <w:pPr>
        <w:pStyle w:val="FootnoteText"/>
        <w:rPr>
          <w:b/>
          <w:bCs/>
        </w:rPr>
      </w:pPr>
      <w:r>
        <w:rPr>
          <w:rStyle w:val="FootnoteCharacters"/>
        </w:rPr>
        <w:footnoteRef/>
      </w:r>
      <w:r>
        <w:rPr>
          <w:b/>
          <w:bCs/>
          <w:rtl/>
        </w:rPr>
        <w:t>מג.</w:t>
      </w:r>
    </w:p>
  </w:footnote>
  <w:footnote w:id="199">
    <w:p w:rsidR="00B63280" w:rsidRDefault="00B63280">
      <w:pPr>
        <w:pStyle w:val="FootnoteText"/>
        <w:rPr>
          <w:b/>
          <w:bCs/>
        </w:rPr>
      </w:pPr>
      <w:r>
        <w:rPr>
          <w:rStyle w:val="FootnoteCharacters"/>
        </w:rPr>
        <w:footnoteRef/>
      </w:r>
      <w:r>
        <w:rPr>
          <w:b/>
          <w:bCs/>
          <w:rtl/>
        </w:rPr>
        <w:t>מג.</w:t>
      </w:r>
    </w:p>
  </w:footnote>
  <w:footnote w:id="200">
    <w:p w:rsidR="00B63280" w:rsidRDefault="00B63280">
      <w:pPr>
        <w:pStyle w:val="FootnoteText"/>
        <w:rPr>
          <w:b/>
          <w:bCs/>
        </w:rPr>
      </w:pPr>
      <w:r>
        <w:rPr>
          <w:rStyle w:val="FootnoteCharacters"/>
        </w:rPr>
        <w:footnoteRef/>
      </w:r>
      <w:r>
        <w:rPr>
          <w:b/>
          <w:bCs/>
          <w:rtl/>
        </w:rPr>
        <w:t>מג.</w:t>
      </w:r>
    </w:p>
  </w:footnote>
  <w:footnote w:id="201">
    <w:p w:rsidR="00B63280" w:rsidRDefault="00B63280">
      <w:pPr>
        <w:pStyle w:val="FootnoteText"/>
        <w:rPr>
          <w:b/>
          <w:bCs/>
        </w:rPr>
      </w:pPr>
      <w:r>
        <w:rPr>
          <w:rStyle w:val="FootnoteCharacters"/>
        </w:rPr>
        <w:footnoteRef/>
      </w:r>
      <w:r>
        <w:rPr>
          <w:b/>
          <w:bCs/>
          <w:rtl/>
        </w:rPr>
        <w:t>מא.</w:t>
      </w:r>
    </w:p>
  </w:footnote>
  <w:footnote w:id="202">
    <w:p w:rsidR="00B63280" w:rsidRDefault="00B63280">
      <w:pPr>
        <w:pStyle w:val="FootnoteText"/>
        <w:rPr>
          <w:b/>
          <w:bCs/>
        </w:rPr>
      </w:pPr>
      <w:r>
        <w:rPr>
          <w:rStyle w:val="FootnoteCharacters"/>
        </w:rPr>
        <w:footnoteRef/>
      </w:r>
      <w:r>
        <w:rPr>
          <w:b/>
          <w:bCs/>
          <w:rtl/>
        </w:rPr>
        <w:t>מא.</w:t>
      </w:r>
    </w:p>
  </w:footnote>
  <w:footnote w:id="203">
    <w:p w:rsidR="00B63280" w:rsidRDefault="00B63280">
      <w:pPr>
        <w:pStyle w:val="FootnoteText"/>
        <w:rPr>
          <w:b/>
          <w:bCs/>
        </w:rPr>
      </w:pPr>
      <w:r>
        <w:rPr>
          <w:rStyle w:val="FootnoteCharacters"/>
        </w:rPr>
        <w:footnoteRef/>
      </w:r>
      <w:r>
        <w:rPr>
          <w:b/>
          <w:bCs/>
          <w:rtl/>
        </w:rPr>
        <w:t>לט:</w:t>
      </w:r>
    </w:p>
  </w:footnote>
  <w:footnote w:id="204">
    <w:p w:rsidR="00B63280" w:rsidRDefault="00B63280">
      <w:pPr>
        <w:pStyle w:val="FootnoteText"/>
      </w:pPr>
      <w:r>
        <w:rPr>
          <w:rStyle w:val="FootnoteCharacters"/>
        </w:rPr>
        <w:footnoteRef/>
      </w:r>
      <w:r>
        <w:rPr>
          <w:rtl/>
        </w:rPr>
        <w:t>גמ’ (לט:) מוסיף שכוע"מ שכלל שלישי דוחה שני. (ויש לדון אם מי שיזכה בכלל שלישי אינו שלם או גודל.)</w:t>
      </w:r>
    </w:p>
  </w:footnote>
  <w:footnote w:id="205">
    <w:p w:rsidR="00B63280" w:rsidRDefault="00B63280">
      <w:pPr>
        <w:pStyle w:val="FootnoteText"/>
      </w:pPr>
      <w:r>
        <w:rPr>
          <w:rStyle w:val="FootnoteCharacters"/>
        </w:rPr>
        <w:footnoteRef/>
      </w:r>
      <w:r>
        <w:rPr>
          <w:rtl/>
        </w:rPr>
        <w:t xml:space="preserve">דורש </w:t>
      </w:r>
      <w:r>
        <w:rPr>
          <w:rtl/>
        </w:rPr>
        <w:t>אותו מן הקרא; אומר שמברך ראשון על מה שיותר קרוב למילת "ארץ.” כ’, “ארץ,” שני פעמים; בכל מה ששוה בקירובו למילת ארץ, מה שקרוב ל"ארץ" ראשון מוקדם.</w:t>
      </w:r>
    </w:p>
  </w:footnote>
  <w:footnote w:id="206">
    <w:p w:rsidR="00B63280" w:rsidRDefault="00B63280">
      <w:pPr>
        <w:pStyle w:val="FootnoteText"/>
        <w:rPr>
          <w:b/>
          <w:bCs/>
        </w:rPr>
      </w:pPr>
      <w:r>
        <w:rPr>
          <w:rStyle w:val="FootnoteCharacters"/>
        </w:rPr>
        <w:footnoteRef/>
      </w:r>
      <w:r>
        <w:rPr>
          <w:b/>
          <w:bCs/>
          <w:rtl/>
        </w:rPr>
        <w:t>מא.</w:t>
      </w:r>
    </w:p>
  </w:footnote>
  <w:footnote w:id="207">
    <w:p w:rsidR="00B63280" w:rsidRDefault="00B63280">
      <w:pPr>
        <w:pStyle w:val="FootnoteText"/>
      </w:pPr>
      <w:r>
        <w:rPr>
          <w:rStyle w:val="FootnoteCharacters"/>
        </w:rPr>
        <w:footnoteRef/>
      </w:r>
      <w:r>
        <w:rPr>
          <w:rtl/>
        </w:rPr>
        <w:t>שדורש את הקרא לדין אחר, ואז אין מקור לומר שיש שיעור.</w:t>
      </w:r>
    </w:p>
  </w:footnote>
  <w:footnote w:id="208">
    <w:p w:rsidR="00B63280" w:rsidRDefault="00B63280">
      <w:pPr>
        <w:pStyle w:val="FootnoteText"/>
        <w:rPr>
          <w:b/>
          <w:bCs/>
        </w:rPr>
      </w:pPr>
      <w:r>
        <w:rPr>
          <w:rStyle w:val="FootnoteCharacters"/>
        </w:rPr>
        <w:footnoteRef/>
      </w:r>
      <w:r>
        <w:rPr>
          <w:b/>
          <w:bCs/>
          <w:rtl/>
        </w:rPr>
        <w:t>מג:</w:t>
      </w:r>
    </w:p>
  </w:footnote>
  <w:footnote w:id="209">
    <w:p w:rsidR="00B63280" w:rsidRDefault="00B63280">
      <w:pPr>
        <w:pStyle w:val="FootnoteText"/>
        <w:rPr>
          <w:b/>
          <w:bCs/>
        </w:rPr>
      </w:pPr>
      <w:r>
        <w:rPr>
          <w:rStyle w:val="FootnoteCharacters"/>
        </w:rPr>
        <w:footnoteRef/>
      </w:r>
      <w:r>
        <w:rPr>
          <w:b/>
          <w:bCs/>
          <w:rtl/>
        </w:rPr>
        <w:t>מג.</w:t>
      </w:r>
    </w:p>
  </w:footnote>
  <w:footnote w:id="210">
    <w:p w:rsidR="00B63280" w:rsidRDefault="00B63280">
      <w:pPr>
        <w:pStyle w:val="FootnoteText"/>
        <w:rPr>
          <w:b/>
          <w:bCs/>
        </w:rPr>
      </w:pPr>
      <w:r>
        <w:rPr>
          <w:rStyle w:val="FootnoteCharacters"/>
        </w:rPr>
        <w:footnoteRef/>
      </w:r>
      <w:r>
        <w:rPr>
          <w:b/>
          <w:bCs/>
          <w:rtl/>
        </w:rPr>
        <w:t>מג:</w:t>
      </w:r>
    </w:p>
  </w:footnote>
  <w:footnote w:id="211">
    <w:p w:rsidR="00297B7C" w:rsidRDefault="00297B7C">
      <w:pPr>
        <w:pStyle w:val="FootnoteText"/>
        <w:rPr>
          <w:rFonts w:hint="cs"/>
        </w:rPr>
      </w:pPr>
      <w:r>
        <w:rPr>
          <w:rStyle w:val="FootnoteReference"/>
        </w:rPr>
        <w:footnoteRef/>
      </w:r>
      <w:r>
        <w:rPr>
          <w:rtl/>
        </w:rPr>
        <w:t xml:space="preserve"> </w:t>
      </w:r>
      <w:r>
        <w:rPr>
          <w:rFonts w:hint="cs"/>
          <w:rtl/>
        </w:rPr>
        <w:t>עיין שם, שמשמע שיש דרגה של חיוב בכל ברכות קריאת שמע, אבל חיוב יותר גדול בזה, ואז אם רק יכול לעשות אחת, יעשה זה. ויש לדון בגדר החיוב בשאר (ובזה) אם הוא ממש חיוב. ותחשב.</w:t>
      </w:r>
    </w:p>
  </w:footnote>
  <w:footnote w:id="212">
    <w:p w:rsidR="00297B7C" w:rsidRPr="00297B7C" w:rsidRDefault="00297B7C">
      <w:pPr>
        <w:pStyle w:val="FootnoteText"/>
        <w:rPr>
          <w:rFonts w:hint="cs"/>
          <w:b/>
          <w:bCs/>
        </w:rPr>
      </w:pPr>
      <w:r>
        <w:rPr>
          <w:rStyle w:val="FootnoteReference"/>
        </w:rPr>
        <w:footnoteRef/>
      </w:r>
      <w:r>
        <w:rPr>
          <w:rtl/>
        </w:rPr>
        <w:t xml:space="preserve"> </w:t>
      </w:r>
      <w:r>
        <w:rPr>
          <w:rFonts w:hint="cs"/>
          <w:b/>
          <w:bCs/>
          <w:rtl/>
        </w:rPr>
        <w:t>לד:</w:t>
      </w:r>
    </w:p>
  </w:footnote>
  <w:footnote w:id="213">
    <w:p w:rsidR="00F74837" w:rsidRDefault="00F74837">
      <w:pPr>
        <w:pStyle w:val="FootnoteText"/>
        <w:rPr>
          <w:rFonts w:hint="cs"/>
        </w:rPr>
      </w:pPr>
      <w:r>
        <w:rPr>
          <w:rStyle w:val="FootnoteReference"/>
        </w:rPr>
        <w:footnoteRef/>
      </w:r>
      <w:r>
        <w:rPr>
          <w:rtl/>
        </w:rPr>
        <w:t xml:space="preserve"> </w:t>
      </w:r>
      <w:r>
        <w:rPr>
          <w:rFonts w:hint="cs"/>
          <w:rtl/>
        </w:rPr>
        <w:t>הנחתי שצריך שיכוון לדבר אחר, ולא שלא מכוון למה שמהני.</w:t>
      </w:r>
    </w:p>
  </w:footnote>
  <w:footnote w:id="214">
    <w:p w:rsidR="00FB1C2F" w:rsidRPr="00FB1C2F" w:rsidRDefault="00FB1C2F">
      <w:pPr>
        <w:pStyle w:val="FootnoteText"/>
        <w:rPr>
          <w:rFonts w:hint="cs"/>
          <w:b/>
          <w:bCs/>
        </w:rPr>
      </w:pPr>
      <w:r>
        <w:rPr>
          <w:rStyle w:val="FootnoteReference"/>
        </w:rPr>
        <w:footnoteRef/>
      </w:r>
      <w:r>
        <w:rPr>
          <w:rtl/>
        </w:rPr>
        <w:t xml:space="preserve"> </w:t>
      </w:r>
      <w:r>
        <w:rPr>
          <w:rFonts w:hint="cs"/>
          <w:b/>
          <w:bCs/>
          <w:rtl/>
        </w:rPr>
        <w:t>יב.</w:t>
      </w:r>
    </w:p>
  </w:footnote>
  <w:footnote w:id="215">
    <w:p w:rsidR="005C5151" w:rsidRDefault="005C5151">
      <w:pPr>
        <w:pStyle w:val="FootnoteText"/>
        <w:rPr>
          <w:rFonts w:hint="cs"/>
        </w:rPr>
      </w:pPr>
      <w:r>
        <w:rPr>
          <w:rStyle w:val="FootnoteReference"/>
        </w:rPr>
        <w:footnoteRef/>
      </w:r>
      <w:r>
        <w:rPr>
          <w:rtl/>
        </w:rPr>
        <w:t xml:space="preserve"> </w:t>
      </w:r>
      <w:r>
        <w:rPr>
          <w:rFonts w:hint="cs"/>
          <w:rtl/>
        </w:rPr>
        <w:t>באמת, אולי כל ברכה צריכה קיום. ותחשב.</w:t>
      </w:r>
    </w:p>
  </w:footnote>
  <w:footnote w:id="216">
    <w:p w:rsidR="00B63280" w:rsidRDefault="00B63280">
      <w:pPr>
        <w:pStyle w:val="FootnoteText"/>
        <w:rPr>
          <w:b/>
          <w:bCs/>
        </w:rPr>
      </w:pPr>
      <w:r>
        <w:rPr>
          <w:rStyle w:val="FootnoteCharacters"/>
        </w:rPr>
        <w:footnoteRef/>
      </w:r>
      <w:r>
        <w:rPr>
          <w:b/>
          <w:bCs/>
          <w:rtl/>
        </w:rPr>
        <w:t>מד:</w:t>
      </w:r>
    </w:p>
  </w:footnote>
  <w:footnote w:id="217">
    <w:p w:rsidR="00B63280" w:rsidRDefault="00B63280">
      <w:pPr>
        <w:pStyle w:val="FootnoteText"/>
        <w:rPr>
          <w:b/>
          <w:bCs/>
        </w:rPr>
      </w:pPr>
      <w:r>
        <w:rPr>
          <w:rStyle w:val="FootnoteCharacters"/>
        </w:rPr>
        <w:footnoteRef/>
      </w:r>
      <w:r>
        <w:rPr>
          <w:b/>
          <w:bCs/>
          <w:rtl/>
        </w:rPr>
        <w:t>מ.</w:t>
      </w:r>
    </w:p>
  </w:footnote>
  <w:footnote w:id="218">
    <w:p w:rsidR="00B63280" w:rsidRDefault="00B63280">
      <w:pPr>
        <w:pStyle w:val="FootnoteText"/>
      </w:pPr>
      <w:r>
        <w:rPr>
          <w:rStyle w:val="FootnoteCharacters"/>
        </w:rPr>
        <w:footnoteRef/>
      </w:r>
      <w:r>
        <w:rPr>
          <w:rtl/>
        </w:rPr>
        <w:t>בכורות.</w:t>
      </w:r>
    </w:p>
  </w:footnote>
  <w:footnote w:id="219">
    <w:p w:rsidR="00B63280" w:rsidRDefault="00B63280">
      <w:pPr>
        <w:pStyle w:val="FootnoteText"/>
      </w:pPr>
      <w:r>
        <w:rPr>
          <w:rStyle w:val="FootnoteCharacters"/>
        </w:rPr>
        <w:footnoteRef/>
      </w:r>
      <w:r>
        <w:rPr>
          <w:rtl/>
        </w:rPr>
        <w:t xml:space="preserve">יומא </w:t>
      </w:r>
      <w:r>
        <w:rPr>
          <w:rtl/>
        </w:rPr>
        <w:t>תחילת פרק שלישי.</w:t>
      </w:r>
    </w:p>
  </w:footnote>
  <w:footnote w:id="220">
    <w:p w:rsidR="00B63280" w:rsidRDefault="00B63280">
      <w:pPr>
        <w:pStyle w:val="FootnoteText"/>
      </w:pPr>
      <w:r>
        <w:rPr>
          <w:rStyle w:val="FootnoteCharacters"/>
        </w:rPr>
        <w:footnoteRef/>
      </w:r>
      <w:r>
        <w:rPr>
          <w:rtl/>
        </w:rPr>
        <w:t xml:space="preserve">נדה </w:t>
      </w:r>
      <w:r>
        <w:rPr>
          <w:rtl/>
        </w:rPr>
        <w:t>יג.</w:t>
      </w:r>
    </w:p>
  </w:footnote>
  <w:footnote w:id="221">
    <w:p w:rsidR="00B63280" w:rsidRDefault="00B63280">
      <w:pPr>
        <w:pStyle w:val="FootnoteText"/>
      </w:pPr>
      <w:r>
        <w:rPr>
          <w:rStyle w:val="FootnoteCharacters"/>
        </w:rPr>
        <w:footnoteRef/>
      </w:r>
      <w:r>
        <w:rPr>
          <w:rtl/>
        </w:rPr>
        <w:t xml:space="preserve">נדה </w:t>
      </w:r>
      <w:r>
        <w:rPr>
          <w:rtl/>
        </w:rPr>
        <w:t>יג.</w:t>
      </w:r>
    </w:p>
  </w:footnote>
  <w:footnote w:id="222">
    <w:p w:rsidR="00B63280" w:rsidRDefault="00B63280">
      <w:pPr>
        <w:pStyle w:val="FootnoteText"/>
      </w:pPr>
      <w:r>
        <w:rPr>
          <w:rStyle w:val="FootnoteCharacters"/>
        </w:rPr>
        <w:footnoteRef/>
      </w:r>
      <w:r>
        <w:rPr>
          <w:rtl/>
        </w:rPr>
        <w:t xml:space="preserve">נדה </w:t>
      </w:r>
      <w:r>
        <w:rPr>
          <w:rtl/>
        </w:rPr>
        <w:t>יג.</w:t>
      </w:r>
    </w:p>
  </w:footnote>
  <w:footnote w:id="223">
    <w:p w:rsidR="00B63280" w:rsidRDefault="00B63280">
      <w:pPr>
        <w:pStyle w:val="FootnoteText"/>
        <w:rPr>
          <w:b/>
          <w:bCs/>
        </w:rPr>
      </w:pPr>
      <w:r>
        <w:rPr>
          <w:rStyle w:val="FootnoteCharacters"/>
        </w:rPr>
        <w:footnoteRef/>
      </w:r>
      <w:r>
        <w:rPr>
          <w:b/>
          <w:bCs/>
          <w:rtl/>
        </w:rPr>
        <w:t>מ.</w:t>
      </w:r>
    </w:p>
  </w:footnote>
  <w:footnote w:id="224">
    <w:p w:rsidR="00B63280" w:rsidRDefault="00B63280">
      <w:pPr>
        <w:pStyle w:val="FootnoteText"/>
        <w:rPr>
          <w:b/>
          <w:bCs/>
        </w:rPr>
      </w:pPr>
      <w:r>
        <w:rPr>
          <w:rStyle w:val="FootnoteCharacters"/>
        </w:rPr>
        <w:footnoteRef/>
      </w:r>
      <w:r>
        <w:rPr>
          <w:b/>
          <w:bCs/>
          <w:rtl/>
        </w:rPr>
        <w:t>מ.</w:t>
      </w:r>
    </w:p>
  </w:footnote>
  <w:footnote w:id="225">
    <w:p w:rsidR="00B63280" w:rsidRDefault="00B63280">
      <w:pPr>
        <w:pStyle w:val="FootnoteText"/>
        <w:rPr>
          <w:b/>
          <w:bCs/>
        </w:rPr>
      </w:pPr>
      <w:r>
        <w:rPr>
          <w:rStyle w:val="FootnoteCharacters"/>
        </w:rPr>
        <w:footnoteRef/>
      </w:r>
      <w:r>
        <w:rPr>
          <w:b/>
          <w:bCs/>
          <w:rtl/>
        </w:rPr>
        <w:t>מ.</w:t>
      </w:r>
    </w:p>
  </w:footnote>
  <w:footnote w:id="226">
    <w:p w:rsidR="00B63280" w:rsidRDefault="00B63280">
      <w:pPr>
        <w:pStyle w:val="FootnoteText"/>
        <w:rPr>
          <w:b/>
          <w:bCs/>
        </w:rPr>
      </w:pPr>
      <w:r>
        <w:rPr>
          <w:rStyle w:val="FootnoteCharacters"/>
        </w:rPr>
        <w:footnoteRef/>
      </w:r>
      <w:r>
        <w:rPr>
          <w:b/>
          <w:bCs/>
          <w:rtl/>
        </w:rPr>
        <w:t>מד.</w:t>
      </w:r>
    </w:p>
  </w:footnote>
  <w:footnote w:id="227">
    <w:p w:rsidR="00B63280" w:rsidRDefault="00B63280">
      <w:pPr>
        <w:pStyle w:val="FootnoteText"/>
        <w:rPr>
          <w:b/>
          <w:bCs/>
        </w:rPr>
      </w:pPr>
      <w:r>
        <w:rPr>
          <w:rStyle w:val="FootnoteCharacters"/>
        </w:rPr>
        <w:footnoteRef/>
      </w:r>
      <w:r>
        <w:rPr>
          <w:b/>
          <w:bCs/>
          <w:rtl/>
        </w:rPr>
        <w:t>מג.</w:t>
      </w:r>
    </w:p>
  </w:footnote>
  <w:footnote w:id="228">
    <w:p w:rsidR="00B63280" w:rsidRDefault="00B63280">
      <w:pPr>
        <w:pStyle w:val="FootnoteText"/>
        <w:rPr>
          <w:b/>
          <w:bCs/>
        </w:rPr>
      </w:pPr>
      <w:r>
        <w:rPr>
          <w:rStyle w:val="FootnoteCharacters"/>
        </w:rPr>
        <w:footnoteRef/>
      </w:r>
      <w:r>
        <w:rPr>
          <w:b/>
          <w:bCs/>
          <w:rtl/>
        </w:rPr>
        <w:t>מד:</w:t>
      </w:r>
    </w:p>
  </w:footnote>
  <w:footnote w:id="229">
    <w:p w:rsidR="00B63280" w:rsidRDefault="00B63280">
      <w:pPr>
        <w:pStyle w:val="FootnoteText"/>
        <w:rPr>
          <w:b/>
          <w:bCs/>
        </w:rPr>
      </w:pPr>
      <w:r>
        <w:rPr>
          <w:rStyle w:val="FootnoteCharacters"/>
        </w:rPr>
        <w:footnoteRef/>
      </w:r>
      <w:r>
        <w:rPr>
          <w:b/>
          <w:bCs/>
          <w:rtl/>
        </w:rPr>
        <w:t>מד:</w:t>
      </w:r>
    </w:p>
  </w:footnote>
  <w:footnote w:id="230">
    <w:p w:rsidR="00B63280" w:rsidRDefault="00B63280">
      <w:pPr>
        <w:pStyle w:val="FootnoteText"/>
        <w:rPr>
          <w:b/>
          <w:bCs/>
        </w:rPr>
      </w:pPr>
      <w:r>
        <w:rPr>
          <w:rStyle w:val="FootnoteCharacters"/>
        </w:rPr>
        <w:footnoteRef/>
      </w:r>
      <w:r>
        <w:rPr>
          <w:b/>
          <w:bCs/>
          <w:rtl/>
        </w:rPr>
        <w:t>מד:</w:t>
      </w:r>
    </w:p>
  </w:footnote>
  <w:footnote w:id="231">
    <w:p w:rsidR="00B63280" w:rsidRDefault="00B63280">
      <w:pPr>
        <w:pStyle w:val="FootnoteText"/>
        <w:rPr>
          <w:b/>
          <w:bCs/>
        </w:rPr>
      </w:pPr>
      <w:r>
        <w:rPr>
          <w:rStyle w:val="FootnoteCharacters"/>
        </w:rPr>
        <w:footnoteRef/>
      </w:r>
      <w:r>
        <w:rPr>
          <w:b/>
          <w:bCs/>
          <w:rtl/>
        </w:rPr>
        <w:t>מד:</w:t>
      </w:r>
    </w:p>
  </w:footnote>
  <w:footnote w:id="232">
    <w:p w:rsidR="00B63280" w:rsidRDefault="00B63280">
      <w:pPr>
        <w:pStyle w:val="FootnoteText"/>
        <w:rPr>
          <w:b/>
          <w:bCs/>
        </w:rPr>
      </w:pPr>
      <w:r>
        <w:rPr>
          <w:rStyle w:val="FootnoteCharacters"/>
        </w:rPr>
        <w:footnoteRef/>
      </w:r>
      <w:r>
        <w:rPr>
          <w:b/>
          <w:bCs/>
          <w:rtl/>
        </w:rPr>
        <w:t>מד:</w:t>
      </w:r>
    </w:p>
  </w:footnote>
  <w:footnote w:id="233">
    <w:p w:rsidR="00B63280" w:rsidRDefault="00B63280">
      <w:pPr>
        <w:pStyle w:val="FootnoteText"/>
        <w:rPr>
          <w:b/>
          <w:bCs/>
        </w:rPr>
      </w:pPr>
      <w:r>
        <w:rPr>
          <w:rStyle w:val="FootnoteCharacters"/>
        </w:rPr>
        <w:footnoteRef/>
      </w:r>
      <w:r>
        <w:rPr>
          <w:b/>
          <w:bCs/>
          <w:rtl/>
        </w:rPr>
        <w:t>מד:</w:t>
      </w:r>
    </w:p>
  </w:footnote>
  <w:footnote w:id="234">
    <w:p w:rsidR="00B63280" w:rsidRDefault="00B63280">
      <w:pPr>
        <w:pStyle w:val="FootnoteText"/>
        <w:rPr>
          <w:b/>
          <w:bCs/>
        </w:rPr>
      </w:pPr>
      <w:r>
        <w:rPr>
          <w:rStyle w:val="FootnoteCharacters"/>
        </w:rPr>
        <w:footnoteRef/>
      </w:r>
      <w:r>
        <w:rPr>
          <w:b/>
          <w:bCs/>
          <w:rtl/>
        </w:rPr>
        <w:t>מד:</w:t>
      </w:r>
    </w:p>
  </w:footnote>
  <w:footnote w:id="235">
    <w:p w:rsidR="00B63280" w:rsidRDefault="00B63280">
      <w:pPr>
        <w:pStyle w:val="FootnoteText"/>
        <w:rPr>
          <w:b/>
          <w:bCs/>
        </w:rPr>
      </w:pPr>
      <w:r>
        <w:rPr>
          <w:rStyle w:val="FootnoteCharacters"/>
        </w:rPr>
        <w:footnoteRef/>
      </w:r>
      <w:r>
        <w:rPr>
          <w:b/>
          <w:bCs/>
          <w:rtl/>
        </w:rPr>
        <w:t>מד:</w:t>
      </w:r>
    </w:p>
  </w:footnote>
  <w:footnote w:id="236">
    <w:p w:rsidR="00B63280" w:rsidRDefault="00B63280">
      <w:pPr>
        <w:pStyle w:val="FootnoteText"/>
      </w:pPr>
      <w:r>
        <w:rPr>
          <w:rStyle w:val="FootnoteCharacters"/>
        </w:rPr>
        <w:footnoteRef/>
      </w:r>
      <w:r>
        <w:rPr>
          <w:rtl/>
        </w:rPr>
        <w:t>מקום שהוולד נוצר בו.</w:t>
      </w:r>
    </w:p>
  </w:footnote>
  <w:footnote w:id="237">
    <w:p w:rsidR="00B63280" w:rsidRDefault="00B63280">
      <w:pPr>
        <w:pStyle w:val="FootnoteText"/>
      </w:pPr>
      <w:r>
        <w:rPr>
          <w:rStyle w:val="FootnoteCharacters"/>
        </w:rPr>
        <w:footnoteRef/>
      </w:r>
      <w:r>
        <w:rPr>
          <w:rtl/>
        </w:rPr>
        <w:t xml:space="preserve">יש </w:t>
      </w:r>
      <w:r>
        <w:rPr>
          <w:rtl/>
        </w:rPr>
        <w:t>שגו’ דבש, אבל אז יש שבע, ולא שש.</w:t>
      </w:r>
    </w:p>
  </w:footnote>
  <w:footnote w:id="238">
    <w:p w:rsidR="00B63280" w:rsidRDefault="00B63280">
      <w:pPr>
        <w:pStyle w:val="FootnoteText"/>
        <w:rPr>
          <w:b/>
          <w:bCs/>
        </w:rPr>
      </w:pPr>
      <w:r>
        <w:rPr>
          <w:rStyle w:val="FootnoteCharacters"/>
        </w:rPr>
        <w:footnoteRef/>
      </w:r>
      <w:r>
        <w:rPr>
          <w:b/>
          <w:bCs/>
          <w:rtl/>
        </w:rPr>
        <w:t>מד:</w:t>
      </w:r>
    </w:p>
  </w:footnote>
  <w:footnote w:id="239">
    <w:p w:rsidR="00B63280" w:rsidRDefault="00B63280">
      <w:pPr>
        <w:pStyle w:val="FootnoteText"/>
        <w:rPr>
          <w:b/>
          <w:bCs/>
        </w:rPr>
      </w:pPr>
      <w:r>
        <w:rPr>
          <w:rStyle w:val="FootnoteCharacters"/>
        </w:rPr>
        <w:footnoteRef/>
      </w:r>
      <w:r>
        <w:rPr>
          <w:b/>
          <w:bCs/>
          <w:rtl/>
        </w:rPr>
        <w:t>מג:</w:t>
      </w:r>
    </w:p>
  </w:footnote>
  <w:footnote w:id="240">
    <w:p w:rsidR="00B63280" w:rsidRDefault="00B63280">
      <w:pPr>
        <w:pStyle w:val="FootnoteText"/>
        <w:rPr>
          <w:b/>
          <w:bCs/>
        </w:rPr>
      </w:pPr>
      <w:r>
        <w:rPr>
          <w:rStyle w:val="FootnoteCharacters"/>
        </w:rPr>
        <w:footnoteRef/>
      </w:r>
      <w:r>
        <w:rPr>
          <w:rtl/>
        </w:rPr>
        <w:t xml:space="preserve"> </w:t>
      </w:r>
      <w:r>
        <w:rPr>
          <w:b/>
          <w:bCs/>
          <w:rtl/>
        </w:rPr>
        <w:t>מו.</w:t>
      </w:r>
    </w:p>
  </w:footnote>
  <w:footnote w:id="241">
    <w:p w:rsidR="00296EF9" w:rsidRPr="00296EF9" w:rsidRDefault="00296EF9">
      <w:pPr>
        <w:pStyle w:val="FootnoteText"/>
        <w:rPr>
          <w:rFonts w:hint="cs"/>
          <w:b/>
          <w:bCs/>
        </w:rPr>
      </w:pPr>
      <w:r>
        <w:rPr>
          <w:rStyle w:val="FootnoteReference"/>
        </w:rPr>
        <w:footnoteRef/>
      </w:r>
      <w:r>
        <w:rPr>
          <w:rtl/>
        </w:rPr>
        <w:t xml:space="preserve"> </w:t>
      </w:r>
      <w:r>
        <w:rPr>
          <w:rFonts w:hint="cs"/>
          <w:b/>
          <w:bCs/>
          <w:rtl/>
        </w:rPr>
        <w:t>יא.</w:t>
      </w:r>
    </w:p>
  </w:footnote>
  <w:footnote w:id="242">
    <w:p w:rsidR="00B63280" w:rsidRDefault="00B63280">
      <w:pPr>
        <w:pStyle w:val="FootnoteText"/>
        <w:rPr>
          <w:b/>
          <w:bCs/>
        </w:rPr>
      </w:pPr>
      <w:r>
        <w:rPr>
          <w:rStyle w:val="FootnoteCharacters"/>
        </w:rPr>
        <w:footnoteRef/>
      </w:r>
      <w:r>
        <w:rPr>
          <w:rtl/>
        </w:rPr>
        <w:t xml:space="preserve"> </w:t>
      </w:r>
      <w:r>
        <w:rPr>
          <w:b/>
          <w:bCs/>
          <w:rtl/>
        </w:rPr>
        <w:t>מט.</w:t>
      </w:r>
    </w:p>
  </w:footnote>
  <w:footnote w:id="243">
    <w:p w:rsidR="00B63280" w:rsidRDefault="00B63280">
      <w:pPr>
        <w:pStyle w:val="FootnoteText"/>
        <w:rPr>
          <w:b/>
          <w:bCs/>
        </w:rPr>
      </w:pPr>
      <w:r>
        <w:rPr>
          <w:rStyle w:val="FootnoteCharacters"/>
        </w:rPr>
        <w:footnoteRef/>
      </w:r>
      <w:r>
        <w:rPr>
          <w:rtl/>
        </w:rPr>
        <w:t xml:space="preserve"> </w:t>
      </w:r>
      <w:r>
        <w:rPr>
          <w:b/>
          <w:bCs/>
          <w:rtl/>
        </w:rPr>
        <w:t>נ.</w:t>
      </w:r>
    </w:p>
  </w:footnote>
  <w:footnote w:id="244">
    <w:p w:rsidR="00B63280" w:rsidRDefault="00B63280">
      <w:pPr>
        <w:pStyle w:val="FootnoteText"/>
        <w:rPr>
          <w:b/>
          <w:bCs/>
        </w:rPr>
      </w:pPr>
      <w:r>
        <w:rPr>
          <w:rStyle w:val="FootnoteCharacters"/>
        </w:rPr>
        <w:footnoteRef/>
      </w:r>
      <w:r>
        <w:rPr>
          <w:rtl/>
        </w:rPr>
        <w:t xml:space="preserve"> </w:t>
      </w:r>
      <w:r>
        <w:rPr>
          <w:b/>
          <w:bCs/>
          <w:rtl/>
        </w:rPr>
        <w:t>מח:</w:t>
      </w:r>
    </w:p>
  </w:footnote>
  <w:footnote w:id="245">
    <w:p w:rsidR="00B63280" w:rsidRDefault="00B63280">
      <w:pPr>
        <w:pStyle w:val="FootnoteText"/>
        <w:rPr>
          <w:b/>
          <w:bCs/>
        </w:rPr>
      </w:pPr>
      <w:r>
        <w:rPr>
          <w:rStyle w:val="FootnoteCharacters"/>
        </w:rPr>
        <w:footnoteRef/>
      </w:r>
      <w:r>
        <w:rPr>
          <w:rtl/>
        </w:rPr>
        <w:t xml:space="preserve"> </w:t>
      </w:r>
      <w:r>
        <w:rPr>
          <w:b/>
          <w:bCs/>
          <w:rtl/>
        </w:rPr>
        <w:t>מט.</w:t>
      </w:r>
    </w:p>
  </w:footnote>
  <w:footnote w:id="246">
    <w:p w:rsidR="00B63280" w:rsidRDefault="00B63280">
      <w:pPr>
        <w:pStyle w:val="FootnoteText"/>
        <w:rPr>
          <w:b/>
          <w:bCs/>
        </w:rPr>
      </w:pPr>
      <w:r>
        <w:rPr>
          <w:rStyle w:val="FootnoteCharacters"/>
        </w:rPr>
        <w:footnoteRef/>
      </w:r>
      <w:r>
        <w:rPr>
          <w:rtl/>
        </w:rPr>
        <w:t xml:space="preserve"> </w:t>
      </w:r>
      <w:r>
        <w:rPr>
          <w:b/>
          <w:bCs/>
          <w:rtl/>
        </w:rPr>
        <w:t>מח:</w:t>
      </w:r>
    </w:p>
  </w:footnote>
  <w:footnote w:id="247">
    <w:p w:rsidR="00B63280" w:rsidRDefault="00B63280">
      <w:pPr>
        <w:pStyle w:val="FootnoteText"/>
        <w:rPr>
          <w:b/>
          <w:bCs/>
        </w:rPr>
      </w:pPr>
      <w:r>
        <w:rPr>
          <w:rStyle w:val="FootnoteCharacters"/>
        </w:rPr>
        <w:footnoteRef/>
      </w:r>
      <w:r>
        <w:rPr>
          <w:rtl/>
        </w:rPr>
        <w:t xml:space="preserve"> </w:t>
      </w:r>
      <w:r>
        <w:rPr>
          <w:b/>
          <w:bCs/>
          <w:rtl/>
        </w:rPr>
        <w:t>מט.</w:t>
      </w:r>
    </w:p>
  </w:footnote>
  <w:footnote w:id="248">
    <w:p w:rsidR="00B63280" w:rsidRDefault="00B63280">
      <w:pPr>
        <w:pStyle w:val="FootnoteText"/>
        <w:rPr>
          <w:b/>
          <w:bCs/>
        </w:rPr>
      </w:pPr>
      <w:r>
        <w:rPr>
          <w:rStyle w:val="FootnoteCharacters"/>
        </w:rPr>
        <w:footnoteRef/>
      </w:r>
      <w:r>
        <w:rPr>
          <w:rtl/>
        </w:rPr>
        <w:t xml:space="preserve"> </w:t>
      </w:r>
      <w:r>
        <w:rPr>
          <w:b/>
          <w:bCs/>
          <w:rtl/>
        </w:rPr>
        <w:t>מט.</w:t>
      </w:r>
    </w:p>
  </w:footnote>
  <w:footnote w:id="249">
    <w:p w:rsidR="00B63280" w:rsidRDefault="00B63280">
      <w:pPr>
        <w:pStyle w:val="FootnoteText"/>
        <w:rPr>
          <w:b/>
          <w:bCs/>
        </w:rPr>
      </w:pPr>
      <w:r>
        <w:rPr>
          <w:rStyle w:val="FootnoteCharacters"/>
        </w:rPr>
        <w:footnoteRef/>
      </w:r>
      <w:r>
        <w:rPr>
          <w:rtl/>
        </w:rPr>
        <w:t xml:space="preserve"> </w:t>
      </w:r>
      <w:r>
        <w:rPr>
          <w:b/>
          <w:bCs/>
          <w:rtl/>
        </w:rPr>
        <w:t>מט.</w:t>
      </w:r>
    </w:p>
  </w:footnote>
  <w:footnote w:id="250">
    <w:p w:rsidR="00B63280" w:rsidRDefault="00B63280">
      <w:pPr>
        <w:pStyle w:val="FootnoteText"/>
        <w:rPr>
          <w:b/>
          <w:bCs/>
        </w:rPr>
      </w:pPr>
      <w:r>
        <w:rPr>
          <w:rStyle w:val="FootnoteCharacters"/>
        </w:rPr>
        <w:footnoteRef/>
      </w:r>
      <w:r>
        <w:rPr>
          <w:rtl/>
        </w:rPr>
        <w:t xml:space="preserve"> </w:t>
      </w:r>
      <w:r>
        <w:rPr>
          <w:b/>
          <w:bCs/>
          <w:rtl/>
        </w:rPr>
        <w:t>מו.</w:t>
      </w:r>
    </w:p>
  </w:footnote>
  <w:footnote w:id="251">
    <w:p w:rsidR="00B63280" w:rsidRDefault="00B63280">
      <w:pPr>
        <w:pStyle w:val="FootnoteText"/>
        <w:rPr>
          <w:b/>
          <w:bCs/>
        </w:rPr>
      </w:pPr>
      <w:r>
        <w:rPr>
          <w:rStyle w:val="FootnoteCharacters"/>
        </w:rPr>
        <w:footnoteRef/>
      </w:r>
      <w:r>
        <w:rPr>
          <w:rtl/>
        </w:rPr>
        <w:t xml:space="preserve"> </w:t>
      </w:r>
      <w:r>
        <w:rPr>
          <w:b/>
          <w:bCs/>
          <w:rtl/>
        </w:rPr>
        <w:t>מו.</w:t>
      </w:r>
    </w:p>
  </w:footnote>
  <w:footnote w:id="252">
    <w:p w:rsidR="00B63280" w:rsidRDefault="00B63280">
      <w:pPr>
        <w:pStyle w:val="FootnoteText"/>
        <w:rPr>
          <w:b/>
          <w:bCs/>
        </w:rPr>
      </w:pPr>
      <w:r>
        <w:rPr>
          <w:rStyle w:val="FootnoteCharacters"/>
        </w:rPr>
        <w:footnoteRef/>
      </w:r>
      <w:r>
        <w:rPr>
          <w:rtl/>
        </w:rPr>
        <w:t xml:space="preserve"> </w:t>
      </w:r>
      <w:r>
        <w:rPr>
          <w:b/>
          <w:bCs/>
          <w:rtl/>
        </w:rPr>
        <w:t>מט.</w:t>
      </w:r>
    </w:p>
  </w:footnote>
  <w:footnote w:id="253">
    <w:p w:rsidR="00B63280" w:rsidRDefault="00B63280">
      <w:pPr>
        <w:pStyle w:val="FootnoteText"/>
        <w:rPr>
          <w:b/>
          <w:bCs/>
        </w:rPr>
      </w:pPr>
      <w:r>
        <w:rPr>
          <w:rStyle w:val="FootnoteCharacters"/>
        </w:rPr>
        <w:footnoteRef/>
      </w:r>
      <w:r>
        <w:rPr>
          <w:rtl/>
        </w:rPr>
        <w:t xml:space="preserve"> </w:t>
      </w:r>
      <w:r>
        <w:rPr>
          <w:b/>
          <w:bCs/>
          <w:rtl/>
        </w:rPr>
        <w:t>מט.</w:t>
      </w:r>
    </w:p>
  </w:footnote>
  <w:footnote w:id="254">
    <w:p w:rsidR="00B63280" w:rsidRDefault="00B63280">
      <w:pPr>
        <w:pStyle w:val="FootnoteText"/>
        <w:rPr>
          <w:b/>
          <w:bCs/>
        </w:rPr>
      </w:pPr>
      <w:r>
        <w:rPr>
          <w:rStyle w:val="FootnoteCharacters"/>
        </w:rPr>
        <w:footnoteRef/>
      </w:r>
      <w:r>
        <w:rPr>
          <w:rtl/>
        </w:rPr>
        <w:t xml:space="preserve"> </w:t>
      </w:r>
      <w:r>
        <w:rPr>
          <w:b/>
          <w:bCs/>
          <w:rtl/>
        </w:rPr>
        <w:t>כא:</w:t>
      </w:r>
    </w:p>
  </w:footnote>
  <w:footnote w:id="255">
    <w:p w:rsidR="00B63280" w:rsidRDefault="00B63280">
      <w:pPr>
        <w:pStyle w:val="FootnoteText"/>
        <w:rPr>
          <w:b/>
          <w:bCs/>
        </w:rPr>
      </w:pPr>
      <w:r>
        <w:rPr>
          <w:rStyle w:val="FootnoteCharacters"/>
        </w:rPr>
        <w:footnoteRef/>
      </w:r>
      <w:r>
        <w:rPr>
          <w:b/>
          <w:bCs/>
          <w:rtl/>
        </w:rPr>
        <w:t>נ.</w:t>
      </w:r>
    </w:p>
  </w:footnote>
  <w:footnote w:id="256">
    <w:p w:rsidR="00B63280" w:rsidRDefault="00B63280">
      <w:pPr>
        <w:pStyle w:val="FootnoteText"/>
        <w:rPr>
          <w:b/>
          <w:bCs/>
        </w:rPr>
      </w:pPr>
      <w:r>
        <w:rPr>
          <w:rStyle w:val="FootnoteCharacters"/>
        </w:rPr>
        <w:footnoteRef/>
      </w:r>
      <w:r>
        <w:rPr>
          <w:rtl/>
        </w:rPr>
        <w:t xml:space="preserve"> </w:t>
      </w:r>
      <w:r>
        <w:rPr>
          <w:b/>
          <w:bCs/>
          <w:rtl/>
        </w:rPr>
        <w:t>מה.</w:t>
      </w:r>
    </w:p>
  </w:footnote>
  <w:footnote w:id="257">
    <w:p w:rsidR="00B63280" w:rsidRDefault="00B63280">
      <w:pPr>
        <w:pStyle w:val="FootnoteText"/>
        <w:rPr>
          <w:b/>
          <w:bCs/>
        </w:rPr>
      </w:pPr>
      <w:r>
        <w:rPr>
          <w:rStyle w:val="FootnoteCharacters"/>
        </w:rPr>
        <w:footnoteRef/>
      </w:r>
      <w:r>
        <w:rPr>
          <w:rtl/>
        </w:rPr>
        <w:t xml:space="preserve"> </w:t>
      </w:r>
      <w:r>
        <w:rPr>
          <w:b/>
          <w:bCs/>
          <w:rtl/>
        </w:rPr>
        <w:t>נ.</w:t>
      </w:r>
    </w:p>
  </w:footnote>
  <w:footnote w:id="258">
    <w:p w:rsidR="00B63280" w:rsidRDefault="00B63280">
      <w:pPr>
        <w:pStyle w:val="FootnoteText"/>
        <w:rPr>
          <w:b/>
          <w:bCs/>
        </w:rPr>
      </w:pPr>
      <w:r>
        <w:rPr>
          <w:rStyle w:val="FootnoteCharacters"/>
        </w:rPr>
        <w:footnoteRef/>
      </w:r>
      <w:r>
        <w:rPr>
          <w:rtl/>
        </w:rPr>
        <w:t xml:space="preserve"> </w:t>
      </w:r>
      <w:r>
        <w:rPr>
          <w:b/>
          <w:bCs/>
          <w:rtl/>
        </w:rPr>
        <w:t>מה.</w:t>
      </w:r>
    </w:p>
  </w:footnote>
  <w:footnote w:id="259">
    <w:p w:rsidR="00B63280" w:rsidRDefault="00B63280">
      <w:pPr>
        <w:pStyle w:val="FootnoteText"/>
        <w:rPr>
          <w:b/>
          <w:bCs/>
        </w:rPr>
      </w:pPr>
      <w:r>
        <w:rPr>
          <w:rStyle w:val="FootnoteCharacters"/>
        </w:rPr>
        <w:footnoteRef/>
      </w:r>
      <w:r>
        <w:rPr>
          <w:rtl/>
        </w:rPr>
        <w:t xml:space="preserve"> </w:t>
      </w:r>
      <w:r>
        <w:rPr>
          <w:b/>
          <w:bCs/>
          <w:rtl/>
        </w:rPr>
        <w:t>נ.</w:t>
      </w:r>
    </w:p>
  </w:footnote>
  <w:footnote w:id="260">
    <w:p w:rsidR="00B63280" w:rsidRDefault="00B63280">
      <w:pPr>
        <w:pStyle w:val="FootnoteText"/>
      </w:pPr>
      <w:r>
        <w:rPr>
          <w:rStyle w:val="FootnoteCharacters"/>
        </w:rPr>
        <w:footnoteRef/>
      </w:r>
      <w:r>
        <w:rPr>
          <w:rtl/>
        </w:rPr>
        <w:t>הצד בכל אלו לברך דבר חלוק הוא שכ’, “במקהלות ברכו ה’ ממקור ישראל.” (</w:t>
      </w:r>
      <w:r>
        <w:rPr>
          <w:b/>
          <w:bCs/>
          <w:rtl/>
        </w:rPr>
        <w:t>מט:</w:t>
      </w:r>
      <w:r>
        <w:rPr>
          <w:rtl/>
        </w:rPr>
        <w:t>)</w:t>
      </w:r>
    </w:p>
  </w:footnote>
  <w:footnote w:id="261">
    <w:p w:rsidR="00B63280" w:rsidRDefault="00B63280">
      <w:pPr>
        <w:pStyle w:val="FootnoteText"/>
        <w:rPr>
          <w:b/>
          <w:bCs/>
        </w:rPr>
      </w:pPr>
      <w:r>
        <w:rPr>
          <w:rStyle w:val="FootnoteCharacters"/>
        </w:rPr>
        <w:footnoteRef/>
      </w:r>
      <w:r>
        <w:rPr>
          <w:rtl/>
        </w:rPr>
        <w:t xml:space="preserve"> </w:t>
      </w:r>
      <w:r>
        <w:rPr>
          <w:b/>
          <w:bCs/>
          <w:rtl/>
        </w:rPr>
        <w:t>מה.</w:t>
      </w:r>
    </w:p>
  </w:footnote>
  <w:footnote w:id="262">
    <w:p w:rsidR="00B63280" w:rsidRDefault="00B63280">
      <w:pPr>
        <w:pStyle w:val="FootnoteText"/>
        <w:rPr>
          <w:b/>
          <w:bCs/>
        </w:rPr>
      </w:pPr>
      <w:r>
        <w:rPr>
          <w:rStyle w:val="FootnoteCharacters"/>
        </w:rPr>
        <w:footnoteRef/>
      </w:r>
      <w:r>
        <w:rPr>
          <w:rtl/>
        </w:rPr>
        <w:t xml:space="preserve"> </w:t>
      </w:r>
      <w:r>
        <w:rPr>
          <w:b/>
          <w:bCs/>
          <w:rtl/>
        </w:rPr>
        <w:t>נ.</w:t>
      </w:r>
    </w:p>
  </w:footnote>
  <w:footnote w:id="263">
    <w:p w:rsidR="00B63280" w:rsidRDefault="00B63280">
      <w:pPr>
        <w:pStyle w:val="FootnoteText"/>
        <w:rPr>
          <w:b/>
          <w:bCs/>
        </w:rPr>
      </w:pPr>
      <w:r>
        <w:rPr>
          <w:rStyle w:val="FootnoteCharacters"/>
        </w:rPr>
        <w:footnoteRef/>
      </w:r>
      <w:r>
        <w:rPr>
          <w:b/>
          <w:bCs/>
          <w:rtl/>
        </w:rPr>
        <w:t>נ.</w:t>
      </w:r>
    </w:p>
  </w:footnote>
  <w:footnote w:id="264">
    <w:p w:rsidR="00B63280" w:rsidRDefault="00B63280">
      <w:pPr>
        <w:pStyle w:val="FootnoteText"/>
        <w:rPr>
          <w:b/>
          <w:bCs/>
        </w:rPr>
      </w:pPr>
      <w:r>
        <w:rPr>
          <w:rStyle w:val="FootnoteCharacters"/>
        </w:rPr>
        <w:footnoteRef/>
      </w:r>
      <w:r>
        <w:rPr>
          <w:b/>
          <w:bCs/>
          <w:rtl/>
        </w:rPr>
        <w:t>מט:</w:t>
      </w:r>
    </w:p>
  </w:footnote>
  <w:footnote w:id="265">
    <w:p w:rsidR="00B63280" w:rsidRDefault="00B63280">
      <w:pPr>
        <w:pStyle w:val="FootnoteText"/>
        <w:rPr>
          <w:b/>
          <w:bCs/>
        </w:rPr>
      </w:pPr>
      <w:r>
        <w:rPr>
          <w:rStyle w:val="FootnoteCharacters"/>
        </w:rPr>
        <w:footnoteRef/>
      </w:r>
      <w:r>
        <w:rPr>
          <w:rtl/>
        </w:rPr>
        <w:t xml:space="preserve"> </w:t>
      </w:r>
      <w:r>
        <w:rPr>
          <w:rtl/>
        </w:rPr>
        <w:t xml:space="preserve">רש"י </w:t>
      </w:r>
      <w:r>
        <w:rPr>
          <w:b/>
          <w:bCs/>
          <w:rtl/>
        </w:rPr>
        <w:t>נ.</w:t>
      </w:r>
    </w:p>
  </w:footnote>
  <w:footnote w:id="266">
    <w:p w:rsidR="00B63280" w:rsidRDefault="00B63280">
      <w:pPr>
        <w:pStyle w:val="FootnoteText"/>
        <w:rPr>
          <w:b/>
          <w:bCs/>
        </w:rPr>
      </w:pPr>
      <w:r>
        <w:rPr>
          <w:rStyle w:val="FootnoteCharacters"/>
        </w:rPr>
        <w:footnoteRef/>
      </w:r>
      <w:r>
        <w:rPr>
          <w:rtl/>
        </w:rPr>
        <w:t xml:space="preserve"> </w:t>
      </w:r>
      <w:r>
        <w:rPr>
          <w:b/>
          <w:bCs/>
          <w:rtl/>
        </w:rPr>
        <w:t>נ.</w:t>
      </w:r>
    </w:p>
  </w:footnote>
  <w:footnote w:id="267">
    <w:p w:rsidR="00B63280" w:rsidRDefault="00B63280">
      <w:pPr>
        <w:pStyle w:val="FootnoteText"/>
        <w:rPr>
          <w:b/>
          <w:bCs/>
        </w:rPr>
      </w:pPr>
      <w:r>
        <w:rPr>
          <w:rStyle w:val="FootnoteCharacters"/>
        </w:rPr>
        <w:footnoteRef/>
      </w:r>
      <w:r>
        <w:rPr>
          <w:rtl/>
        </w:rPr>
        <w:t xml:space="preserve"> </w:t>
      </w:r>
      <w:r>
        <w:rPr>
          <w:b/>
          <w:bCs/>
          <w:rtl/>
        </w:rPr>
        <w:t>נ.</w:t>
      </w:r>
    </w:p>
  </w:footnote>
  <w:footnote w:id="268">
    <w:p w:rsidR="00B63280" w:rsidRDefault="00B63280">
      <w:pPr>
        <w:pStyle w:val="FootnoteText"/>
        <w:rPr>
          <w:b/>
          <w:bCs/>
        </w:rPr>
      </w:pPr>
      <w:r>
        <w:rPr>
          <w:rStyle w:val="FootnoteCharacters"/>
        </w:rPr>
        <w:footnoteRef/>
      </w:r>
      <w:r>
        <w:rPr>
          <w:rtl/>
        </w:rPr>
        <w:t xml:space="preserve"> </w:t>
      </w:r>
      <w:r>
        <w:rPr>
          <w:b/>
          <w:bCs/>
          <w:rtl/>
        </w:rPr>
        <w:t>נ.</w:t>
      </w:r>
    </w:p>
  </w:footnote>
  <w:footnote w:id="269">
    <w:p w:rsidR="00B63280" w:rsidRDefault="00B63280">
      <w:pPr>
        <w:pStyle w:val="FootnoteText"/>
        <w:rPr>
          <w:b/>
          <w:bCs/>
        </w:rPr>
      </w:pPr>
      <w:r>
        <w:rPr>
          <w:rStyle w:val="FootnoteCharacters"/>
        </w:rPr>
        <w:footnoteRef/>
      </w:r>
      <w:r>
        <w:rPr>
          <w:rtl/>
        </w:rPr>
        <w:t xml:space="preserve"> </w:t>
      </w:r>
      <w:r>
        <w:rPr>
          <w:b/>
          <w:bCs/>
          <w:rtl/>
        </w:rPr>
        <w:t>נ.</w:t>
      </w:r>
    </w:p>
  </w:footnote>
  <w:footnote w:id="270">
    <w:p w:rsidR="00B63280" w:rsidRDefault="00B63280">
      <w:pPr>
        <w:pStyle w:val="FootnoteText"/>
        <w:rPr>
          <w:b/>
          <w:bCs/>
        </w:rPr>
      </w:pPr>
      <w:r>
        <w:rPr>
          <w:rStyle w:val="FootnoteCharacters"/>
        </w:rPr>
        <w:footnoteRef/>
      </w:r>
      <w:r>
        <w:rPr>
          <w:rtl/>
        </w:rPr>
        <w:t xml:space="preserve"> </w:t>
      </w:r>
      <w:r>
        <w:rPr>
          <w:b/>
          <w:bCs/>
          <w:rtl/>
        </w:rPr>
        <w:t>נ.</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796242"/>
    <w:multiLevelType w:val="multilevel"/>
    <w:tmpl w:val="9CD2A96A"/>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1" w15:restartNumberingAfterBreak="0">
    <w:nsid w:val="04C23D6D"/>
    <w:multiLevelType w:val="multilevel"/>
    <w:tmpl w:val="815E6A8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04DF0F94"/>
    <w:multiLevelType w:val="multilevel"/>
    <w:tmpl w:val="87BA6162"/>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3" w15:restartNumberingAfterBreak="0">
    <w:nsid w:val="08B654F7"/>
    <w:multiLevelType w:val="multilevel"/>
    <w:tmpl w:val="BF42F94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0D5519D3"/>
    <w:multiLevelType w:val="multilevel"/>
    <w:tmpl w:val="DCA096EA"/>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5" w15:restartNumberingAfterBreak="0">
    <w:nsid w:val="117F6BD4"/>
    <w:multiLevelType w:val="multilevel"/>
    <w:tmpl w:val="0ACA51B6"/>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6" w15:restartNumberingAfterBreak="0">
    <w:nsid w:val="1AFD226C"/>
    <w:multiLevelType w:val="multilevel"/>
    <w:tmpl w:val="8B78E52A"/>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7" w15:restartNumberingAfterBreak="0">
    <w:nsid w:val="1BA83546"/>
    <w:multiLevelType w:val="multilevel"/>
    <w:tmpl w:val="09CAE25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15:restartNumberingAfterBreak="0">
    <w:nsid w:val="1F84357D"/>
    <w:multiLevelType w:val="multilevel"/>
    <w:tmpl w:val="8BA269CA"/>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9" w15:restartNumberingAfterBreak="0">
    <w:nsid w:val="28516F80"/>
    <w:multiLevelType w:val="multilevel"/>
    <w:tmpl w:val="8BAA79D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 w15:restartNumberingAfterBreak="0">
    <w:nsid w:val="2956023F"/>
    <w:multiLevelType w:val="multilevel"/>
    <w:tmpl w:val="815E6A8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1" w15:restartNumberingAfterBreak="0">
    <w:nsid w:val="2AEF417E"/>
    <w:multiLevelType w:val="multilevel"/>
    <w:tmpl w:val="79F8A83C"/>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12" w15:restartNumberingAfterBreak="0">
    <w:nsid w:val="2FA220BA"/>
    <w:multiLevelType w:val="multilevel"/>
    <w:tmpl w:val="82B853C4"/>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13" w15:restartNumberingAfterBreak="0">
    <w:nsid w:val="32F06D48"/>
    <w:multiLevelType w:val="multilevel"/>
    <w:tmpl w:val="5C1ADB18"/>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14" w15:restartNumberingAfterBreak="0">
    <w:nsid w:val="33AF030D"/>
    <w:multiLevelType w:val="multilevel"/>
    <w:tmpl w:val="905489E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5" w15:restartNumberingAfterBreak="0">
    <w:nsid w:val="349278E4"/>
    <w:multiLevelType w:val="multilevel"/>
    <w:tmpl w:val="3CF877E6"/>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16" w15:restartNumberingAfterBreak="0">
    <w:nsid w:val="37405220"/>
    <w:multiLevelType w:val="multilevel"/>
    <w:tmpl w:val="CAC8F332"/>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17" w15:restartNumberingAfterBreak="0">
    <w:nsid w:val="38431370"/>
    <w:multiLevelType w:val="multilevel"/>
    <w:tmpl w:val="CA84CB9C"/>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18" w15:restartNumberingAfterBreak="0">
    <w:nsid w:val="3BCD788F"/>
    <w:multiLevelType w:val="multilevel"/>
    <w:tmpl w:val="91D4F4BC"/>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19" w15:restartNumberingAfterBreak="0">
    <w:nsid w:val="3F7A6756"/>
    <w:multiLevelType w:val="multilevel"/>
    <w:tmpl w:val="2918D996"/>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20" w15:restartNumberingAfterBreak="0">
    <w:nsid w:val="433B7F06"/>
    <w:multiLevelType w:val="multilevel"/>
    <w:tmpl w:val="D3A6095A"/>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21" w15:restartNumberingAfterBreak="0">
    <w:nsid w:val="436F3764"/>
    <w:multiLevelType w:val="multilevel"/>
    <w:tmpl w:val="7F08CFE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2" w15:restartNumberingAfterBreak="0">
    <w:nsid w:val="44D433DD"/>
    <w:multiLevelType w:val="multilevel"/>
    <w:tmpl w:val="BF00EE2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3" w15:restartNumberingAfterBreak="0">
    <w:nsid w:val="45947ED7"/>
    <w:multiLevelType w:val="multilevel"/>
    <w:tmpl w:val="815E6A8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4" w15:restartNumberingAfterBreak="0">
    <w:nsid w:val="478C09A6"/>
    <w:multiLevelType w:val="multilevel"/>
    <w:tmpl w:val="A878756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5" w15:restartNumberingAfterBreak="0">
    <w:nsid w:val="4BDE394D"/>
    <w:multiLevelType w:val="multilevel"/>
    <w:tmpl w:val="DFC4098E"/>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26" w15:restartNumberingAfterBreak="0">
    <w:nsid w:val="4CB804A8"/>
    <w:multiLevelType w:val="multilevel"/>
    <w:tmpl w:val="A6908F0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7" w15:restartNumberingAfterBreak="0">
    <w:nsid w:val="50371BAE"/>
    <w:multiLevelType w:val="multilevel"/>
    <w:tmpl w:val="50B81F6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8" w15:restartNumberingAfterBreak="0">
    <w:nsid w:val="53D14B18"/>
    <w:multiLevelType w:val="multilevel"/>
    <w:tmpl w:val="5C1AB98C"/>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29" w15:restartNumberingAfterBreak="0">
    <w:nsid w:val="55D04B1E"/>
    <w:multiLevelType w:val="multilevel"/>
    <w:tmpl w:val="0D3405BE"/>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30" w15:restartNumberingAfterBreak="0">
    <w:nsid w:val="569441F1"/>
    <w:multiLevelType w:val="multilevel"/>
    <w:tmpl w:val="DEC004A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1" w15:restartNumberingAfterBreak="0">
    <w:nsid w:val="5D066D16"/>
    <w:multiLevelType w:val="multilevel"/>
    <w:tmpl w:val="739ED732"/>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bullet"/>
      <w:lvlText w:val=""/>
      <w:lvlJc w:val="left"/>
      <w:pPr>
        <w:tabs>
          <w:tab w:val="num" w:pos="1440"/>
        </w:tabs>
        <w:ind w:left="1440" w:hanging="360"/>
      </w:pPr>
      <w:rPr>
        <w:rFonts w:ascii="Symbol" w:hAnsi="Symbol" w:cs="Symbol" w:hint="default"/>
      </w:r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32" w15:restartNumberingAfterBreak="0">
    <w:nsid w:val="5E7044B7"/>
    <w:multiLevelType w:val="multilevel"/>
    <w:tmpl w:val="E84650F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3" w15:restartNumberingAfterBreak="0">
    <w:nsid w:val="5FC31790"/>
    <w:multiLevelType w:val="multilevel"/>
    <w:tmpl w:val="44C47300"/>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34" w15:restartNumberingAfterBreak="0">
    <w:nsid w:val="65CE61E9"/>
    <w:multiLevelType w:val="multilevel"/>
    <w:tmpl w:val="C4AC6F6E"/>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35" w15:restartNumberingAfterBreak="0">
    <w:nsid w:val="66EE17A0"/>
    <w:multiLevelType w:val="multilevel"/>
    <w:tmpl w:val="2A822DF6"/>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36" w15:restartNumberingAfterBreak="0">
    <w:nsid w:val="6B8B06B2"/>
    <w:multiLevelType w:val="multilevel"/>
    <w:tmpl w:val="082E0D2C"/>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37" w15:restartNumberingAfterBreak="0">
    <w:nsid w:val="6D8B4195"/>
    <w:multiLevelType w:val="multilevel"/>
    <w:tmpl w:val="802C892A"/>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38" w15:restartNumberingAfterBreak="0">
    <w:nsid w:val="6F107A2E"/>
    <w:multiLevelType w:val="multilevel"/>
    <w:tmpl w:val="1BCCB38C"/>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39" w15:restartNumberingAfterBreak="0">
    <w:nsid w:val="6F4F753F"/>
    <w:multiLevelType w:val="multilevel"/>
    <w:tmpl w:val="A2DC755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0" w15:restartNumberingAfterBreak="0">
    <w:nsid w:val="708200E4"/>
    <w:multiLevelType w:val="multilevel"/>
    <w:tmpl w:val="982E97CC"/>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41" w15:restartNumberingAfterBreak="0">
    <w:nsid w:val="73456C8C"/>
    <w:multiLevelType w:val="multilevel"/>
    <w:tmpl w:val="EA8A41C6"/>
    <w:lvl w:ilvl="0">
      <w:start w:val="1"/>
      <w:numFmt w:val="lowerLetter"/>
      <w:lvlText w:val="%1."/>
      <w:lvlJc w:val="left"/>
      <w:pPr>
        <w:tabs>
          <w:tab w:val="num" w:pos="0"/>
        </w:tabs>
        <w:ind w:left="1440" w:hanging="360"/>
      </w:pPr>
    </w:lvl>
    <w:lvl w:ilvl="1">
      <w:start w:val="1"/>
      <w:numFmt w:val="lowerLetter"/>
      <w:lvlText w:val="%2."/>
      <w:lvlJc w:val="left"/>
      <w:pPr>
        <w:tabs>
          <w:tab w:val="num" w:pos="0"/>
        </w:tabs>
        <w:ind w:left="2160" w:hanging="360"/>
      </w:pPr>
    </w:lvl>
    <w:lvl w:ilvl="2">
      <w:start w:val="1"/>
      <w:numFmt w:val="lowerRoman"/>
      <w:lvlText w:val="%3."/>
      <w:lvlJc w:val="right"/>
      <w:pPr>
        <w:tabs>
          <w:tab w:val="num" w:pos="0"/>
        </w:tabs>
        <w:ind w:left="2880" w:hanging="180"/>
      </w:pPr>
    </w:lvl>
    <w:lvl w:ilvl="3">
      <w:start w:val="1"/>
      <w:numFmt w:val="decimal"/>
      <w:lvlText w:val="%4."/>
      <w:lvlJc w:val="left"/>
      <w:pPr>
        <w:tabs>
          <w:tab w:val="num" w:pos="0"/>
        </w:tabs>
        <w:ind w:left="3600" w:hanging="360"/>
      </w:pPr>
    </w:lvl>
    <w:lvl w:ilvl="4">
      <w:start w:val="1"/>
      <w:numFmt w:val="lowerLetter"/>
      <w:lvlText w:val="%5."/>
      <w:lvlJc w:val="left"/>
      <w:pPr>
        <w:tabs>
          <w:tab w:val="num" w:pos="0"/>
        </w:tabs>
        <w:ind w:left="4320" w:hanging="360"/>
      </w:pPr>
    </w:lvl>
    <w:lvl w:ilvl="5">
      <w:start w:val="1"/>
      <w:numFmt w:val="lowerRoman"/>
      <w:lvlText w:val="%6."/>
      <w:lvlJc w:val="right"/>
      <w:pPr>
        <w:tabs>
          <w:tab w:val="num" w:pos="0"/>
        </w:tabs>
        <w:ind w:left="5040" w:hanging="180"/>
      </w:pPr>
    </w:lvl>
    <w:lvl w:ilvl="6">
      <w:start w:val="1"/>
      <w:numFmt w:val="decimal"/>
      <w:lvlText w:val="%7."/>
      <w:lvlJc w:val="left"/>
      <w:pPr>
        <w:tabs>
          <w:tab w:val="num" w:pos="0"/>
        </w:tabs>
        <w:ind w:left="5760" w:hanging="360"/>
      </w:pPr>
    </w:lvl>
    <w:lvl w:ilvl="7">
      <w:start w:val="1"/>
      <w:numFmt w:val="lowerLetter"/>
      <w:lvlText w:val="%8."/>
      <w:lvlJc w:val="left"/>
      <w:pPr>
        <w:tabs>
          <w:tab w:val="num" w:pos="0"/>
        </w:tabs>
        <w:ind w:left="6480" w:hanging="360"/>
      </w:pPr>
    </w:lvl>
    <w:lvl w:ilvl="8">
      <w:start w:val="1"/>
      <w:numFmt w:val="lowerRoman"/>
      <w:lvlText w:val="%9."/>
      <w:lvlJc w:val="right"/>
      <w:pPr>
        <w:tabs>
          <w:tab w:val="num" w:pos="0"/>
        </w:tabs>
        <w:ind w:left="7200" w:hanging="180"/>
      </w:pPr>
    </w:lvl>
  </w:abstractNum>
  <w:abstractNum w:abstractNumId="42" w15:restartNumberingAfterBreak="0">
    <w:nsid w:val="76A15A6A"/>
    <w:multiLevelType w:val="multilevel"/>
    <w:tmpl w:val="A0D21F5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3" w15:restartNumberingAfterBreak="0">
    <w:nsid w:val="76C53EF8"/>
    <w:multiLevelType w:val="multilevel"/>
    <w:tmpl w:val="E56E45B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4" w15:restartNumberingAfterBreak="0">
    <w:nsid w:val="7895330E"/>
    <w:multiLevelType w:val="multilevel"/>
    <w:tmpl w:val="ABE2820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5" w15:restartNumberingAfterBreak="0">
    <w:nsid w:val="7B9B39D1"/>
    <w:multiLevelType w:val="multilevel"/>
    <w:tmpl w:val="952C2BB4"/>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46" w15:restartNumberingAfterBreak="0">
    <w:nsid w:val="7C6A315D"/>
    <w:multiLevelType w:val="multilevel"/>
    <w:tmpl w:val="08261190"/>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47" w15:restartNumberingAfterBreak="0">
    <w:nsid w:val="7D1F6764"/>
    <w:multiLevelType w:val="multilevel"/>
    <w:tmpl w:val="815E6A8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abstractNumId w:val="21"/>
  </w:num>
  <w:num w:numId="2">
    <w:abstractNumId w:val="9"/>
  </w:num>
  <w:num w:numId="3">
    <w:abstractNumId w:val="23"/>
  </w:num>
  <w:num w:numId="4">
    <w:abstractNumId w:val="42"/>
  </w:num>
  <w:num w:numId="5">
    <w:abstractNumId w:val="32"/>
  </w:num>
  <w:num w:numId="6">
    <w:abstractNumId w:val="41"/>
  </w:num>
  <w:num w:numId="7">
    <w:abstractNumId w:val="26"/>
  </w:num>
  <w:num w:numId="8">
    <w:abstractNumId w:val="15"/>
  </w:num>
  <w:num w:numId="9">
    <w:abstractNumId w:val="11"/>
  </w:num>
  <w:num w:numId="10">
    <w:abstractNumId w:val="17"/>
  </w:num>
  <w:num w:numId="11">
    <w:abstractNumId w:val="34"/>
  </w:num>
  <w:num w:numId="12">
    <w:abstractNumId w:val="13"/>
  </w:num>
  <w:num w:numId="13">
    <w:abstractNumId w:val="27"/>
  </w:num>
  <w:num w:numId="14">
    <w:abstractNumId w:val="16"/>
  </w:num>
  <w:num w:numId="15">
    <w:abstractNumId w:val="19"/>
  </w:num>
  <w:num w:numId="16">
    <w:abstractNumId w:val="35"/>
  </w:num>
  <w:num w:numId="17">
    <w:abstractNumId w:val="28"/>
  </w:num>
  <w:num w:numId="18">
    <w:abstractNumId w:val="29"/>
  </w:num>
  <w:num w:numId="19">
    <w:abstractNumId w:val="33"/>
  </w:num>
  <w:num w:numId="20">
    <w:abstractNumId w:val="12"/>
  </w:num>
  <w:num w:numId="21">
    <w:abstractNumId w:val="36"/>
  </w:num>
  <w:num w:numId="22">
    <w:abstractNumId w:val="25"/>
  </w:num>
  <w:num w:numId="23">
    <w:abstractNumId w:val="40"/>
  </w:num>
  <w:num w:numId="24">
    <w:abstractNumId w:val="37"/>
  </w:num>
  <w:num w:numId="25">
    <w:abstractNumId w:val="31"/>
  </w:num>
  <w:num w:numId="26">
    <w:abstractNumId w:val="6"/>
  </w:num>
  <w:num w:numId="27">
    <w:abstractNumId w:val="4"/>
  </w:num>
  <w:num w:numId="28">
    <w:abstractNumId w:val="5"/>
  </w:num>
  <w:num w:numId="29">
    <w:abstractNumId w:val="8"/>
  </w:num>
  <w:num w:numId="30">
    <w:abstractNumId w:val="45"/>
  </w:num>
  <w:num w:numId="31">
    <w:abstractNumId w:val="46"/>
  </w:num>
  <w:num w:numId="32">
    <w:abstractNumId w:val="2"/>
  </w:num>
  <w:num w:numId="33">
    <w:abstractNumId w:val="18"/>
  </w:num>
  <w:num w:numId="34">
    <w:abstractNumId w:val="20"/>
  </w:num>
  <w:num w:numId="35">
    <w:abstractNumId w:val="0"/>
  </w:num>
  <w:num w:numId="36">
    <w:abstractNumId w:val="38"/>
  </w:num>
  <w:num w:numId="37">
    <w:abstractNumId w:val="30"/>
  </w:num>
  <w:num w:numId="38">
    <w:abstractNumId w:val="24"/>
  </w:num>
  <w:num w:numId="39">
    <w:abstractNumId w:val="44"/>
  </w:num>
  <w:num w:numId="40">
    <w:abstractNumId w:val="14"/>
  </w:num>
  <w:num w:numId="41">
    <w:abstractNumId w:val="22"/>
  </w:num>
  <w:num w:numId="42">
    <w:abstractNumId w:val="7"/>
  </w:num>
  <w:num w:numId="43">
    <w:abstractNumId w:val="43"/>
  </w:num>
  <w:num w:numId="44">
    <w:abstractNumId w:val="39"/>
  </w:num>
  <w:num w:numId="45">
    <w:abstractNumId w:val="3"/>
  </w:num>
  <w:num w:numId="46">
    <w:abstractNumId w:val="27"/>
    <w:lvlOverride w:ilvl="0">
      <w:startOverride w:val="1"/>
    </w:lvlOverride>
    <w:lvlOverride w:ilvl="1">
      <w:startOverride w:val="1"/>
    </w:lvlOverride>
  </w:num>
  <w:num w:numId="47">
    <w:abstractNumId w:val="27"/>
    <w:lvlOverride w:ilvl="0">
      <w:startOverride w:val="1"/>
    </w:lvlOverride>
    <w:lvlOverride w:ilvl="1">
      <w:startOverride w:val="1"/>
    </w:lvlOverride>
  </w:num>
  <w:num w:numId="48">
    <w:abstractNumId w:val="27"/>
    <w:lvlOverride w:ilvl="0">
      <w:startOverride w:val="1"/>
    </w:lvlOverride>
    <w:lvlOverride w:ilvl="1">
      <w:startOverride w:val="1"/>
    </w:lvlOverride>
  </w:num>
  <w:num w:numId="49">
    <w:abstractNumId w:val="10"/>
  </w:num>
  <w:num w:numId="50">
    <w:abstractNumId w:val="1"/>
  </w:num>
  <w:num w:numId="51">
    <w:abstractNumId w:val="47"/>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3327"/>
    <w:rsid w:val="000224FE"/>
    <w:rsid w:val="00096566"/>
    <w:rsid w:val="00127B78"/>
    <w:rsid w:val="001517CE"/>
    <w:rsid w:val="001E2B34"/>
    <w:rsid w:val="00221499"/>
    <w:rsid w:val="00282B06"/>
    <w:rsid w:val="00296EF9"/>
    <w:rsid w:val="00297B7C"/>
    <w:rsid w:val="00336969"/>
    <w:rsid w:val="00355843"/>
    <w:rsid w:val="00365D2C"/>
    <w:rsid w:val="003C4F19"/>
    <w:rsid w:val="003E17CC"/>
    <w:rsid w:val="00454E8C"/>
    <w:rsid w:val="00482DA7"/>
    <w:rsid w:val="004B7C87"/>
    <w:rsid w:val="00532718"/>
    <w:rsid w:val="00536831"/>
    <w:rsid w:val="00555C33"/>
    <w:rsid w:val="00560B86"/>
    <w:rsid w:val="005C5151"/>
    <w:rsid w:val="005D4244"/>
    <w:rsid w:val="00604CE1"/>
    <w:rsid w:val="00625D22"/>
    <w:rsid w:val="00643327"/>
    <w:rsid w:val="00664045"/>
    <w:rsid w:val="006B4EE9"/>
    <w:rsid w:val="006B5187"/>
    <w:rsid w:val="006F754D"/>
    <w:rsid w:val="0070622B"/>
    <w:rsid w:val="00762050"/>
    <w:rsid w:val="00795839"/>
    <w:rsid w:val="008109D2"/>
    <w:rsid w:val="008600D4"/>
    <w:rsid w:val="00864A98"/>
    <w:rsid w:val="008921C1"/>
    <w:rsid w:val="008A6DF8"/>
    <w:rsid w:val="008C19FA"/>
    <w:rsid w:val="008C579A"/>
    <w:rsid w:val="00946BAA"/>
    <w:rsid w:val="00974A2D"/>
    <w:rsid w:val="009944E1"/>
    <w:rsid w:val="009A1908"/>
    <w:rsid w:val="009A4D88"/>
    <w:rsid w:val="009B033E"/>
    <w:rsid w:val="009B6C48"/>
    <w:rsid w:val="00A02D41"/>
    <w:rsid w:val="00A12FEF"/>
    <w:rsid w:val="00A3207E"/>
    <w:rsid w:val="00AB0507"/>
    <w:rsid w:val="00AD04C0"/>
    <w:rsid w:val="00B43776"/>
    <w:rsid w:val="00B53C07"/>
    <w:rsid w:val="00B63280"/>
    <w:rsid w:val="00B9311A"/>
    <w:rsid w:val="00BC1C73"/>
    <w:rsid w:val="00BD6A66"/>
    <w:rsid w:val="00BF566B"/>
    <w:rsid w:val="00C04695"/>
    <w:rsid w:val="00D278B1"/>
    <w:rsid w:val="00D9182A"/>
    <w:rsid w:val="00DD0E74"/>
    <w:rsid w:val="00E30FE8"/>
    <w:rsid w:val="00F134EB"/>
    <w:rsid w:val="00F433D0"/>
    <w:rsid w:val="00F665B6"/>
    <w:rsid w:val="00F74837"/>
    <w:rsid w:val="00F76909"/>
    <w:rsid w:val="00F869BF"/>
    <w:rsid w:val="00FA07FE"/>
    <w:rsid w:val="00FB1C2F"/>
    <w:rsid w:val="00FF2EEF"/>
  </w:rsids>
  <m:mathPr>
    <m:mathFont m:val="Cambria Math"/>
    <m:brkBin m:val="before"/>
    <m:brkBinSub m:val="--"/>
    <m:smallFrac m:val="0"/>
    <m:dispDef/>
    <m:lMargin m:val="0"/>
    <m:rMargin m:val="0"/>
    <m:defJc m:val="centerGroup"/>
    <m:wrapIndent m:val="1440"/>
    <m:intLim m:val="subSup"/>
    <m:naryLim m:val="undOvr"/>
  </m:mathPr>
  <w:themeFontLang w:val="en-US" w:eastAsia=""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C99AC"/>
  <w15:docId w15:val="{2DE4DD30-A76B-40C5-AEF8-4C4D0EC7F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20692"/>
    <w:pPr>
      <w:bidi/>
    </w:pPr>
    <w:rPr>
      <w:rFonts w:cs="Shofar"/>
    </w:rPr>
  </w:style>
  <w:style w:type="paragraph" w:styleId="Heading1">
    <w:name w:val="heading 1"/>
    <w:basedOn w:val="Normal"/>
    <w:next w:val="Normal"/>
    <w:link w:val="Heading1Char"/>
    <w:uiPriority w:val="9"/>
    <w:qFormat/>
    <w:rsid w:val="00EC4996"/>
    <w:pPr>
      <w:keepNext/>
      <w:keepLines/>
      <w:jc w:val="center"/>
      <w:outlineLvl w:val="0"/>
    </w:pPr>
    <w:rPr>
      <w:rFonts w:asciiTheme="majorHAnsi" w:eastAsiaTheme="majorEastAsia" w:hAnsiTheme="majorHAnsi" w:cstheme="majorBidi"/>
      <w:bCs/>
      <w:color w:val="FF0000"/>
      <w:sz w:val="28"/>
      <w:szCs w:val="28"/>
    </w:rPr>
  </w:style>
  <w:style w:type="paragraph" w:styleId="Heading2">
    <w:name w:val="heading 2"/>
    <w:basedOn w:val="Normal"/>
    <w:next w:val="Normal"/>
    <w:link w:val="Heading2Char"/>
    <w:uiPriority w:val="9"/>
    <w:unhideWhenUsed/>
    <w:qFormat/>
    <w:rsid w:val="00EC4996"/>
    <w:pPr>
      <w:keepNext/>
      <w:keepLines/>
      <w:ind w:left="288"/>
      <w:outlineLvl w:val="1"/>
    </w:pPr>
    <w:rPr>
      <w:rFonts w:asciiTheme="majorHAnsi" w:eastAsiaTheme="majorEastAsia" w:hAnsiTheme="majorHAnsi" w:cstheme="majorBidi"/>
      <w:bCs/>
      <w:color w:val="000000"/>
      <w:sz w:val="26"/>
      <w:szCs w:val="24"/>
    </w:rPr>
  </w:style>
  <w:style w:type="paragraph" w:styleId="Heading3">
    <w:name w:val="heading 3"/>
    <w:basedOn w:val="Heading"/>
    <w:next w:val="BodyText"/>
    <w:qFormat/>
    <w:pPr>
      <w:numPr>
        <w:ilvl w:val="2"/>
        <w:numId w:val="1"/>
      </w:numPr>
      <w:spacing w:before="0" w:after="0"/>
      <w:ind w:left="432"/>
      <w:outlineLvl w:val="2"/>
    </w:pPr>
    <w:rPr>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TextChar">
    <w:name w:val="Footnote Text Char"/>
    <w:basedOn w:val="DefaultParagraphFont"/>
    <w:link w:val="FootnoteText"/>
    <w:uiPriority w:val="99"/>
    <w:qFormat/>
    <w:rsid w:val="006A1A11"/>
    <w:rPr>
      <w:sz w:val="20"/>
      <w:szCs w:val="20"/>
    </w:rPr>
  </w:style>
  <w:style w:type="character" w:customStyle="1" w:styleId="FootnoteCharacters">
    <w:name w:val="Footnote Characters"/>
    <w:uiPriority w:val="99"/>
    <w:semiHidden/>
    <w:unhideWhenUsed/>
    <w:qFormat/>
    <w:rsid w:val="006A1A11"/>
    <w:rPr>
      <w:vertAlign w:val="superscript"/>
    </w:rPr>
  </w:style>
  <w:style w:type="character" w:styleId="FootnoteReference">
    <w:name w:val="footnote reference"/>
    <w:rPr>
      <w:vertAlign w:val="superscript"/>
    </w:rPr>
  </w:style>
  <w:style w:type="character" w:customStyle="1" w:styleId="EndnoteTextChar">
    <w:name w:val="Endnote Text Char"/>
    <w:basedOn w:val="DefaultParagraphFont"/>
    <w:link w:val="EndnoteText"/>
    <w:uiPriority w:val="99"/>
    <w:semiHidden/>
    <w:qFormat/>
    <w:rsid w:val="00264103"/>
    <w:rPr>
      <w:sz w:val="20"/>
      <w:szCs w:val="20"/>
    </w:rPr>
  </w:style>
  <w:style w:type="character" w:customStyle="1" w:styleId="EndnoteCharacters">
    <w:name w:val="Endnote Characters"/>
    <w:uiPriority w:val="99"/>
    <w:semiHidden/>
    <w:unhideWhenUsed/>
    <w:qFormat/>
    <w:rsid w:val="00264103"/>
    <w:rPr>
      <w:vertAlign w:val="superscript"/>
    </w:rPr>
  </w:style>
  <w:style w:type="character" w:styleId="EndnoteReference">
    <w:name w:val="endnote reference"/>
    <w:rPr>
      <w:vertAlign w:val="superscript"/>
    </w:rPr>
  </w:style>
  <w:style w:type="character" w:customStyle="1" w:styleId="HeaderChar">
    <w:name w:val="Header Char"/>
    <w:basedOn w:val="DefaultParagraphFont"/>
    <w:link w:val="Header"/>
    <w:uiPriority w:val="99"/>
    <w:qFormat/>
    <w:rsid w:val="00FB3D21"/>
  </w:style>
  <w:style w:type="character" w:customStyle="1" w:styleId="FooterChar">
    <w:name w:val="Footer Char"/>
    <w:basedOn w:val="DefaultParagraphFont"/>
    <w:link w:val="Footer"/>
    <w:uiPriority w:val="99"/>
    <w:qFormat/>
    <w:rsid w:val="00FB3D21"/>
  </w:style>
  <w:style w:type="character" w:customStyle="1" w:styleId="Heading1Char">
    <w:name w:val="Heading 1 Char"/>
    <w:basedOn w:val="DefaultParagraphFont"/>
    <w:link w:val="Heading1"/>
    <w:uiPriority w:val="9"/>
    <w:qFormat/>
    <w:rsid w:val="00EC4996"/>
    <w:rPr>
      <w:rFonts w:asciiTheme="majorHAnsi" w:eastAsiaTheme="majorEastAsia" w:hAnsiTheme="majorHAnsi" w:cstheme="majorBidi"/>
      <w:color w:val="FF0000"/>
      <w:sz w:val="28"/>
      <w:szCs w:val="28"/>
    </w:rPr>
  </w:style>
  <w:style w:type="character" w:customStyle="1" w:styleId="Heading2Char">
    <w:name w:val="Heading 2 Char"/>
    <w:basedOn w:val="DefaultParagraphFont"/>
    <w:link w:val="Heading2"/>
    <w:uiPriority w:val="9"/>
    <w:qFormat/>
    <w:rsid w:val="00EC4996"/>
    <w:rPr>
      <w:rFonts w:asciiTheme="majorHAnsi" w:eastAsiaTheme="majorEastAsia" w:hAnsiTheme="majorHAnsi" w:cstheme="majorBidi"/>
      <w:color w:val="2E74B5" w:themeColor="accent1" w:themeShade="BF"/>
      <w:sz w:val="26"/>
      <w:szCs w:val="26"/>
    </w:rPr>
  </w:style>
  <w:style w:type="character" w:customStyle="1" w:styleId="NumberingSymbols">
    <w:name w:val="Numbering Symbols"/>
    <w:qFormat/>
  </w:style>
  <w:style w:type="character" w:customStyle="1" w:styleId="BalloonTextChar">
    <w:name w:val="Balloon Text Char"/>
    <w:basedOn w:val="DefaultParagraphFont"/>
    <w:link w:val="BalloonText"/>
    <w:uiPriority w:val="99"/>
    <w:semiHidden/>
    <w:qFormat/>
    <w:rsid w:val="00E532B5"/>
    <w:rPr>
      <w:rFonts w:ascii="Segoe UI" w:hAnsi="Segoe UI" w:cs="Segoe UI"/>
      <w:sz w:val="18"/>
      <w:szCs w:val="18"/>
    </w:rPr>
  </w:style>
  <w:style w:type="character" w:styleId="LineNumber">
    <w:name w:val="line number"/>
  </w:style>
  <w:style w:type="character" w:styleId="Hyperlink">
    <w:name w:val="Hyperlink"/>
    <w:rPr>
      <w:color w:val="000080"/>
      <w:u w:val="single"/>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sz w:val="24"/>
      <w:szCs w:val="24"/>
    </w:rPr>
  </w:style>
  <w:style w:type="paragraph" w:customStyle="1" w:styleId="Index">
    <w:name w:val="Index"/>
    <w:basedOn w:val="Normal"/>
    <w:qFormat/>
    <w:pPr>
      <w:suppressLineNumbers/>
    </w:pPr>
  </w:style>
  <w:style w:type="paragraph" w:styleId="FootnoteText">
    <w:name w:val="footnote text"/>
    <w:basedOn w:val="Normal"/>
    <w:link w:val="FootnoteTextChar"/>
    <w:uiPriority w:val="99"/>
    <w:unhideWhenUsed/>
    <w:rsid w:val="006A1A11"/>
    <w:rPr>
      <w:sz w:val="20"/>
      <w:szCs w:val="20"/>
    </w:rPr>
  </w:style>
  <w:style w:type="paragraph" w:styleId="EndnoteText">
    <w:name w:val="endnote text"/>
    <w:basedOn w:val="Normal"/>
    <w:link w:val="EndnoteTextChar"/>
    <w:uiPriority w:val="99"/>
    <w:semiHidden/>
    <w:unhideWhenUsed/>
    <w:rsid w:val="00264103"/>
    <w:rPr>
      <w:sz w:val="20"/>
      <w:szCs w:val="20"/>
    </w:rPr>
  </w:style>
  <w:style w:type="paragraph" w:styleId="ListParagraph">
    <w:name w:val="List Paragraph"/>
    <w:basedOn w:val="Normal"/>
    <w:uiPriority w:val="34"/>
    <w:qFormat/>
    <w:rsid w:val="00D55396"/>
    <w:pPr>
      <w:ind w:left="720"/>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FB3D21"/>
    <w:pPr>
      <w:tabs>
        <w:tab w:val="center" w:pos="4320"/>
        <w:tab w:val="right" w:pos="8640"/>
      </w:tabs>
    </w:pPr>
  </w:style>
  <w:style w:type="paragraph" w:styleId="Footer">
    <w:name w:val="footer"/>
    <w:basedOn w:val="Normal"/>
    <w:link w:val="FooterChar"/>
    <w:uiPriority w:val="99"/>
    <w:unhideWhenUsed/>
    <w:rsid w:val="00FB3D21"/>
    <w:pPr>
      <w:tabs>
        <w:tab w:val="center" w:pos="4320"/>
        <w:tab w:val="right" w:pos="8640"/>
      </w:tabs>
    </w:pPr>
  </w:style>
  <w:style w:type="paragraph" w:styleId="BalloonText">
    <w:name w:val="Balloon Text"/>
    <w:basedOn w:val="Normal"/>
    <w:link w:val="BalloonTextChar"/>
    <w:uiPriority w:val="99"/>
    <w:semiHidden/>
    <w:unhideWhenUsed/>
    <w:qFormat/>
    <w:rsid w:val="00E532B5"/>
    <w:rPr>
      <w:rFonts w:ascii="Segoe UI" w:hAnsi="Segoe UI" w:cs="Segoe UI"/>
      <w:sz w:val="18"/>
      <w:szCs w:val="18"/>
    </w:rPr>
  </w:style>
  <w:style w:type="paragraph" w:styleId="IndexHeading">
    <w:name w:val="index heading"/>
    <w:basedOn w:val="Heading"/>
  </w:style>
  <w:style w:type="paragraph" w:styleId="TOCHeading">
    <w:name w:val="TOC Heading"/>
    <w:basedOn w:val="IndexHeading"/>
  </w:style>
  <w:style w:type="paragraph" w:styleId="TOC1">
    <w:name w:val="toc 1"/>
    <w:basedOn w:val="Index"/>
    <w:pPr>
      <w:tabs>
        <w:tab w:val="right" w:leader="dot" w:pos="8640"/>
      </w:tabs>
    </w:pPr>
  </w:style>
  <w:style w:type="paragraph" w:styleId="TOC2">
    <w:name w:val="toc 2"/>
    <w:basedOn w:val="Index"/>
    <w:pPr>
      <w:tabs>
        <w:tab w:val="right" w:leader="dot" w:pos="8357"/>
      </w:tabs>
      <w:ind w:left="283"/>
    </w:pPr>
  </w:style>
  <w:style w:type="paragraph" w:styleId="TOC3">
    <w:name w:val="toc 3"/>
    <w:basedOn w:val="Index"/>
    <w:pPr>
      <w:tabs>
        <w:tab w:val="right" w:leader="dot" w:pos="8073"/>
      </w:tabs>
      <w:ind w:left="56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007501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D4B39C-0F6F-42AA-A78F-793FE1CB05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6796</TotalTime>
  <Pages>25</Pages>
  <Words>4953</Words>
  <Characters>28238</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שי הכהן</dc:creator>
  <dc:description/>
  <cp:lastModifiedBy>שי הכהן</cp:lastModifiedBy>
  <cp:revision>620</cp:revision>
  <dcterms:created xsi:type="dcterms:W3CDTF">2023-05-19T02:15:00Z</dcterms:created>
  <dcterms:modified xsi:type="dcterms:W3CDTF">2024-03-21T18:21:00Z</dcterms:modified>
  <dc:language>en-US</dc:language>
</cp:coreProperties>
</file>