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9"/>
        <w:gridCol w:w="605"/>
        <w:gridCol w:w="712"/>
        <w:gridCol w:w="712"/>
        <w:gridCol w:w="712"/>
        <w:gridCol w:w="877"/>
        <w:gridCol w:w="550"/>
        <w:gridCol w:w="616"/>
        <w:gridCol w:w="734"/>
        <w:gridCol w:w="616"/>
        <w:gridCol w:w="671"/>
        <w:gridCol w:w="550"/>
        <w:gridCol w:w="533"/>
        <w:gridCol w:w="623"/>
        <w:gridCol w:w="712"/>
      </w:tblGrid>
      <w:tr>
        <w:trPr/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u w:val="single"/>
                <w:rtl w:val="true"/>
              </w:rPr>
              <w:t>הלל</w:t>
            </w:r>
          </w:p>
        </w:tc>
        <w:tc>
          <w:tcPr>
            <w:tcW w:w="2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u w:val="single"/>
                <w:rtl w:val="true"/>
              </w:rPr>
              <w:t>מגילה</w:t>
            </w:r>
          </w:p>
        </w:tc>
        <w:tc>
          <w:tcPr>
            <w:tcW w:w="648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u w:val="single"/>
                <w:rtl w:val="true"/>
              </w:rPr>
              <w:t>קריאת שמע</w:t>
            </w:r>
          </w:p>
        </w:tc>
      </w:tr>
      <w:tr>
        <w:trPr/>
        <w:tc>
          <w:tcPr>
            <w:tcW w:w="3490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דין שניהם שווים</w:t>
            </w: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והוא</w:t>
            </w: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  <w:t>:</w:t>
            </w:r>
          </w:p>
        </w:tc>
        <w:tc>
          <w:tcPr>
            <w:tcW w:w="339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rtl w:val="true"/>
              </w:rPr>
              <w:t>בין הפרקים</w:t>
            </w:r>
          </w:p>
        </w:tc>
        <w:tc>
          <w:tcPr>
            <w:tcW w:w="308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rtl w:val="true"/>
              </w:rPr>
              <w:t>באמצע פרק</w:t>
            </w:r>
          </w:p>
        </w:tc>
      </w:tr>
      <w:tr>
        <w:trPr/>
        <w:tc>
          <w:tcPr>
            <w:tcW w:w="3490" w:type="dxa"/>
            <w:gridSpan w:val="5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204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לשאר בני אדם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למי שחייב לכבד</w:t>
            </w:r>
          </w:p>
        </w:tc>
        <w:tc>
          <w:tcPr>
            <w:tcW w:w="6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למי שחייב לירא ממנו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לשאר בני אדם</w:t>
            </w:r>
          </w:p>
        </w:tc>
        <w:tc>
          <w:tcPr>
            <w:tcW w:w="1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למי שחייב לכבד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למי שחייב לירא ממנו</w:t>
            </w:r>
          </w:p>
        </w:tc>
      </w:tr>
      <w:tr>
        <w:trPr/>
        <w:tc>
          <w:tcPr>
            <w:tcW w:w="135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rtl w:val="true"/>
              </w:rPr>
              <w:t>יום שאין גומרים בו הלל</w:t>
            </w:r>
          </w:p>
        </w:tc>
        <w:tc>
          <w:tcPr>
            <w:tcW w:w="213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 w:val="22"/>
                <w:szCs w:val="22"/>
                <w:rtl w:val="true"/>
              </w:rPr>
              <w:t>יום שגומרים בו הלל</w:t>
            </w:r>
          </w:p>
        </w:tc>
        <w:tc>
          <w:tcPr>
            <w:tcW w:w="14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להשיב</w:t>
            </w:r>
          </w:p>
        </w:tc>
        <w:tc>
          <w:tcPr>
            <w:tcW w:w="6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לשאול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מותר</w:t>
            </w:r>
          </w:p>
        </w:tc>
        <w:tc>
          <w:tcPr>
            <w:tcW w:w="6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מותר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אסור</w:t>
            </w:r>
          </w:p>
        </w:tc>
        <w:tc>
          <w:tcPr>
            <w:tcW w:w="10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להשיב</w:t>
            </w:r>
          </w:p>
        </w:tc>
        <w:tc>
          <w:tcPr>
            <w:tcW w:w="6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לשאול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מותר</w:t>
            </w:r>
          </w:p>
        </w:tc>
      </w:tr>
      <w:tr>
        <w:trPr/>
        <w:tc>
          <w:tcPr>
            <w:tcW w:w="1354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דינו כדין קריאת שמע</w:t>
            </w:r>
            <w:r>
              <w:rPr>
                <w:rStyle w:val="FootnoteAnchor"/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footnoteReference w:id="2"/>
            </w:r>
          </w:p>
        </w:tc>
        <w:tc>
          <w:tcPr>
            <w:tcW w:w="142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רבה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רבי חייא</w:t>
            </w:r>
          </w:p>
        </w:tc>
        <w:tc>
          <w:tcPr>
            <w:tcW w:w="877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רבי יהודה</w:t>
            </w:r>
          </w:p>
        </w:tc>
        <w:tc>
          <w:tcPr>
            <w:tcW w:w="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רבי מאיר</w:t>
            </w:r>
          </w:p>
        </w:tc>
        <w:tc>
          <w:tcPr>
            <w:tcW w:w="6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אסור</w:t>
            </w:r>
          </w:p>
        </w:tc>
        <w:tc>
          <w:tcPr>
            <w:tcW w:w="73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71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רבי יהודה</w:t>
            </w:r>
          </w:p>
        </w:tc>
        <w:tc>
          <w:tcPr>
            <w:tcW w:w="53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רבי מאיר</w:t>
            </w:r>
          </w:p>
        </w:tc>
        <w:tc>
          <w:tcPr>
            <w:tcW w:w="62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אסור</w:t>
            </w:r>
          </w:p>
        </w:tc>
        <w:tc>
          <w:tcPr>
            <w:tcW w:w="71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</w:tr>
      <w:tr>
        <w:trPr/>
        <w:tc>
          <w:tcPr>
            <w:tcW w:w="135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בין הפרקים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באמצע הפרק</w:t>
            </w:r>
          </w:p>
        </w:tc>
        <w:tc>
          <w:tcPr>
            <w:tcW w:w="71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דינו כדין קריאת שמע</w:t>
            </w:r>
          </w:p>
        </w:tc>
        <w:tc>
          <w:tcPr>
            <w:tcW w:w="877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3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71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53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2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1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</w:tr>
      <w:tr>
        <w:trPr/>
        <w:tc>
          <w:tcPr>
            <w:tcW w:w="135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דינו כדין קריאת שמע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לא פוסק בכלל</w:t>
            </w:r>
            <w:r>
              <w:rPr>
                <w:rStyle w:val="FootnoteAnchor"/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footnoteReference w:id="3"/>
            </w:r>
          </w:p>
        </w:tc>
        <w:tc>
          <w:tcPr>
            <w:tcW w:w="71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877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3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71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5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53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23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1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</w:tr>
      <w:tr>
        <w:trPr/>
        <w:tc>
          <w:tcPr>
            <w:tcW w:w="3490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8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מותר</w:t>
            </w:r>
          </w:p>
        </w:tc>
        <w:tc>
          <w:tcPr>
            <w:tcW w:w="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אסור</w:t>
            </w:r>
          </w:p>
        </w:tc>
        <w:tc>
          <w:tcPr>
            <w:tcW w:w="6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מותר</w:t>
            </w:r>
          </w:p>
        </w:tc>
        <w:tc>
          <w:tcPr>
            <w:tcW w:w="5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 w:val="22"/>
                <w:szCs w:val="22"/>
                <w:rtl w:val="true"/>
              </w:rPr>
              <w:t>אסור</w:t>
            </w:r>
          </w:p>
        </w:tc>
        <w:tc>
          <w:tcPr>
            <w:tcW w:w="6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3490" w:type="dxa"/>
            <w:gridSpan w:val="5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  <w:tc>
          <w:tcPr>
            <w:tcW w:w="6482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rtl w:val="true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זה לא פשוט</w:t>
      </w:r>
      <w:r>
        <w:rPr>
          <w:rtl w:val="true"/>
        </w:rPr>
        <w:t xml:space="preserve">. </w:t>
      </w:r>
      <w:r>
        <w:rPr>
          <w:rtl w:val="true"/>
        </w:rPr>
        <w:t>גמ’ שואל אם מפסיק</w:t>
      </w:r>
      <w:r>
        <w:rPr>
          <w:rtl w:val="true"/>
        </w:rPr>
        <w:t xml:space="preserve">, </w:t>
      </w:r>
      <w:r>
        <w:rPr>
          <w:rtl w:val="true"/>
        </w:rPr>
        <w:t>מקל וחומר מקריאת שמע</w:t>
      </w:r>
      <w:r>
        <w:rPr>
          <w:rtl w:val="true"/>
        </w:rPr>
        <w:t xml:space="preserve">, </w:t>
      </w:r>
      <w:r>
        <w:rPr>
          <w:rtl w:val="true"/>
        </w:rPr>
        <w:t>ומשיב שיפסיק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משמע מגמ’ שכשאומר ”מפסיק“ רק מכוון לומר שיפסיק כקריאת שמע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יפסיק יותר מזה</w:t>
      </w:r>
      <w:r>
        <w:rPr>
          <w:rtl w:val="true"/>
        </w:rPr>
        <w:t xml:space="preserve">. </w:t>
      </w:r>
      <w:r>
        <w:rPr>
          <w:rtl w:val="true"/>
        </w:rPr>
        <w:t>כמו כן משמע גם לקמן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שואל למה רבינא לא הפסיק</w:t>
      </w:r>
      <w:r>
        <w:rPr>
          <w:rtl w:val="true"/>
        </w:rPr>
        <w:t xml:space="preserve">, </w:t>
      </w:r>
      <w:r>
        <w:rPr>
          <w:rtl w:val="true"/>
        </w:rPr>
        <w:t>והשיב שהשואל לא היה חשוב לו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- </w:t>
      </w:r>
      <w:r>
        <w:rPr>
          <w:rtl w:val="true"/>
        </w:rPr>
        <w:t>אטו יגרע משאר בני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שלא לכל מפסיקים</w:t>
      </w:r>
      <w:r>
        <w:rPr>
          <w:rtl w:val="true"/>
        </w:rPr>
        <w:t>. (</w:t>
      </w:r>
      <w:r>
        <w:rPr>
          <w:rtl w:val="true"/>
        </w:rPr>
        <w:t>יש לדחות שהיה כריש לקיש</w:t>
      </w:r>
      <w:r>
        <w:rPr>
          <w:rtl w:val="true"/>
        </w:rPr>
        <w:t xml:space="preserve">, </w:t>
      </w:r>
      <w:r>
        <w:rPr>
          <w:rtl w:val="true"/>
        </w:rPr>
        <w:t>ולא היה מדבר עם כל אדם</w:t>
      </w:r>
      <w:r>
        <w:rPr>
          <w:rtl w:val="true"/>
        </w:rPr>
        <w:t>.)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שאני נכון בזה</w:t>
      </w:r>
      <w:r>
        <w:rPr>
          <w:rtl w:val="true"/>
        </w:rPr>
        <w:t xml:space="preserve">, </w:t>
      </w:r>
      <w:r>
        <w:rPr>
          <w:rtl w:val="true"/>
        </w:rPr>
        <w:t>אבל נראה לי להמשיך עם מה שהנחנו לעיל</w:t>
      </w:r>
      <w:r>
        <w:rPr>
          <w:rtl w:val="true"/>
        </w:rPr>
        <w:t xml:space="preserve">, </w:t>
      </w:r>
      <w:r>
        <w:rPr>
          <w:rtl w:val="true"/>
        </w:rPr>
        <w:t>והוא ש“פסוק“ בגמ’ זה רצה לומר ”פוסק כמו קריאת שמע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שגמ’ אומר שבין הפרקים הוא פוסק כבק“ש</w:t>
      </w:r>
      <w:r>
        <w:rPr>
          <w:rtl w:val="true"/>
        </w:rPr>
        <w:t xml:space="preserve">, </w:t>
      </w:r>
      <w:r>
        <w:rPr>
          <w:rtl w:val="true"/>
        </w:rPr>
        <w:t>ובאמצע הפרק לא פוסק כבק“ש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כוונתו לומר שאז לא פוסק בכלל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9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LibreOffice/7.5.3.2$Windows_X86_64 LibreOffice_project/9f56dff12ba03b9acd7730a5a481eea045e468f3</Application>
  <AppVersion>15.0000</AppVersion>
  <Pages>1</Pages>
  <Words>202</Words>
  <Characters>810</Characters>
  <CharactersWithSpaces>970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2024-03-22T03:43:43Z</dcterms:created>
  <dc:creator>שאול יואל הכהן חייט</dc:creator>
  <dc:description/>
  <dc:language>en-US</dc:language>
  <cp:lastModifiedBy>שאול יואל הכהן חייט</cp:lastModifiedBy>
  <dcterms:modified xsi:type="dcterms:W3CDTF">2024-03-22T04:12:16Z</dcterms:modified>
  <cp:revision>1</cp:revision>
  <dc:subject/>
  <dc:title/>
</cp:coreProperties>
</file>