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6251575</wp:posOffset>
                </wp:positionH>
                <wp:positionV relativeFrom="paragraph">
                  <wp:posOffset>-93980</wp:posOffset>
                </wp:positionV>
                <wp:extent cx="790575" cy="3089910"/>
                <wp:effectExtent l="0" t="0" r="0" b="0"/>
                <wp:wrapNone/>
                <wp:docPr id="1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60" cy="308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סוגיות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: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 xml:space="preserve">זמני תפלה 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(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ושרש תפלות וזמנם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)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תפלת תשלומין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ג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תפלת שבת בע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ש ושל מ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ש בשבת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ערבית רשות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הקדם תפלות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ו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טעימה קודם תפלה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path="m0,0l-2147483645,0l-2147483645,-2147483646l0,-2147483646xe" fillcolor="white" stroked="f" o:allowincell="f" style="position:absolute;margin-left:492.25pt;margin-top:-7.4pt;width:62.2pt;height:243.2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סוגיות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: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 xml:space="preserve">זמני תפלה 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(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ושרש תפלות וזמנם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)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תפלת תשלומין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ג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תפלת שבת בע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ש ושל מ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ש בשבת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ערבית רשות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הקדם תפלות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ו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טעימה קודם תפלה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8">
                <wp:simplePos x="0" y="0"/>
                <wp:positionH relativeFrom="column">
                  <wp:posOffset>-433705</wp:posOffset>
                </wp:positionH>
                <wp:positionV relativeFrom="paragraph">
                  <wp:posOffset>52070</wp:posOffset>
                </wp:positionV>
                <wp:extent cx="399415" cy="409575"/>
                <wp:effectExtent l="635" t="635" r="635" b="635"/>
                <wp:wrapNone/>
                <wp:docPr id="3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0" cy="4096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כו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-44280" rIns="-44280" tIns="-44280" bIns="-442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t" o:allowincell="f" style="position:absolute;margin-left:-34.15pt;margin-top:4.1pt;width:31.4pt;height:32.2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</w:rPr>
                        <w:t>כו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635" distL="1270" distR="635" simplePos="0" locked="0" layoutInCell="0" allowOverlap="1" relativeHeight="59">
                <wp:simplePos x="0" y="0"/>
                <wp:positionH relativeFrom="column">
                  <wp:posOffset>-710565</wp:posOffset>
                </wp:positionH>
                <wp:positionV relativeFrom="paragraph">
                  <wp:posOffset>42545</wp:posOffset>
                </wp:positionV>
                <wp:extent cx="219075" cy="219075"/>
                <wp:effectExtent l="1270" t="1270" r="635" b="635"/>
                <wp:wrapNone/>
                <wp:docPr id="5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21924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ID="Shape 1" path="l-2147483589,-2147483584l-2147483619,0l-2147483587,-2147483584l-2147483613,-2147483612l-2147483585,-2147483583l-2147483615,-2147483611l-2147483619,-2147483581l-2147483617,-2147483611l-2147483590,-2147483583xe" fillcolor="red" stroked="t" o:allowincell="f" style="position:absolute;margin-left:-55.95pt;margin-top:3.35pt;width:17.2pt;height:17.2pt;mso-wrap-style:none;v-text-anchor:middle" type="_x0000_t12">
                <v:fill o:detectmouseclick="t" type="solid" color2="aqua"/>
                <v:stroke color="#3465a4" dashstyle="shortdot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b/>
          <w:b/>
          <w:bCs/>
          <w:u w:val="single"/>
          <w:rtl w:val="true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rtl w:val="true"/>
          <w:lang w:val="en-US"/>
        </w:rPr>
        <w:t>אומר זמני תפלה של ארבע תפלות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על שלש מהם מביא חולק המקדים את הזמן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על דין ראישון שבמשנה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ומק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על הת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1270" distB="0" distL="635" distR="635" simplePos="0" locked="0" layoutInCell="0" allowOverlap="1" relativeHeight="20">
                <wp:simplePos x="0" y="0"/>
                <wp:positionH relativeFrom="column">
                  <wp:posOffset>-433070</wp:posOffset>
                </wp:positionH>
                <wp:positionV relativeFrom="paragraph">
                  <wp:posOffset>111125</wp:posOffset>
                </wp:positionV>
                <wp:extent cx="399415" cy="680085"/>
                <wp:effectExtent l="635" t="1270" r="635" b="0"/>
                <wp:wrapNone/>
                <wp:docPr id="6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0" cy="680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כו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:</w:t>
                            </w:r>
                          </w:p>
                        </w:txbxContent>
                      </wps:txbx>
                      <wps:bodyPr lIns="-26640" rIns="-26640" tIns="-26640" bIns="-26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t" o:allowincell="f" style="position:absolute;margin-left:-34.1pt;margin-top:8.75pt;width:31.4pt;height:53.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כו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rtl w:val="true"/>
          <w:lang w:val="en-US"/>
        </w:rPr>
        <w:t>כדי לתרץ לק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שניה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הביא דין תפלת תשלומין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שואל בו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דמיון ודוחהו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פושטו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  <w:r>
        <w:rPr>
          <w:rFonts w:ascii="Times New Roman" w:hAnsi="Times New Roman" w:cs="Times New Roman"/>
          <w:rtl w:val="true"/>
          <w:lang w:val="en-US"/>
        </w:rPr>
        <w:t>מביא סמך לת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עוד שני דינים באותו ענין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על השני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שואל גמ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מי תקן תפלות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שני תשובות ובריי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לכל חד</w:t>
      </w:r>
      <w:r>
        <w:rPr>
          <w:rFonts w:cs="Times New Roman" w:ascii="Times New Roman" w:hAnsi="Times New Roman"/>
          <w:rtl w:val="true"/>
          <w:lang w:val="en-US" w:bidi="he-IL"/>
        </w:rPr>
        <w:t>. (</w:t>
      </w:r>
      <w:r>
        <w:rPr>
          <w:rFonts w:ascii="Times New Roman" w:hAnsi="Times New Roman" w:cs="Times New Roman"/>
          <w:rtl w:val="true"/>
          <w:lang w:val="en-US"/>
        </w:rPr>
        <w:t>באמצע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דן בשיטת 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י במנחה</w:t>
      </w:r>
      <w:r>
        <w:rPr>
          <w:rFonts w:cs="Times New Roman" w:ascii="Times New Roman" w:hAnsi="Times New Roman"/>
          <w:rtl w:val="true"/>
          <w:lang w:val="en-US" w:bidi="he-IL"/>
        </w:rPr>
        <w:t xml:space="preserve">.)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חד מהבריי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על החול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  <w:bookmarkStart w:id="0" w:name="_GoBack"/>
      <w:bookmarkEnd w:id="0"/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1270" distB="0" distL="635" distR="635" simplePos="0" locked="0" layoutInCell="0" allowOverlap="1" relativeHeight="22">
                <wp:simplePos x="0" y="0"/>
                <wp:positionH relativeFrom="column">
                  <wp:posOffset>-432435</wp:posOffset>
                </wp:positionH>
                <wp:positionV relativeFrom="paragraph">
                  <wp:posOffset>90170</wp:posOffset>
                </wp:positionV>
                <wp:extent cx="399415" cy="695325"/>
                <wp:effectExtent l="635" t="1270" r="635" b="0"/>
                <wp:wrapNone/>
                <wp:docPr id="8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0" cy="6951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כז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.</w:t>
                            </w:r>
                          </w:p>
                        </w:txbxContent>
                      </wps:txbx>
                      <wps:bodyPr lIns="-26640" rIns="-26640" tIns="-26640" bIns="-26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t" o:allowincell="f" style="position:absolute;margin-left:-34.05pt;margin-top:7.1pt;width:31.4pt;height:54.7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כז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rtl w:val="true"/>
          <w:lang w:val="en-US"/>
        </w:rPr>
        <w:t>שואל גמ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בשיטת 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י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ראיה לשני הצדדים ודוחה ראיה ראישונה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עוד ראיה לצד שני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פוסק כר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י בתפלת השחר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מפ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למה פסק כן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מביא קרא במן ובריי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המפ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ומוק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לר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י ולרבנן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מבאר בריי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המפ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שואל גמ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אי הל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כר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י בתפלת מנחה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  <w:r>
        <w:rPr>
          <w:rFonts w:ascii="Times New Roman" w:hAnsi="Times New Roman" w:cs="Times New Roman"/>
          <w:rtl w:val="true"/>
          <w:lang w:val="en-US"/>
        </w:rPr>
        <w:t>מביא ראיה לשני הצדדים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ומסיק ששניהם נכונים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24">
                <wp:simplePos x="0" y="0"/>
                <wp:positionH relativeFrom="column">
                  <wp:posOffset>-431800</wp:posOffset>
                </wp:positionH>
                <wp:positionV relativeFrom="paragraph">
                  <wp:posOffset>84455</wp:posOffset>
                </wp:positionV>
                <wp:extent cx="399415" cy="720090"/>
                <wp:effectExtent l="635" t="635" r="635" b="635"/>
                <wp:wrapNone/>
                <wp:docPr id="10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0" cy="720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כז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stroked="t" o:allowincell="f" style="position:absolute;margin-left:-34pt;margin-top:6.65pt;width:31.4pt;height:56.6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כז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rtl w:val="true"/>
          <w:lang w:val="en-US"/>
        </w:rPr>
        <w:t>מביא מעשה ולומד ממנו שלש דינים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על השני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ממימרא ומבריי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ראיה לת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הוז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אגב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דין תפלת שבת בע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ש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  <w:r>
        <w:rPr>
          <w:rFonts w:ascii="Times New Roman" w:hAnsi="Times New Roman" w:cs="Times New Roman"/>
          <w:rtl w:val="true"/>
          <w:lang w:val="en-US"/>
        </w:rPr>
        <w:t>שואל ומשיב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על התשובה ומת</w:t>
      </w:r>
      <w:r>
        <w:rPr>
          <w:rFonts w:ascii="Times New Roman" w:hAnsi="Times New Roman" w:cs="Times New Roman"/>
          <w:rtl w:val="true"/>
          <w:lang w:val="en-US" w:bidi="he-IL"/>
        </w:rPr>
        <w:t>’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על אותו תשובה ומשיב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דין תפלת שבת בע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ש ושל מוצאי שבת בשבת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על שניהם שואל שאלה הדומה ומשיב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מעשה בתפלה קודם זמנו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חול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מה קרה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10160" distB="8890" distL="9525" distR="9525" simplePos="0" locked="0" layoutInCell="0" allowOverlap="1" relativeHeight="26">
                <wp:simplePos x="0" y="0"/>
                <wp:positionH relativeFrom="column">
                  <wp:posOffset>-463550</wp:posOffset>
                </wp:positionH>
                <wp:positionV relativeFrom="paragraph">
                  <wp:posOffset>103505</wp:posOffset>
                </wp:positionV>
                <wp:extent cx="457200" cy="828675"/>
                <wp:effectExtent l="9525" t="10160" r="9525" b="8890"/>
                <wp:wrapNone/>
                <wp:docPr id="12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28720"/>
                        </a:xfrm>
                        <a:prstGeom prst="rect">
                          <a:avLst/>
                        </a:prstGeom>
                        <a:noFill/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כח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.</w:t>
                            </w:r>
                          </w:p>
                        </w:txbxContent>
                      </wps:txbx>
                      <wps:bodyPr lIns="9000" rIns="9000" tIns="9000" bIns="9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stroked="t" o:allowincell="f" style="position:absolute;margin-left:-36.5pt;margin-top:8.15pt;width:35.95pt;height:65.2pt;mso-wrap-style:square;v-text-anchor:top">
                <v:fill o:detectmouseclick="t" on="false"/>
                <v:stroke color="black" weight="183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כח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rtl w:val="true"/>
          <w:lang w:val="en-US"/>
        </w:rPr>
        <w:t>מק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על לשון המשנה ומת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שמחדש דין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חול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תנאים באותו דין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מעשה דהעברת ר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 xml:space="preserve">ג </w:t>
      </w:r>
      <w:r>
        <w:rPr>
          <w:rFonts w:cs="Times New Roman" w:ascii="Times New Roman" w:hAnsi="Times New Roman"/>
          <w:rtl w:val="true"/>
          <w:lang w:val="en-US" w:bidi="he-IL"/>
        </w:rPr>
        <w:t>(</w:t>
      </w:r>
      <w:r>
        <w:rPr>
          <w:rFonts w:ascii="Times New Roman" w:hAnsi="Times New Roman" w:cs="Times New Roman"/>
          <w:rtl w:val="true"/>
          <w:lang w:val="en-US"/>
        </w:rPr>
        <w:t>שהיה שייך לאותו דין</w:t>
      </w:r>
      <w:r>
        <w:rPr>
          <w:rFonts w:cs="Times New Roman" w:ascii="Times New Roman" w:hAnsi="Times New Roman"/>
          <w:rtl w:val="true"/>
          <w:lang w:val="en-US" w:bidi="he-IL"/>
        </w:rPr>
        <w:t>). (</w:t>
      </w: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העברתו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בחירת אחר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מה קרה בב</w:t>
      </w:r>
      <w:r>
        <w:rPr>
          <w:rFonts w:ascii="Times New Roman" w:hAnsi="Times New Roman" w:cs="Times New Roman"/>
          <w:rtl w:val="true"/>
          <w:lang w:val="en-US" w:bidi="he-IL"/>
        </w:rPr>
        <w:t>”</w:t>
      </w:r>
      <w:r>
        <w:rPr>
          <w:rFonts w:ascii="Times New Roman" w:hAnsi="Times New Roman" w:cs="Times New Roman"/>
          <w:rtl w:val="true"/>
          <w:lang w:val="en-US"/>
        </w:rPr>
        <w:t>מ אז</w:t>
      </w:r>
      <w:r>
        <w:rPr>
          <w:rFonts w:cs="Times New Roman" w:ascii="Times New Roman" w:hAnsi="Times New Roman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rtl w:val="true"/>
          <w:lang w:val="en-US"/>
        </w:rPr>
        <w:t>והחזרתו ואחריתו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אומר ר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 xml:space="preserve">יוחנן מימרא על דין </w:t>
      </w:r>
      <w:r>
        <w:rPr>
          <w:rFonts w:cs="Times New Roman" w:ascii="Times New Roman" w:hAnsi="Times New Roman"/>
          <w:rtl w:val="true"/>
          <w:lang w:val="en-US" w:bidi="he-IL"/>
        </w:rPr>
        <w:t>(</w:t>
      </w:r>
      <w:r>
        <w:rPr>
          <w:rFonts w:ascii="Times New Roman" w:hAnsi="Times New Roman" w:cs="Times New Roman"/>
          <w:rtl w:val="true"/>
          <w:lang w:val="en-US"/>
        </w:rPr>
        <w:t>מוסף</w:t>
      </w:r>
      <w:r>
        <w:rPr>
          <w:rFonts w:cs="Times New Roman" w:ascii="Times New Roman" w:hAnsi="Times New Roman"/>
          <w:rtl w:val="true"/>
          <w:lang w:val="en-US" w:bidi="he-IL"/>
        </w:rPr>
        <w:t xml:space="preserve">) </w:t>
      </w:r>
      <w:r>
        <w:rPr>
          <w:rFonts w:ascii="Times New Roman" w:hAnsi="Times New Roman" w:cs="Times New Roman"/>
          <w:rtl w:val="true"/>
          <w:lang w:val="en-US"/>
        </w:rPr>
        <w:t>שבמשנה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חול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תנאים אי מוסף או מנחה קדם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פוסק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דן מי פוסק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מביא קרא רע שנאמר על מאחר מוסף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מביא שני מקורות שהוא רע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635" distR="0" simplePos="0" locked="0" layoutInCell="0" allowOverlap="1" relativeHeight="4">
                <wp:simplePos x="0" y="0"/>
                <wp:positionH relativeFrom="column">
                  <wp:posOffset>6184900</wp:posOffset>
                </wp:positionH>
                <wp:positionV relativeFrom="paragraph">
                  <wp:posOffset>93980</wp:posOffset>
                </wp:positionV>
                <wp:extent cx="886460" cy="788670"/>
                <wp:effectExtent l="635" t="0" r="0" b="0"/>
                <wp:wrapNone/>
                <wp:docPr id="14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320" cy="78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תפלות של ר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נ בן הקנה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מוסר מת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ח המתים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stroked="f" o:allowincell="f" style="position:absolute;margin-left:487pt;margin-top:7.4pt;width:69.75pt;height:62.0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א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תפלות של ר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נ בן הקנה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מוסר מת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ח המתים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28">
                <wp:simplePos x="0" y="0"/>
                <wp:positionH relativeFrom="column">
                  <wp:posOffset>-462280</wp:posOffset>
                </wp:positionH>
                <wp:positionV relativeFrom="paragraph">
                  <wp:posOffset>55880</wp:posOffset>
                </wp:positionV>
                <wp:extent cx="456565" cy="1695450"/>
                <wp:effectExtent l="635" t="635" r="635" b="635"/>
                <wp:wrapNone/>
                <wp:docPr id="1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80" cy="16956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כח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stroked="t" o:allowincell="f" style="position:absolute;margin-left:-36.4pt;margin-top:4.4pt;width:35.9pt;height:133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כח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38">
                <wp:simplePos x="0" y="0"/>
                <wp:positionH relativeFrom="column">
                  <wp:posOffset>5222875</wp:posOffset>
                </wp:positionH>
                <wp:positionV relativeFrom="paragraph">
                  <wp:posOffset>151130</wp:posOffset>
                </wp:positionV>
                <wp:extent cx="1057910" cy="247650"/>
                <wp:effectExtent l="635" t="635" r="635" b="635"/>
                <wp:wrapNone/>
                <wp:docPr id="18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5804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25pt,11.9pt" to="494.5pt,31.35pt" ID="Line 1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הנהגת אחד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שאל לו אחר ארבע שאלות</w:t>
      </w:r>
      <w:r>
        <w:rPr>
          <w:rFonts w:cs="Times New Roman" w:ascii="Times New Roman" w:hAnsi="Times New Roman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rtl w:val="true"/>
          <w:lang w:val="en-US"/>
        </w:rPr>
        <w:t>השיב על כלם חוץ מן האחרון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rtl w:val="true"/>
          <w:lang w:val="en-US"/>
        </w:rPr>
        <w:t>מז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גמ</w:t>
      </w:r>
      <w:r>
        <w:rPr>
          <w:rFonts w:ascii="Times New Roman" w:hAnsi="Times New Roman" w:cs="Times New Roman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rtl w:val="true"/>
          <w:lang w:val="en-US"/>
        </w:rPr>
        <w:t>שני איסורי טעימה ופוסק נגדם</w:t>
      </w:r>
      <w:r>
        <w:rPr>
          <w:rFonts w:cs="Times New Roman" w:ascii="Times New Roman" w:hAnsi="Times New Roman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/>
          <w:b/>
          <w:bCs/>
          <w:u w:val="single"/>
          <w:rtl w:val="true"/>
        </w:rPr>
        <w:t>משנה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שני תפלות של 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נ בן הקנה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גמ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כל לשון שניהם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גמ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שני מעשים בחלת שני אמוריאם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0" distL="635" distR="0" simplePos="0" locked="0" layoutInCell="0" allowOverlap="1" relativeHeight="6">
                <wp:simplePos x="0" y="0"/>
                <wp:positionH relativeFrom="column">
                  <wp:posOffset>6280150</wp:posOffset>
                </wp:positionH>
                <wp:positionV relativeFrom="paragraph">
                  <wp:posOffset>6350</wp:posOffset>
                </wp:positionV>
                <wp:extent cx="744220" cy="4492625"/>
                <wp:effectExtent l="635" t="635" r="0" b="0"/>
                <wp:wrapNone/>
                <wp:docPr id="19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120" cy="449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א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מנין הברכות וסיבתו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דין טועה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ג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אם צדיק נעשה רשע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מה אומר בשמ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ע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ה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ברכה בדרך ובסכנה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ו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צידוד בעת תפלה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ז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תפלה וק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ש באופן שאינו כ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כ טוב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ח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טעה ש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"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ץ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en-US" w:bidi="he-IL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en-US" w:bidi="he-IL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en-US" w:bidi="he-IL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o:allowincell="f" style="position:absolute;margin-left:494.5pt;margin-top:0.5pt;width:58.55pt;height:353.7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א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מנין הברכות וסיבתו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דין טועה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ג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אם צדיק נעשה רשע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מה אומר בשמ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ע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ה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ברכה בדרך ובסכנה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ו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צידוד בעת תפלה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ז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תפלה וק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ש באופן שאינו כ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כ טוב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ח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טעה ש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"</w:t>
                      </w:r>
                      <w:r>
                        <w:rPr>
                          <w:rFonts w:cs="Times New Roman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ץ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Times New Roman"/>
                          <w:sz w:val="20"/>
                          <w:szCs w:val="20"/>
                          <w:lang w:val="en-US" w:bidi="he-IL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rtl w:val="true"/>
                          <w:lang w:val="en-US" w:bidi="he-IL"/>
                        </w:rPr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Times New Roman"/>
                          <w:sz w:val="20"/>
                          <w:szCs w:val="20"/>
                          <w:lang w:val="en-US" w:bidi="he-IL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rtl w:val="true"/>
                          <w:lang w:val="en-US" w:bidi="he-IL"/>
                        </w:rPr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Times New Roman"/>
                          <w:sz w:val="20"/>
                          <w:szCs w:val="20"/>
                          <w:lang w:val="en-US" w:bidi="he-IL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rtl w:val="true"/>
                          <w:lang w:val="en-US" w:bidi="he-IL"/>
                        </w:rPr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/>
          <w:bCs/>
          <w:u w:val="single"/>
          <w:rtl w:val="true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שלש מימרות בתפלות קבועות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תנאים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שיטות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מה אומר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;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עצה לתפלה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;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דין מי שא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לצדד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אומר דין בתפלות שאינן קבועות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מהלך במקןם סכנה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). 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גמ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תש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שאלה אחרת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תש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ובאר שלשי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שאלה השייכת לשאלה ראישונה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משיב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תש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לשיטתם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30">
                <wp:simplePos x="0" y="0"/>
                <wp:positionH relativeFrom="column">
                  <wp:posOffset>-452120</wp:posOffset>
                </wp:positionH>
                <wp:positionV relativeFrom="paragraph">
                  <wp:posOffset>173990</wp:posOffset>
                </wp:positionV>
                <wp:extent cx="456565" cy="1123950"/>
                <wp:effectExtent l="635" t="635" r="635" b="635"/>
                <wp:wrapNone/>
                <wp:docPr id="21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80" cy="11239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כט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  <w:lang w:bidi="he-IL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stroked="t" o:allowincell="f" style="position:absolute;margin-left:-35.6pt;margin-top:13.7pt;width:35.9pt;height:88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  <w:lang w:bidi="he-IL"/>
                        </w:rPr>
                        <w:t>כט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  <w:lang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לשאלה שלישי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ברכת למלשינים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מי תקנו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מעשה שקרה לו בו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שכבר הק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עליו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לשיטת התרצן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המעשה לחול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מימרא לסמך דין של אותו 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שלש שאלות כעין שאלה ראישונה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שלישי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אמוראים בדין ראישון במשנה בתפלה קבועה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מימרת פסק על אותו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תנאים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אגב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דין הביננו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חד זמן שא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לאמרו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ומביא סמך לק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ודוחה הסמך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עוד זמן שא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לאמרו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שניה שנראישון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למה א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לת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כן בראישון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.).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ומביא סמך לק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ודוחה סמך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32">
                <wp:simplePos x="0" y="0"/>
                <wp:positionH relativeFrom="column">
                  <wp:posOffset>-441960</wp:posOffset>
                </wp:positionH>
                <wp:positionV relativeFrom="paragraph">
                  <wp:posOffset>71120</wp:posOffset>
                </wp:positionV>
                <wp:extent cx="455295" cy="1200150"/>
                <wp:effectExtent l="635" t="635" r="635" b="635"/>
                <wp:wrapNone/>
                <wp:docPr id="23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400" cy="12002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am Sefarad CLM" w:hAnsi="Stam Sefarad CLM"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כט</w:t>
                            </w:r>
                            <w:r>
                              <w:rPr>
                                <w:rFonts w:cs="Shofar" w:ascii="Stam Sefarad CLM" w:hAnsi="Stam Sefarad CLM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8" path="m0,0l-2147483645,0l-2147483645,-2147483646l0,-2147483646xe" stroked="t" o:allowincell="f" style="position:absolute;margin-left:-34.8pt;margin-top:5.6pt;width:35.8pt;height:94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tam Sefarad CLM" w:hAnsi="Stam Sefarad CLM"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</w:rPr>
                        <w:t>כט</w:t>
                      </w:r>
                      <w:r>
                        <w:rPr>
                          <w:rFonts w:cs="Shofar" w:ascii="Stam Sefarad CLM" w:hAnsi="Stam Sefarad CLM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אגב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מימרא בדין טועה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השני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מלשון מימרא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אחר לק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ראישונה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 עם שני 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מגדיר דין שני ומז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מקור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 להגדיר עוד 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יש אומ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שאותו מימרא מגדר הגדר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ארבע אמוראים בביאור דין שני שבמשנה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שלישי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לרביעי מביא מימרא  וקרא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דין דמדומי חמה בשני מקומות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לייט על שני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למה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דין תפלה שאינו קבוע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שני לשונות של מימרו לפרש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ארבע 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אותו דין שבמשנה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פוסק כרביעי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34">
                <wp:simplePos x="0" y="0"/>
                <wp:positionH relativeFrom="column">
                  <wp:posOffset>-472440</wp:posOffset>
                </wp:positionH>
                <wp:positionV relativeFrom="paragraph">
                  <wp:posOffset>219710</wp:posOffset>
                </wp:positionV>
                <wp:extent cx="456565" cy="981075"/>
                <wp:effectExtent l="635" t="635" r="635" b="635"/>
                <wp:wrapNone/>
                <wp:docPr id="25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80" cy="981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ל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9" path="m0,0l-2147483645,0l-2147483645,-2147483646l0,-2147483646xe" stroked="t" o:allowincell="f" style="position:absolute;margin-left:-37.2pt;margin-top:17.3pt;width:35.9pt;height:77.2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</w:rPr>
                        <w:t>ל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שלש מימרות מאליהו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שלישי שייך לגמ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שדומה לדין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מפרש שלישי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שהוא תפלת הדרך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לשונו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אמוראי אי נאמר בלשון יחיד או רבים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אמוראים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 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לאח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כ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פוסק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.)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שלש חי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בין תפ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ק להביננו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דין שלישי במשנה בדין תפלת חוב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תנאי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בציור הדומה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פוסק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שני מימרות ששייכין למשנה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קרא השייך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תנאים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סיבת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כבר הובא אמורא שנהג כחד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עוד 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שני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עוד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36">
                <wp:simplePos x="0" y="0"/>
                <wp:positionH relativeFrom="column">
                  <wp:posOffset>-472440</wp:posOffset>
                </wp:positionH>
                <wp:positionV relativeFrom="paragraph">
                  <wp:posOffset>24130</wp:posOffset>
                </wp:positionV>
                <wp:extent cx="456565" cy="771525"/>
                <wp:effectExtent l="635" t="635" r="635" b="635"/>
                <wp:wrapNone/>
                <wp:docPr id="27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80" cy="7714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ל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0" path="m0,0l-2147483645,0l-2147483645,-2147483646l0,-2147483646xe" stroked="t" o:allowincell="f" style="position:absolute;margin-left:-37.2pt;margin-top:1.9pt;width:35.9pt;height:60.7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sz w:val="24"/>
                          <w:sz w:val="24"/>
                          <w:szCs w:val="24"/>
                          <w:rtl w:val="true"/>
                        </w:rPr>
                        <w:t>ל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sz w:val="24"/>
                          <w:szCs w:val="24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49">
                <wp:simplePos x="0" y="0"/>
                <wp:positionH relativeFrom="column">
                  <wp:posOffset>6176010</wp:posOffset>
                </wp:positionH>
                <wp:positionV relativeFrom="paragraph">
                  <wp:posOffset>5080</wp:posOffset>
                </wp:positionV>
                <wp:extent cx="781050" cy="990600"/>
                <wp:effectExtent l="635" t="635" r="635" b="635"/>
                <wp:wrapNone/>
                <wp:docPr id="29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" cy="990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left"/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sz w:val="20"/>
                                <w:szCs w:val="20"/>
                                <w:rtl w:val="true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sz w:val="20"/>
                                <w:szCs w:val="20"/>
                                <w:rtl w:val="true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מתי אומ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sz w:val="20"/>
                                <w:sz w:val="20"/>
                                <w:szCs w:val="20"/>
                                <w:rtl w:val="true"/>
                                <w:lang w:bidi="he-IL"/>
                              </w:rPr>
                              <w:t xml:space="preserve">’ </w:t>
                            </w:r>
                            <w:r>
                              <w:rPr>
                                <w:rFonts w:cs="Shofar"/>
                                <w:b w:val="false"/>
                                <w:b w:val="false"/>
                                <w:bCs w:val="false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מוסף</w:t>
                            </w:r>
                            <w:r>
                              <w:rPr>
                                <w:rFonts w:cs="Shofar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rtl w:val="true"/>
                                <w:lang w:bidi="he-IL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6" path="m0,0l-2147483645,0l-2147483645,-2147483646l0,-2147483646xe" stroked="t" o:allowincell="f" style="position:absolute;margin-left:486.3pt;margin-top:0.4pt;width:61.45pt;height:77.9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left"/>
                        <w:rPr>
                          <w:rFonts w:cs="Shofar"/>
                          <w:b w:val="false"/>
                          <w:b w:val="false"/>
                          <w:bCs w:val="false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sz w:val="20"/>
                          <w:sz w:val="20"/>
                          <w:szCs w:val="20"/>
                          <w:rtl w:val="true"/>
                        </w:rPr>
                        <w:t>א</w:t>
                      </w:r>
                      <w:r>
                        <w:rPr>
                          <w:rFonts w:cs="Shofar"/>
                          <w:b w:val="false"/>
                          <w:bCs w:val="false"/>
                          <w:sz w:val="20"/>
                          <w:szCs w:val="20"/>
                          <w:rtl w:val="true"/>
                        </w:rPr>
                        <w:t>.</w:t>
                      </w:r>
                      <w:r>
                        <w:rPr>
                          <w:rFonts w:cs="Shofar"/>
                          <w:b w:val="false"/>
                          <w:bCs w:val="false"/>
                          <w:sz w:val="20"/>
                          <w:szCs w:val="20"/>
                          <w:rtl w:val="true"/>
                          <w:lang w:bidi="he-IL"/>
                        </w:rPr>
                        <w:t xml:space="preserve"> 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sz w:val="20"/>
                          <w:sz w:val="20"/>
                          <w:szCs w:val="20"/>
                          <w:rtl w:val="true"/>
                        </w:rPr>
                        <w:t>מתי אומ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sz w:val="20"/>
                          <w:sz w:val="20"/>
                          <w:szCs w:val="20"/>
                          <w:rtl w:val="true"/>
                          <w:lang w:bidi="he-IL"/>
                        </w:rPr>
                        <w:t xml:space="preserve">’ </w:t>
                      </w:r>
                      <w:r>
                        <w:rPr>
                          <w:rFonts w:cs="Shofar"/>
                          <w:b w:val="false"/>
                          <w:b w:val="false"/>
                          <w:bCs w:val="false"/>
                          <w:sz w:val="20"/>
                          <w:sz w:val="20"/>
                          <w:szCs w:val="20"/>
                          <w:rtl w:val="true"/>
                        </w:rPr>
                        <w:t>מוסף</w:t>
                      </w:r>
                      <w:r>
                        <w:rPr>
                          <w:rFonts w:cs="Shofar"/>
                          <w:b w:val="false"/>
                          <w:bCs w:val="false"/>
                          <w:color w:val="000000"/>
                          <w:sz w:val="20"/>
                          <w:szCs w:val="20"/>
                          <w:rtl w:val="true"/>
                          <w:lang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/>
          <w:bCs/>
          <w:u w:val="single"/>
          <w:rtl w:val="true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שלש תנאים החול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מתי אומ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מוסף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מהו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פוסק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מעשה כזה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יש חול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הפסק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מעשה להוכיח פסק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ההוכחה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שוב הפסק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39">
                <wp:simplePos x="0" y="0"/>
                <wp:positionH relativeFrom="column">
                  <wp:posOffset>-471805</wp:posOffset>
                </wp:positionH>
                <wp:positionV relativeFrom="paragraph">
                  <wp:posOffset>94615</wp:posOffset>
                </wp:positionV>
                <wp:extent cx="456565" cy="1000125"/>
                <wp:effectExtent l="635" t="635" r="635" b="635"/>
                <wp:wrapNone/>
                <wp:docPr id="31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80" cy="10000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1" path="m0,0l-2147483645,0l-2147483645,-2147483646l0,-2147483646xe" stroked="t" o:allowincell="f" style="position:absolute;margin-left:-37.15pt;margin-top:7.45pt;width:35.9pt;height:78.7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דרך לבארו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דוחה מבריי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עוד דרך ומק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ומפרש מריי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ציור  שצריך לחזור על תפלתו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משיב בשני לשונות תשובה אחת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קרא לשני הלש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 וטעמו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מגדיר מימרא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דוחה ההגדרה מן הטעם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6280150</wp:posOffset>
                </wp:positionH>
                <wp:positionV relativeFrom="paragraph">
                  <wp:posOffset>82550</wp:posOffset>
                </wp:positionV>
                <wp:extent cx="791210" cy="2381885"/>
                <wp:effectExtent l="0" t="0" r="0" b="0"/>
                <wp:wrapNone/>
                <wp:docPr id="33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280" cy="2381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ממה עומדים להתפלל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לימודים ודרשות מחנה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ג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תפלת משה לה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’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מנהג חסידים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הפסקות תפלה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ו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חיות המזיקות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494.5pt;margin-top:6.5pt;width:62.25pt;height:187.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ממה עומדים להתפלל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לימודים ודרשות מחנה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ג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תפלת משה לה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’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מנהג חסידים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הפסקות תפלה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ו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חיות המזיקות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0" allowOverlap="1" relativeHeight="60">
                <wp:simplePos x="0" y="0"/>
                <wp:positionH relativeFrom="column">
                  <wp:posOffset>-710565</wp:posOffset>
                </wp:positionH>
                <wp:positionV relativeFrom="paragraph">
                  <wp:posOffset>73660</wp:posOffset>
                </wp:positionV>
                <wp:extent cx="190500" cy="247650"/>
                <wp:effectExtent l="635" t="635" r="1270" b="1270"/>
                <wp:wrapNone/>
                <wp:docPr id="35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24768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2" path="l-2147483589,-2147483584l-2147483619,0l-2147483587,-2147483584l-2147483613,-2147483612l-2147483585,-2147483583l-2147483615,-2147483611l-2147483619,-2147483581l-2147483617,-2147483611l-2147483590,-2147483583xe" fillcolor="red" stroked="t" o:allowincell="f" style="position:absolute;margin-left:-55.95pt;margin-top:5.8pt;width:14.95pt;height:19.45pt;mso-wrap-style:none;v-text-anchor:middle" type="_x0000_t12">
                <v:fill o:detectmouseclick="t" type="solid" color2="aqua"/>
                <v:stroke color="#3465a4" dashstyle="shortdot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 w:eastAsia="NSimSun" w:cs="Times New Roman"/>
          <w:b/>
          <w:b/>
          <w:bCs/>
          <w:color w:val="auto"/>
          <w:kern w:val="2"/>
          <w:sz w:val="24"/>
          <w:sz w:val="24"/>
          <w:szCs w:val="24"/>
          <w:u w:val="single"/>
          <w:rtl w:val="true"/>
          <w:lang w:val="en-US" w:eastAsia="zh-CN" w:bidi="hi-IN"/>
        </w:rPr>
        <w:t>משנה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אומר ארבע דינים בתפלה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שנים הם לפני תפלה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ושני רק ממדת חסידות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ושנים הם בתוך 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/>
        </w:rPr>
        <w:t xml:space="preserve"> 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למקור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ארבע תש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דוחה שלש ראשונות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מפ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רביעי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41">
                <wp:simplePos x="0" y="0"/>
                <wp:positionH relativeFrom="column">
                  <wp:posOffset>-482600</wp:posOffset>
                </wp:positionH>
                <wp:positionV relativeFrom="paragraph">
                  <wp:posOffset>218440</wp:posOffset>
                </wp:positionV>
                <wp:extent cx="467995" cy="1162050"/>
                <wp:effectExtent l="635" t="635" r="635" b="635"/>
                <wp:wrapNone/>
                <wp:docPr id="36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11620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לא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2" path="m0,0l-2147483645,0l-2147483645,-2147483646l0,-2147483646xe" stroked="t" o:allowincell="f" style="position:absolute;margin-left:-38pt;margin-top:17.2pt;width:36.8pt;height:91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לא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השייך לדין אחר מאותו קרא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שמביא מקור אחר לאותו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אותר שלש מעשים השייכים לאותו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עוד מקור ומביא עוד 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שחולק על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מבארו בשלש משלים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עוד שיטה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אמר שיש נוהגים כמשנה ויש כבריי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דינו שייך אף ללוויה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אוז השכיר שלש מעשים בזה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דין בתפלה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ששייך לדין זה ודין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עצה לתפלה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מקור למתי ואיך יתפלל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43">
                <wp:simplePos x="0" y="0"/>
                <wp:positionH relativeFrom="column">
                  <wp:posOffset>-473075</wp:posOffset>
                </wp:positionH>
                <wp:positionV relativeFrom="paragraph">
                  <wp:posOffset>153670</wp:posOffset>
                </wp:positionV>
                <wp:extent cx="457200" cy="342900"/>
                <wp:effectExtent l="635" t="635" r="635" b="635"/>
                <wp:wrapNone/>
                <wp:docPr id="38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30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לא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3" path="m0,0l-2147483645,0l-2147483645,-2147483646l0,-2147483646xe" stroked="t" o:allowincell="f" style="position:absolute;margin-left:-37.25pt;margin-top:12.1pt;width:35.95pt;height:26.9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לא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לומד חמש דיני תפלה מחנה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לומד ארבע דינים אחרים ממנה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חד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אגדתא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דתפלה עליה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ודורש שש פסוקים בה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בחד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לשיטה שמביא מבריי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חד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הוא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אמוראי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בתוך כך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נאמר ביאור על מעשה אחר של חנה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45">
                <wp:simplePos x="0" y="0"/>
                <wp:positionH relativeFrom="column">
                  <wp:posOffset>-491490</wp:posOffset>
                </wp:positionH>
                <wp:positionV relativeFrom="paragraph">
                  <wp:posOffset>146050</wp:posOffset>
                </wp:positionV>
                <wp:extent cx="466725" cy="638175"/>
                <wp:effectExtent l="635" t="635" r="635" b="635"/>
                <wp:wrapNone/>
                <wp:docPr id="40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6382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לב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4" path="m0,0l-2147483645,0l-2147483645,-2147483646l0,-2147483646xe" stroked="t" o:allowincell="f" style="position:absolute;margin-left:-38.7pt;margin-top:11.5pt;width:36.7pt;height:50.2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לב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הובאו כמה מימרות בעניני חנה מר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אז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עוד שני מימרות מר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Style w:val="FootnoteAnchor"/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footnoteReference w:id="2"/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קראי שאומרים שאין לנו כל כך בחירה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קראי ודורש בתפלת משה להציל לבני ישראל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סדר 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47">
                <wp:simplePos x="0" y="0"/>
                <wp:positionH relativeFrom="column">
                  <wp:posOffset>-491490</wp:posOffset>
                </wp:positionH>
                <wp:positionV relativeFrom="paragraph">
                  <wp:posOffset>83185</wp:posOffset>
                </wp:positionV>
                <wp:extent cx="467360" cy="1247775"/>
                <wp:effectExtent l="635" t="635" r="635" b="635"/>
                <wp:wrapNone/>
                <wp:docPr id="42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80" cy="12477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1"/>
                              <w:jc w:val="center"/>
                              <w:rPr>
                                <w:rFonts w:cs="Shofar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לב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5" path="m0,0l-2147483645,0l-2147483645,-2147483646l0,-2147483646xe" stroked="t" o:allowincell="f" style="position:absolute;margin-left:-38.7pt;margin-top:6.55pt;width:36.75pt;height:98.2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1"/>
                        <w:jc w:val="center"/>
                        <w:rPr>
                          <w:rFonts w:cs="Shofar"/>
                          <w:b/>
                          <w:b/>
                          <w:bCs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לב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שלש מימרות מר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של דמיון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שני מימרות מר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ברע שקרה לאחר חורבן בית המק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עצה לתפלה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ממימרא 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 על ארבע דברים שדומים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דורש קרא שעוסק בדיבור בין ציון לה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מקור לדין של מדת חסידות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בריי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שאומר כן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מוסיף שני דינים על אותו דין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51">
                <wp:simplePos x="0" y="0"/>
                <wp:positionH relativeFrom="column">
                  <wp:posOffset>-501015</wp:posOffset>
                </wp:positionH>
                <wp:positionV relativeFrom="paragraph">
                  <wp:posOffset>104140</wp:posOffset>
                </wp:positionV>
                <wp:extent cx="477520" cy="2114550"/>
                <wp:effectExtent l="635" t="635" r="635" b="635"/>
                <wp:wrapNone/>
                <wp:docPr id="44" name="Text 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360" cy="21146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לג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7" path="m0,0l-2147483645,0l-2147483645,-2147483646l0,-2147483646xe" stroked="t" o:allowincell="f" style="position:absolute;margin-left:-39.45pt;margin-top:8.2pt;width:37.55pt;height:166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לג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מיעוט על דין של סוג שני שאמר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olumn">
                  <wp:posOffset>6310630</wp:posOffset>
                </wp:positionH>
                <wp:positionV relativeFrom="paragraph">
                  <wp:posOffset>154305</wp:posOffset>
                </wp:positionV>
                <wp:extent cx="760095" cy="1638300"/>
                <wp:effectExtent l="635" t="0" r="0" b="0"/>
                <wp:wrapNone/>
                <wp:docPr id="46" name="Text 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0" cy="163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ascii="Shofar" w:hAnsi="Shofar"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הזכרות שבתפלה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ascii="Shofar" w:hAnsi="Shofar"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ב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הבדלה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4" path="m0,0l-2147483645,0l-2147483645,-2147483646l0,-2147483646xe" stroked="f" o:allowincell="f" style="position:absolute;margin-left:496.9pt;margin-top:12.15pt;width:59.8pt;height:128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ascii="Shofar" w:hAnsi="Shofar" w:cs="Shofar"/>
                          <w:sz w:val="20"/>
                          <w:szCs w:val="20"/>
                        </w:rPr>
                      </w:pP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הזכרות שבתפלה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ascii="Shofar" w:hAnsi="Shofar" w:cs="Shofar"/>
                          <w:sz w:val="20"/>
                          <w:szCs w:val="20"/>
                        </w:rPr>
                      </w:pP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ב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הבדלה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אותו מיעוט על דין שעמו במשנה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ומת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חוקי סכנה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/>
          <w:b/>
          <w:bCs/>
          <w:u w:val="single"/>
          <w:rtl w:val="true"/>
          <w:lang w:val="en-US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שלש דינים בהזכרות תפלה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שלישי יש מח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שלש תנאים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טעם כל דין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שלישי משיב שני תשובות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הוזכר דעה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אז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גמרא שלש אגדות בו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אגדה הנדרש באופן הדומה לשני שלעיל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ומתרץ ומביא סמך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גמרא על דין שלישי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ברייתא שהוא סמך לאותו יישוב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עוד מימרא שאומר כדין אותו יישוב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מברייתא ומשיב על ידי שינוי ברייתא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עוד מימרא האומר 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דין דומה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לומדו מאותו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מימרא ומוכיח שחולק על אותו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פוסק כאותו דין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שדנו בו לעיל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).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635" distR="0" simplePos="0" locked="0" layoutInCell="0" allowOverlap="1" relativeHeight="12">
                <wp:simplePos x="0" y="0"/>
                <wp:positionH relativeFrom="column">
                  <wp:posOffset>6186805</wp:posOffset>
                </wp:positionH>
                <wp:positionV relativeFrom="paragraph">
                  <wp:posOffset>292735</wp:posOffset>
                </wp:positionV>
                <wp:extent cx="865505" cy="803910"/>
                <wp:effectExtent l="635" t="0" r="0" b="0"/>
                <wp:wrapNone/>
                <wp:docPr id="48" name="Text 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440" cy="80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ascii="Shofar" w:hAnsi="Shofar"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דברים שאינו טוב ליאמר בתפלה וק</w:t>
                            </w: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ascii="Shofar" w:hAnsi="Shofar"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ש</w:t>
                            </w:r>
                            <w:r>
                              <w:rPr>
                                <w:rFonts w:cs="Shofar" w:ascii="Shofar" w:hAnsi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5" path="m0,0l-2147483645,0l-2147483645,-2147483646l0,-2147483646xe" stroked="f" o:allowincell="f" style="position:absolute;margin-left:487.15pt;margin-top:23.05pt;width:68.1pt;height:63.2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ascii="Shofar" w:hAnsi="Shofar" w:cs="Shofar"/>
                          <w:sz w:val="20"/>
                          <w:szCs w:val="20"/>
                        </w:rPr>
                      </w:pP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דברים שאינו טוב ליאמר בתפלה וק</w:t>
                      </w: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ascii="Shofar" w:hAnsi="Shofar"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ש</w:t>
                      </w:r>
                      <w:r>
                        <w:rPr>
                          <w:rFonts w:cs="Shofar" w:ascii="Shofar" w:hAnsi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0" allowOverlap="1" relativeHeight="53">
                <wp:simplePos x="0" y="0"/>
                <wp:positionH relativeFrom="column">
                  <wp:posOffset>-520065</wp:posOffset>
                </wp:positionH>
                <wp:positionV relativeFrom="paragraph">
                  <wp:posOffset>115570</wp:posOffset>
                </wp:positionV>
                <wp:extent cx="497205" cy="942975"/>
                <wp:effectExtent l="635" t="1270" r="635" b="0"/>
                <wp:wrapNone/>
                <wp:docPr id="50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60" cy="9428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לג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8" path="m0,0l-2147483645,0l-2147483645,-2147483646l0,-2147483646xe" stroked="t" o:allowincell="f" style="position:absolute;margin-left:-40.95pt;margin-top:9.1pt;width:39.1pt;height:74.2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לג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מחלקת שבמשנה מביא מעשה שפוסק כחד תנא בציור מיוחד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על קושיא שני קושיות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חולקים ארבע אמוראים באיזה לשון נאמר הדין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אמר אמורא לסמוך על חד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,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שנאמן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הוא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מדמהו לאחר ומוכיח נאמנות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עוד שיטה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/>
          <w:b/>
          <w:bCs/>
          <w:u w:val="single"/>
          <w:rtl w:val="true"/>
          <w:lang w:val="en-US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שלש דברים שאומרם נשתק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שני דינים אחרונים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שואל על דין ראשון ומשיב שני תשובות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עם מי שאמר אחד מאלו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אגב אותו מעשה מזכיר מעשה עם אחר שאמר דבר שלא היה לו לומר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משל לזה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אומר מימרת אגדתא מאותו אמורא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’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חנינא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ודורשו מקרא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על אותו קרא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משל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635" distR="0" simplePos="0" locked="0" layoutInCell="0" allowOverlap="1" relativeHeight="14">
                <wp:simplePos x="0" y="0"/>
                <wp:positionH relativeFrom="column">
                  <wp:posOffset>6194425</wp:posOffset>
                </wp:positionH>
                <wp:positionV relativeFrom="paragraph">
                  <wp:posOffset>-60960</wp:posOffset>
                </wp:positionV>
                <wp:extent cx="834390" cy="2124075"/>
                <wp:effectExtent l="635" t="0" r="0" b="0"/>
                <wp:wrapNone/>
                <wp:docPr id="52" name="Text 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480" cy="21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דין סירוב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מה לעשות אם טעה ש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ץ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ג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מה לעשות אם טעה מתפלל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ד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חילוק מיני ברכות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אופני תפלה שטובים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ו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כריעות והשתחוויות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6" path="m0,0l-2147483645,0l-2147483645,-2147483646l0,-2147483646xe" stroked="f" o:allowincell="f" style="position:absolute;margin-left:487.75pt;margin-top:-4.8pt;width:65.65pt;height:167.2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דין סירוב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מה לעשות אם טעה ש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ץ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ג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מה לעשות אם טעה מתפלל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ד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חילוק מיני ברכות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אופני תפלה שטובים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ו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כריעות והשתחוויות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0" allowOverlap="1" relativeHeight="55">
                <wp:simplePos x="0" y="0"/>
                <wp:positionH relativeFrom="column">
                  <wp:posOffset>-615315</wp:posOffset>
                </wp:positionH>
                <wp:positionV relativeFrom="paragraph">
                  <wp:posOffset>139065</wp:posOffset>
                </wp:positionV>
                <wp:extent cx="542925" cy="1228725"/>
                <wp:effectExtent l="635" t="1270" r="635" b="0"/>
                <wp:wrapNone/>
                <wp:docPr id="54" name="Text 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80" cy="122868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לד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9" path="m0,0l-2147483645,0l-2147483645,-2147483646l0,-2147483646xe" stroked="t" o:allowincell="f" style="position:absolute;margin-left:-48.45pt;margin-top:10.95pt;width:42.7pt;height:96.7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לד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דין שלישי שבמשנה אומר דין הדומה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מברייתא ומתרץ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ומתרץ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/>
          <w:b/>
          <w:bCs/>
          <w:u w:val="single"/>
          <w:rtl w:val="true"/>
          <w:lang w:val="en-US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משנה שני דינים בחד ענין ושני דינים בענין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מוסיף פרט באחד מאותם 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גמרא דין שיש לדייק מן המשנה ומבארו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מימרת אגדה על דברים הדומים לזה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אמורא שלש 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חולק אמורא על שני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מקשה גמרא ממשנתינו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לשניהם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דוחה השני ומשיב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לו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רק לראישון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).</w:t>
      </w:r>
      <w:r>
        <w:rPr>
          <w:rStyle w:val="FootnoteAnchor"/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footnoteReference w:id="3"/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 xml:space="preserve">אומר דין על חילוק מיני ברכות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מפני שדין הקודם היה דן בחילוק ברכות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שני מעשים בבני אדם שהתפללו בדרך מוזר ולמב אינו רע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לומד גמרא דין מקרא שהובא בביאור למה לא עשה רע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57">
                <wp:simplePos x="0" y="0"/>
                <wp:positionH relativeFrom="column">
                  <wp:posOffset>-615315</wp:posOffset>
                </wp:positionH>
                <wp:positionV relativeFrom="paragraph">
                  <wp:posOffset>140970</wp:posOffset>
                </wp:positionV>
                <wp:extent cx="543560" cy="2114550"/>
                <wp:effectExtent l="635" t="635" r="635" b="635"/>
                <wp:wrapNone/>
                <wp:docPr id="56" name="Text 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600" cy="21146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Shofar"/>
                                <w:b/>
                                <w:b/>
                                <w:bCs/>
                                <w:color w:val="000000"/>
                                <w:rtl w:val="true"/>
                              </w:rPr>
                              <w:t>לד</w:t>
                            </w:r>
                            <w:r>
                              <w:rPr>
                                <w:rFonts w:cs="Shofar"/>
                                <w:b/>
                                <w:bCs/>
                                <w:color w:val="000000"/>
                                <w:rtl w:val="true"/>
                              </w:rPr>
                              <w:t>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0" path="m0,0l-2147483645,0l-2147483645,-2147483646l0,-2147483646xe" stroked="t" o:allowincell="f" style="position:absolute;margin-left:-48.45pt;margin-top:11.1pt;width:42.75pt;height:166.4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Shofar"/>
                          <w:b/>
                          <w:b/>
                          <w:bCs/>
                          <w:color w:val="000000"/>
                          <w:rtl w:val="true"/>
                        </w:rPr>
                        <w:t>לד</w:t>
                      </w:r>
                      <w:r>
                        <w:rPr>
                          <w:rFonts w:cs="Shofar"/>
                          <w:b/>
                          <w:bCs/>
                          <w:color w:val="000000"/>
                          <w:rtl w:val="tru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ברייתא דין ופרט בו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מוסיף אמורא שני דינים בשם אמורא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חולק אמורא לומר שאותו אמורא שהביא ראשון אמר דבר חלוק בשני הדינים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ברייתא מפרש שלש מיני השתחוואה ומביא מקור לפרש כל אחד ממנו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הנהגת שני אמוראים בזה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ברייתא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מברייתא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מתרץ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מביא מעשה של אמורא אחד שלא נהג כאותו יישוב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ומפרש איך יישב הברייתא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מקשה עליו מברייתא ומתרץ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6242050</wp:posOffset>
                </wp:positionH>
                <wp:positionV relativeFrom="paragraph">
                  <wp:posOffset>83820</wp:posOffset>
                </wp:positionV>
                <wp:extent cx="819150" cy="1333500"/>
                <wp:effectExtent l="0" t="0" r="0" b="0"/>
                <wp:wrapNone/>
                <wp:docPr id="58" name="Text Box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00" cy="133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א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סימן רע בתפלה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שכר עוה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”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ב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jc w:val="left"/>
                              <w:rPr>
                                <w:rFonts w:cs="Shof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ג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 xml:space="preserve">. 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  <w:lang w:val="en-US"/>
                              </w:rPr>
                              <w:t>מקום הראוי לתפלה</w:t>
                            </w:r>
                            <w:r>
                              <w:rPr>
                                <w:rFonts w:cs="Shofar"/>
                                <w:color w:val="000000"/>
                                <w:sz w:val="20"/>
                                <w:szCs w:val="20"/>
                                <w:rtl w:val="true"/>
                                <w:lang w:val="en-US" w:bidi="he-IL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0" path="m0,0l-2147483645,0l-2147483645,-2147483646l0,-2147483646xe" stroked="f" o:allowincell="f" style="position:absolute;margin-left:491.5pt;margin-top:6.6pt;width:64.45pt;height:104.9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א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סימן רע בתפלה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שכר עוה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 w:bidi="he-IL"/>
                        </w:rPr>
                        <w:t>”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ב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  <w:p>
                      <w:pPr>
                        <w:pStyle w:val="FrameContents"/>
                        <w:bidi w:val="1"/>
                        <w:jc w:val="left"/>
                        <w:rPr>
                          <w:rFonts w:cs="Shofar"/>
                          <w:sz w:val="20"/>
                          <w:szCs w:val="20"/>
                        </w:rPr>
                      </w:pP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ג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 xml:space="preserve">. </w:t>
                      </w:r>
                      <w:r>
                        <w:rPr>
                          <w:rFonts w:cs="Shofar"/>
                          <w:color w:val="000000"/>
                          <w:sz w:val="20"/>
                          <w:sz w:val="20"/>
                          <w:szCs w:val="20"/>
                          <w:rtl w:val="true"/>
                          <w:lang w:val="en-US"/>
                        </w:rPr>
                        <w:t>מקום הראוי לתפלה</w:t>
                      </w:r>
                      <w:r>
                        <w:rPr>
                          <w:rFonts w:cs="Shofar"/>
                          <w:color w:val="000000"/>
                          <w:sz w:val="20"/>
                          <w:szCs w:val="20"/>
                          <w:rtl w:val="true"/>
                          <w:lang w:val="en-US" w:bidi="he-IL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/>
          <w:bCs/>
          <w:u w:val="single"/>
          <w:rtl w:val="true"/>
          <w:lang w:val="en-US"/>
        </w:rPr>
        <w:t>משנה</w:t>
      </w:r>
      <w:r>
        <w:rPr>
          <w:rFonts w:ascii="Times New Roman" w:hAnsi="Times New Roman" w:cs="Times New Roman"/>
          <w:b/>
          <w:b/>
          <w:bCs/>
          <w:u w:val="none"/>
          <w:rtl w:val="true"/>
          <w:lang w:val="en-US" w:bidi="he-IL"/>
        </w:rPr>
        <w:t xml:space="preserve">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מימרא הנוגע לדין של משנה שלפניו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מוסיף פרט בו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של אותו מימרא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אמורא מימרא לפרש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גמרא שיש גורסים אותו מימרא על משנה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מקור לדברי משנתינו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גמרא שלש מאמרות מרחב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 בשם ר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י לענין למי נאמרו נביאות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השני חולק אמורא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מבאר גמרא איך מבאר קראי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על שלישי חולק אמורא שמביא ראיה מקרא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דוחה גמרא אותו ראיה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דורש גמרא קרא שהביא לעיל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חולקים מה לדרוש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מעשה על רחב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”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ד על מימרת המשנה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עוד מעשה עליו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אמורא מקום להתפלל ומביא קרא ומקום שבו מחוצף להתפלל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/>
        </w:rPr>
        <w:t>אומר עוד דבר שהוא מעשה מחוצף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column">
                  <wp:posOffset>-624840</wp:posOffset>
                </wp:positionH>
                <wp:positionV relativeFrom="paragraph">
                  <wp:posOffset>72390</wp:posOffset>
                </wp:positionV>
                <wp:extent cx="552450" cy="733425"/>
                <wp:effectExtent l="635" t="12700" r="635" b="635"/>
                <wp:wrapNone/>
                <wp:docPr id="60" name="Text Fram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7333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rFonts w:cs="Shofar"/>
                              </w:rPr>
                              <w:t>לו.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21" stroked="t" o:allowincell="f" style="position:absolute;margin-left:-49.2pt;margin-top:5.7pt;width:43.45pt;height:57.7pt;mso-wrap-style:square;v-text-anchor:top" type="_x0000_t202">
                <v:textbox>
                  <w:txbxContent>
                    <w:p>
                      <w:pPr>
                        <w:overflowPunct w:val="false"/>
                        <w:bidi w:val="1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rFonts w:cs="Shofar"/>
                        </w:rPr>
                        <w:t>לו.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b/>
          <w:b/>
          <w:bCs/>
          <w:u w:val="single"/>
          <w:rtl w:val="true"/>
          <w:lang w:val="en-US" w:bidi="he-IL"/>
        </w:rPr>
        <w:t>משנה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 אומר שלש דינים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 xml:space="preserve">על שנים הראשונים אומר אחד יוצא מן הכלל 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אחד לכל דין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ועל השלישי חולק תנא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שואל גמ’ למקור משנה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מת’ ומק’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מת’ לחד מד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"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ולחד מד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"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 בחד מד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"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מק’ לכל שאין זה מקור לכל הדין ומת’ לאותו ק’ שני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מק’ שאין זה מקור לכל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מת’ ומק’ ומת’ ומק’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אומר מימרא צדדי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ומק’ עליו ומת’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מת’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 (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מק’ ק’ שני שהק’ לעיל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,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ומת’ כמו שת’ לעיל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).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מק’ שני קושיות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חוזר מכל תשובה זה ואומר אחר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אומר שני אגדות על חיוב ברכות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אומר כאחד מהם מחמת סתירת קראי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אומר עוד שני אגדות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מק’ גמ’ סתירת קראי ומת’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חולקים תנאים ביישוב עוד סתירה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אומר גמ’ מה קרה בהנהגה כשניהם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 xml:space="preserve">. </w:t>
      </w:r>
      <w:r>
        <w:rPr>
          <w:rFonts w:ascii="Times New Roman" w:hAnsi="Times New Roman" w:cs="Times New Roman"/>
          <w:b w:val="false"/>
          <w:b w:val="false"/>
          <w:bCs w:val="false"/>
          <w:u w:val="none"/>
          <w:rtl w:val="true"/>
          <w:lang w:val="en-US" w:bidi="he-IL"/>
        </w:rPr>
        <w:t>מז’ אמורה שאמר לתל’ כאחד מן התנאים</w:t>
      </w: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ascii="Times New Roman" w:hAnsi="Times New Roman" w:cs="Times New Roman"/>
          <w:b w:val="false"/>
          <w:b w:val="false"/>
          <w:bCs w:val="false"/>
          <w:u w:val="none"/>
          <w:lang w:val="en-US" w:bidi="he-IL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b w:val="false"/>
          <w:b w:val="false"/>
          <w:bCs w:val="false"/>
          <w:u w:val="none"/>
          <w:lang w:val="en-US" w:bidi="he-IL"/>
        </w:rPr>
      </w:pP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b w:val="false"/>
          <w:b w:val="false"/>
          <w:bCs w:val="false"/>
          <w:u w:val="none"/>
          <w:lang w:val="en-US" w:bidi="he-IL"/>
        </w:rPr>
      </w:pPr>
      <w:r>
        <w:rPr>
          <w:rFonts w:cs="Times New Roman" w:ascii="Times New Roman" w:hAnsi="Times New Roman"/>
          <w:b w:val="false"/>
          <w:bCs w:val="false"/>
          <w:u w:val="none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 w:bidi="he-IL"/>
        </w:rPr>
      </w:pPr>
      <w:r>
        <w:rPr>
          <w:rFonts w:cs="Times New Roman" w:ascii="Times New Roman" w:hAnsi="Times New Roman"/>
          <w:rtl w:val="true"/>
          <w:lang w:val="en-US" w:bidi="he-IL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rtl w:val="true"/>
          <w:lang w:val="en-US"/>
        </w:rPr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bidi w:val="1"/>
        <w:jc w:val="left"/>
        <w:rPr>
          <w:lang w:val="en-US"/>
        </w:rPr>
      </w:pPr>
      <w:r>
        <w:rPr>
          <w:rtl w:val="true"/>
          <w:lang w:val="en-US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Stam Sefarad CLM">
    <w:charset w:val="01"/>
    <w:family w:val="roman"/>
    <w:pitch w:val="default"/>
  </w:font>
  <w:font w:name="Shofar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snapToGrid w:val="false"/>
        <w:jc w:val="left"/>
        <w:rPr>
          <w:rFonts w:cs="Times New Roman"/>
          <w:lang w:val="en-US" w:bidi="he-IL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>אינו</w:t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cs="Times New Roman"/>
          <w:rtl w:val="true"/>
          <w:lang w:val="en-US"/>
        </w:rPr>
        <w:t>כל כך פשוט מהו המשך כל גמ</w:t>
      </w:r>
      <w:r>
        <w:rPr>
          <w:rFonts w:cs="Times New Roman"/>
          <w:rtl w:val="true"/>
          <w:lang w:val="en-US" w:bidi="he-IL"/>
        </w:rPr>
        <w:t xml:space="preserve">’ </w:t>
      </w:r>
      <w:r>
        <w:rPr>
          <w:rFonts w:cs="Times New Roman"/>
          <w:rtl w:val="true"/>
          <w:lang w:val="en-US"/>
        </w:rPr>
        <w:t>כאן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/>
        </w:rPr>
        <w:t>ע</w:t>
      </w:r>
      <w:r>
        <w:rPr>
          <w:rFonts w:cs="Times New Roman"/>
          <w:rtl w:val="true"/>
          <w:lang w:val="en-US" w:bidi="he-IL"/>
        </w:rPr>
        <w:t xml:space="preserve">’ </w:t>
      </w:r>
      <w:r>
        <w:rPr>
          <w:rFonts w:cs="Times New Roman"/>
          <w:rtl w:val="true"/>
          <w:lang w:val="en-US"/>
        </w:rPr>
        <w:t>בשי</w:t>
      </w:r>
      <w:r>
        <w:rPr>
          <w:rFonts w:cs="Times New Roman"/>
          <w:rtl w:val="true"/>
          <w:lang w:val="en-US" w:bidi="he-IL"/>
        </w:rPr>
        <w:t>”</w:t>
      </w:r>
      <w:r>
        <w:rPr>
          <w:rFonts w:cs="Times New Roman"/>
          <w:rtl w:val="true"/>
          <w:lang w:val="en-US"/>
        </w:rPr>
        <w:t>ח ש</w:t>
      </w:r>
      <w:r>
        <w:rPr>
          <w:rFonts w:cs="Times New Roman"/>
          <w:rtl w:val="true"/>
          <w:lang w:val="en-US" w:bidi="he-IL"/>
        </w:rPr>
        <w:t>”</w:t>
      </w:r>
      <w:r>
        <w:rPr>
          <w:rFonts w:cs="Times New Roman"/>
          <w:rtl w:val="true"/>
          <w:lang w:val="en-US"/>
        </w:rPr>
        <w:t xml:space="preserve">י </w:t>
      </w:r>
      <w:r>
        <w:rPr>
          <w:rFonts w:cs="Times New Roman"/>
          <w:rtl w:val="true"/>
          <w:lang w:val="en-US" w:bidi="he-IL"/>
        </w:rPr>
        <w:t>(</w:t>
      </w:r>
      <w:r>
        <w:rPr>
          <w:rFonts w:cs="Times New Roman"/>
          <w:rtl w:val="true"/>
          <w:lang w:val="en-US"/>
        </w:rPr>
        <w:t>גלגל חמישי</w:t>
      </w:r>
      <w:r>
        <w:rPr>
          <w:rFonts w:cs="Times New Roman"/>
          <w:rtl w:val="true"/>
          <w:lang w:val="en-US" w:bidi="he-IL"/>
        </w:rPr>
        <w:t>-</w:t>
      </w:r>
      <w:r>
        <w:rPr>
          <w:rFonts w:cs="Times New Roman"/>
          <w:rtl w:val="true"/>
          <w:lang w:val="en-US"/>
        </w:rPr>
        <w:t>כאן</w:t>
      </w:r>
      <w:r>
        <w:rPr>
          <w:rFonts w:cs="Times New Roman"/>
          <w:rtl w:val="true"/>
          <w:lang w:val="en-US" w:bidi="he-IL"/>
        </w:rPr>
        <w:t>).</w:t>
      </w:r>
    </w:p>
  </w:footnote>
  <w:footnote w:id="3">
    <w:p>
      <w:pPr>
        <w:pStyle w:val="Footnote"/>
        <w:bidi w:val="0"/>
        <w:snapToGrid w:val="false"/>
        <w:jc w:val="right"/>
        <w:rPr>
          <w:rFonts w:cs="Times New Roman"/>
          <w:lang w:val="en-US" w:bidi="he-IL"/>
        </w:rPr>
      </w:pPr>
      <w:r>
        <w:rPr>
          <w:rStyle w:val="FootnoteCharacters"/>
        </w:rPr>
        <w:footnoteRef/>
      </w:r>
      <w:r>
        <w:rPr/>
        <w:tab/>
        <w:t xml:space="preserve"> </w:t>
      </w:r>
      <w:r>
        <w:rPr>
          <w:rFonts w:cs="Times New Roman"/>
          <w:rtl w:val="true"/>
        </w:rPr>
        <w:t>יש</w:t>
      </w:r>
      <w:r>
        <w:rPr>
          <w:rFonts w:cs="Times New Roman"/>
          <w:rtl w:val="true"/>
          <w:lang w:val="en-US" w:bidi="he-IL"/>
        </w:rPr>
        <w:t xml:space="preserve"> </w:t>
      </w:r>
      <w:r>
        <w:rPr>
          <w:rFonts w:cs="Times New Roman"/>
          <w:rtl w:val="true"/>
          <w:lang w:val="en-US"/>
        </w:rPr>
        <w:t>שני גירסאות בגמרא זה</w:t>
      </w:r>
      <w:r>
        <w:rPr>
          <w:rFonts w:cs="Times New Roman"/>
          <w:rtl w:val="true"/>
          <w:lang w:val="en-US" w:bidi="he-IL"/>
        </w:rPr>
        <w:t xml:space="preserve">. </w:t>
      </w:r>
      <w:r>
        <w:rPr>
          <w:rFonts w:cs="Times New Roman"/>
          <w:rtl w:val="true"/>
          <w:lang w:val="en-US"/>
        </w:rPr>
        <w:t>מה שכתבנו ב</w:t>
      </w:r>
      <w:r>
        <w:rPr>
          <w:rFonts w:cs="Times New Roman"/>
          <w:rtl w:val="true"/>
          <w:lang w:val="en-US" w:bidi="he-IL"/>
        </w:rPr>
        <w:t xml:space="preserve">( ) </w:t>
      </w:r>
      <w:r>
        <w:rPr>
          <w:rFonts w:cs="Times New Roman"/>
          <w:rtl w:val="true"/>
          <w:lang w:val="en-US"/>
        </w:rPr>
        <w:t>הוא גירסת רש</w:t>
      </w:r>
      <w:r>
        <w:rPr>
          <w:rFonts w:cs="Times New Roman"/>
          <w:rtl w:val="true"/>
          <w:lang w:val="en-US" w:bidi="he-IL"/>
        </w:rPr>
        <w:t>”</w:t>
      </w:r>
      <w:r>
        <w:rPr>
          <w:rFonts w:cs="Times New Roman"/>
          <w:rtl w:val="true"/>
          <w:lang w:val="en-US"/>
        </w:rPr>
        <w:t>י</w:t>
      </w:r>
      <w:r>
        <w:rPr>
          <w:rFonts w:cs="Times New Roman"/>
          <w:rtl w:val="true"/>
          <w:lang w:val="en-US" w:bidi="he-IL"/>
        </w:rPr>
        <w:t xml:space="preserve">; </w:t>
      </w:r>
      <w:r>
        <w:rPr>
          <w:rFonts w:cs="Times New Roman"/>
          <w:rtl w:val="true"/>
          <w:lang w:val="en-US"/>
        </w:rPr>
        <w:t>מה שאינו ב</w:t>
      </w:r>
      <w:r>
        <w:rPr>
          <w:rFonts w:cs="Times New Roman"/>
          <w:rtl w:val="true"/>
          <w:lang w:val="en-US" w:bidi="he-IL"/>
        </w:rPr>
        <w:t xml:space="preserve">( ) </w:t>
      </w:r>
      <w:r>
        <w:rPr>
          <w:rFonts w:cs="Times New Roman"/>
          <w:rtl w:val="true"/>
          <w:lang w:val="en-US"/>
        </w:rPr>
        <w:t>הוא גירסת גמרא שלנו</w:t>
      </w:r>
      <w:r>
        <w:rPr>
          <w:rFonts w:cs="Times New Roman"/>
          <w:lang w:val="en-US" w:bidi="he-IL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LibreOffice/7.3.2.2$Windows_X86_64 LibreOffice_project/49f2b1bff42cfccbd8f788c8dc32c1c309559be0</Application>
  <AppVersion>15.0000</AppVersion>
  <Pages>4</Pages>
  <Words>1668</Words>
  <Characters>7018</Characters>
  <CharactersWithSpaces>8540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2022-05-25T18:08:42Z</dcterms:created>
  <dc:creator/>
  <dc:description/>
  <dc:language>en-US</dc:language>
  <cp:lastModifiedBy/>
  <dcterms:modified xsi:type="dcterms:W3CDTF">2022-06-28T17:52:47Z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