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C77D7" w:rsidRDefault="009E2A2C" w:rsidP="00466227">
      <w:pPr>
        <w:pStyle w:val="Heading1"/>
        <w:rPr>
          <w:rtl/>
        </w:rPr>
      </w:pPr>
      <w:r>
        <w:rPr>
          <w:rFonts w:hint="cs"/>
          <w:rtl/>
        </w:rPr>
        <w:t>יש שלש דרכים שאילן גדל:</w:t>
      </w:r>
    </w:p>
    <w:p w:rsidR="009E2A2C" w:rsidRDefault="009E2A2C" w:rsidP="00466227">
      <w:pPr>
        <w:pStyle w:val="Heading2"/>
        <w:rPr>
          <w:rtl/>
        </w:rPr>
      </w:pPr>
      <w:r>
        <w:rPr>
          <w:rFonts w:hint="cs"/>
          <w:rtl/>
        </w:rPr>
        <w:t>נטיעה:</w:t>
      </w:r>
    </w:p>
    <w:p w:rsidR="009E2A2C" w:rsidRDefault="009E2A2C">
      <w:pPr>
        <w:rPr>
          <w:rFonts w:hint="cs"/>
          <w:rtl/>
        </w:rPr>
      </w:pPr>
      <w:r>
        <w:rPr>
          <w:rFonts w:hint="cs"/>
          <w:rtl/>
        </w:rPr>
        <w:t>נטיעה הוא כשנוטע זרע בקרקע. הדין הוא שמונים שלש שנים מן הזמן שנטע.</w:t>
      </w:r>
    </w:p>
    <w:p w:rsidR="009E2A2C" w:rsidRDefault="009E2A2C" w:rsidP="00466227">
      <w:pPr>
        <w:pStyle w:val="Heading2"/>
        <w:rPr>
          <w:rtl/>
        </w:rPr>
      </w:pPr>
      <w:r>
        <w:rPr>
          <w:rFonts w:hint="cs"/>
          <w:rtl/>
        </w:rPr>
        <w:t>הברכה</w:t>
      </w:r>
    </w:p>
    <w:p w:rsidR="009E2A2C" w:rsidRDefault="009E2A2C">
      <w:pPr>
        <w:rPr>
          <w:rFonts w:hint="cs"/>
          <w:rtl/>
        </w:rPr>
      </w:pPr>
      <w:r>
        <w:rPr>
          <w:rFonts w:hint="cs"/>
          <w:rtl/>
        </w:rPr>
        <w:t>הברכה היא נטיעת ייוחר, בין מחובר בין תלוש, בקרקע.</w:t>
      </w:r>
    </w:p>
    <w:p w:rsidR="009E2A2C" w:rsidRDefault="009E2A2C">
      <w:pPr>
        <w:rPr>
          <w:rtl/>
        </w:rPr>
      </w:pPr>
      <w:r>
        <w:rPr>
          <w:rFonts w:hint="cs"/>
          <w:rtl/>
        </w:rPr>
        <w:t>בהברכה, יש שלש מקורות. יש תורת כוהנים שדורש מ"ונטעתם" למעט הברכה מחיוב ערלה. אבל, יש גמ' בסוטה שאורמ שחוזרים מערכי מלחמה על אילן הוברך שלא מחולל. כיון שרק חוזרים אם יש לו דין ערלה, צריך לומר שהברכה נתחייבה בערלה.</w:t>
      </w:r>
      <w:r>
        <w:rPr>
          <w:rStyle w:val="FootnoteReference"/>
          <w:rtl/>
        </w:rPr>
        <w:footnoteReference w:id="1"/>
      </w:r>
      <w:r w:rsidR="00A9062D">
        <w:rPr>
          <w:rFonts w:hint="cs"/>
          <w:rtl/>
        </w:rPr>
        <w:t xml:space="preserve"> שם, ראב"י חולק, ואומר שלא חוזרים לו. גם יש גמ' בראש השנה שמבאר ממתי מונים שנים לאילן שהבריך.</w:t>
      </w:r>
    </w:p>
    <w:p w:rsidR="00697F73" w:rsidRDefault="00697F73" w:rsidP="00697F73">
      <w:pPr>
        <w:rPr>
          <w:rFonts w:hint="cs"/>
          <w:rtl/>
        </w:rPr>
      </w:pPr>
      <w:r>
        <w:rPr>
          <w:rFonts w:hint="cs"/>
          <w:rtl/>
        </w:rPr>
        <w:t>ראשונים מבארים- וכן נ' ממשניות- שיש שני מיני הברכה. אם נוטע ייחור שמחובר לאמו וממנה יונק מן הארץ (שיעור שורש), לא נחשב נטיעה חדשה, והוא בטל לאמו, ויש לו דיני אמו. אבל, אם נוטע ייחור שעקר, נחשב נטיעה חדשה.</w:t>
      </w:r>
    </w:p>
    <w:p w:rsidR="00697F73" w:rsidRDefault="00697F73" w:rsidP="00697F73">
      <w:pPr>
        <w:rPr>
          <w:rFonts w:hint="cs"/>
          <w:rtl/>
        </w:rPr>
      </w:pPr>
      <w:r>
        <w:rPr>
          <w:rFonts w:hint="cs"/>
          <w:rtl/>
        </w:rPr>
        <w:t>אם נוטע ייחור שמחובר, ושוב נעקר הייחור, מונים שלש שנים משעה שנעקרה.</w:t>
      </w:r>
    </w:p>
    <w:p w:rsidR="00697F73" w:rsidRDefault="00697F73" w:rsidP="00697F73">
      <w:pPr>
        <w:rPr>
          <w:rtl/>
        </w:rPr>
      </w:pPr>
      <w:r>
        <w:rPr>
          <w:rFonts w:hint="cs"/>
          <w:rtl/>
        </w:rPr>
        <w:t>נמצא שיש שלש זמנים שיכול להיות מנין משלש זמנים- מזמן נטיעת האילן (כשמחובר), מזמן נטיעת ייחור (כשעקרו ונטעו), ומזמן עקירת הייחור (כשעקרו אחר שנטעו).</w:t>
      </w:r>
    </w:p>
    <w:p w:rsidR="002C2905" w:rsidRDefault="009E2A2C" w:rsidP="00466227">
      <w:pPr>
        <w:pStyle w:val="Heading2"/>
        <w:rPr>
          <w:rtl/>
        </w:rPr>
      </w:pPr>
      <w:r>
        <w:rPr>
          <w:rFonts w:hint="cs"/>
          <w:rtl/>
        </w:rPr>
        <w:t>הרכבה</w:t>
      </w:r>
    </w:p>
    <w:p w:rsidR="00697F73" w:rsidRDefault="00697F73">
      <w:pPr>
        <w:rPr>
          <w:rtl/>
        </w:rPr>
      </w:pPr>
      <w:r>
        <w:rPr>
          <w:rFonts w:hint="cs"/>
          <w:rtl/>
        </w:rPr>
        <w:t>הרכבה הוא נטיעת אילן לתוך אילן אחר. יש שני מיני הרכבה:</w:t>
      </w:r>
    </w:p>
    <w:p w:rsidR="00697F73" w:rsidRDefault="00697F73" w:rsidP="00466227">
      <w:pPr>
        <w:pStyle w:val="Heading3"/>
        <w:rPr>
          <w:rtl/>
        </w:rPr>
      </w:pPr>
      <w:r>
        <w:rPr>
          <w:rFonts w:hint="cs"/>
          <w:rtl/>
        </w:rPr>
        <w:t>הרכבת ייחור</w:t>
      </w:r>
      <w:r w:rsidR="002C2905">
        <w:rPr>
          <w:rStyle w:val="FootnoteReference"/>
          <w:rtl/>
        </w:rPr>
        <w:footnoteReference w:id="2"/>
      </w:r>
    </w:p>
    <w:p w:rsidR="002C2905" w:rsidRDefault="002C2905" w:rsidP="00466227">
      <w:pPr>
        <w:rPr>
          <w:rtl/>
        </w:rPr>
      </w:pPr>
      <w:r>
        <w:rPr>
          <w:rFonts w:hint="cs"/>
          <w:rtl/>
        </w:rPr>
        <w:t xml:space="preserve">יכול לחברו לתוך </w:t>
      </w:r>
      <w:r w:rsidR="00466227">
        <w:rPr>
          <w:rFonts w:hint="cs"/>
          <w:rtl/>
        </w:rPr>
        <w:t>ששה</w:t>
      </w:r>
      <w:r>
        <w:rPr>
          <w:rFonts w:hint="cs"/>
          <w:rtl/>
        </w:rPr>
        <w:t xml:space="preserve"> מיני אילנות:</w:t>
      </w:r>
    </w:p>
    <w:p w:rsidR="00E429E3" w:rsidRDefault="002C2905" w:rsidP="00471B1F">
      <w:pPr>
        <w:pStyle w:val="Heading4"/>
        <w:rPr>
          <w:rtl/>
        </w:rPr>
      </w:pPr>
      <w:r>
        <w:rPr>
          <w:rFonts w:hint="cs"/>
          <w:rtl/>
        </w:rPr>
        <w:t>לתוך אילן זקן</w:t>
      </w:r>
    </w:p>
    <w:p w:rsidR="002C2905" w:rsidRDefault="002C2905">
      <w:pPr>
        <w:rPr>
          <w:rFonts w:hint="cs"/>
          <w:rtl/>
        </w:rPr>
      </w:pPr>
      <w:r>
        <w:rPr>
          <w:rFonts w:hint="cs"/>
          <w:rtl/>
        </w:rPr>
        <w:t>דין הייחור שווה לאילן זקן, ואין בו ערלה</w:t>
      </w:r>
      <w:r w:rsidR="00B67CD2">
        <w:rPr>
          <w:rStyle w:val="FootnoteReference"/>
          <w:rtl/>
        </w:rPr>
        <w:footnoteReference w:id="3"/>
      </w:r>
      <w:r>
        <w:rPr>
          <w:rFonts w:hint="cs"/>
          <w:rtl/>
        </w:rPr>
        <w:t>.</w:t>
      </w:r>
    </w:p>
    <w:p w:rsidR="00E429E3" w:rsidRDefault="002C2905" w:rsidP="00471B1F">
      <w:pPr>
        <w:pStyle w:val="Heading4"/>
        <w:rPr>
          <w:rtl/>
        </w:rPr>
      </w:pPr>
      <w:r>
        <w:rPr>
          <w:rFonts w:hint="cs"/>
          <w:rtl/>
        </w:rPr>
        <w:t>לתוך אילן ילדה</w:t>
      </w:r>
    </w:p>
    <w:p w:rsidR="002C2905" w:rsidRDefault="008B6283">
      <w:pPr>
        <w:rPr>
          <w:rFonts w:hint="cs"/>
          <w:rtl/>
        </w:rPr>
      </w:pPr>
      <w:r>
        <w:rPr>
          <w:rFonts w:hint="cs"/>
          <w:rtl/>
        </w:rPr>
        <w:t>ד</w:t>
      </w:r>
      <w:r w:rsidR="002C2905">
        <w:rPr>
          <w:rFonts w:hint="cs"/>
          <w:rtl/>
        </w:rPr>
        <w:t>ין הייחור שווה לאילן ילדה, ויש בו דין ערלה. אבל, מונים שנות הערלה מזמן נטיעת ילדה שבו הרכיב</w:t>
      </w:r>
      <w:r w:rsidR="002C2905">
        <w:rPr>
          <w:rStyle w:val="FootnoteReference"/>
          <w:rtl/>
        </w:rPr>
        <w:footnoteReference w:id="4"/>
      </w:r>
      <w:r w:rsidR="002C2905">
        <w:rPr>
          <w:rFonts w:hint="cs"/>
          <w:rtl/>
        </w:rPr>
        <w:t>.</w:t>
      </w:r>
    </w:p>
    <w:p w:rsidR="008B6283" w:rsidRDefault="002C2905" w:rsidP="00471B1F">
      <w:pPr>
        <w:pStyle w:val="Heading4"/>
        <w:rPr>
          <w:rtl/>
        </w:rPr>
      </w:pPr>
      <w:r>
        <w:rPr>
          <w:rFonts w:hint="cs"/>
          <w:rtl/>
        </w:rPr>
        <w:t>לתו</w:t>
      </w:r>
      <w:r w:rsidR="00466227">
        <w:rPr>
          <w:rFonts w:hint="cs"/>
          <w:rtl/>
        </w:rPr>
        <w:t>ך אילן שנטע לסייג ולקורות</w:t>
      </w:r>
    </w:p>
    <w:p w:rsidR="00466227" w:rsidRDefault="00466227">
      <w:pPr>
        <w:rPr>
          <w:rtl/>
        </w:rPr>
      </w:pPr>
      <w:r>
        <w:rPr>
          <w:rFonts w:hint="cs"/>
          <w:rtl/>
        </w:rPr>
        <w:t>חולקים תנאים בדין זה:</w:t>
      </w:r>
    </w:p>
    <w:p w:rsidR="00466227" w:rsidRDefault="00466227" w:rsidP="00471B1F">
      <w:pPr>
        <w:pStyle w:val="Heading5"/>
        <w:rPr>
          <w:rFonts w:hint="cs"/>
          <w:rtl/>
        </w:rPr>
      </w:pPr>
      <w:r>
        <w:rPr>
          <w:rFonts w:hint="cs"/>
          <w:rtl/>
        </w:rPr>
        <w:lastRenderedPageBreak/>
        <w:t>רבנן</w:t>
      </w:r>
    </w:p>
    <w:p w:rsidR="002C2905" w:rsidRDefault="00466227" w:rsidP="007009D9">
      <w:pPr>
        <w:rPr>
          <w:rtl/>
        </w:rPr>
      </w:pPr>
      <w:r>
        <w:rPr>
          <w:rFonts w:hint="cs"/>
          <w:rtl/>
        </w:rPr>
        <w:t>דין הייחור הוא שיש לו ערלה. אף שאין ערלה, בדרך כלל, לאילן שנטע לסייג ולקורות</w:t>
      </w:r>
      <w:r w:rsidR="007009D9">
        <w:rPr>
          <w:rStyle w:val="FootnoteReference"/>
          <w:rtl/>
        </w:rPr>
        <w:footnoteReference w:id="5"/>
      </w:r>
      <w:r>
        <w:rPr>
          <w:rFonts w:hint="cs"/>
          <w:rtl/>
        </w:rPr>
        <w:t>, כיון שלא נטע אותו לפירות, אם חשב עליו לפירות, יהיה לו דין ערלה</w:t>
      </w:r>
      <w:r w:rsidR="00390676">
        <w:rPr>
          <w:rStyle w:val="FootnoteReference"/>
          <w:rtl/>
        </w:rPr>
        <w:footnoteReference w:id="6"/>
      </w:r>
      <w:r>
        <w:rPr>
          <w:rFonts w:hint="cs"/>
          <w:rtl/>
        </w:rPr>
        <w:t>. לכן, אין לייחור דין האילן.</w:t>
      </w:r>
    </w:p>
    <w:p w:rsidR="00D35195" w:rsidRDefault="00D35195">
      <w:pPr>
        <w:rPr>
          <w:rFonts w:hint="cs"/>
          <w:rtl/>
        </w:rPr>
      </w:pPr>
      <w:r>
        <w:rPr>
          <w:rFonts w:hint="cs"/>
          <w:rtl/>
        </w:rPr>
        <w:t>ירושלמי כ' שמונים שלש השנים משעת נטיעת האילן. לפי ריטב"א, בבלי חולק, וסובר שמונים משעת הרכבה.</w:t>
      </w:r>
    </w:p>
    <w:p w:rsidR="00466227" w:rsidRDefault="00466227" w:rsidP="00471B1F">
      <w:pPr>
        <w:pStyle w:val="Heading5"/>
        <w:rPr>
          <w:rFonts w:hint="cs"/>
          <w:rtl/>
        </w:rPr>
      </w:pPr>
      <w:r>
        <w:rPr>
          <w:rFonts w:hint="cs"/>
          <w:rtl/>
        </w:rPr>
        <w:t>ראב</w:t>
      </w:r>
      <w:r>
        <w:rPr>
          <w:rFonts w:cstheme="minorBidi" w:hint="cs"/>
          <w:rtl/>
        </w:rPr>
        <w:t>"י</w:t>
      </w:r>
      <w:r w:rsidR="0089753F">
        <w:rPr>
          <w:rStyle w:val="FootnoteReference"/>
          <w:rFonts w:cstheme="minorBidi"/>
          <w:rtl/>
        </w:rPr>
        <w:footnoteReference w:id="7"/>
      </w:r>
    </w:p>
    <w:p w:rsidR="00466227" w:rsidRDefault="00466227" w:rsidP="00471B1F">
      <w:pPr>
        <w:rPr>
          <w:rtl/>
        </w:rPr>
      </w:pPr>
      <w:r>
        <w:rPr>
          <w:rFonts w:hint="cs"/>
          <w:rtl/>
        </w:rPr>
        <w:t>דין הייחור שווה לדין אילן, והוא שאין לו ערלה, אלא אם כן חושב עליו לאכילה.</w:t>
      </w:r>
      <w:r w:rsidR="00471B1F">
        <w:rPr>
          <w:rStyle w:val="FootnoteReference"/>
          <w:rtl/>
        </w:rPr>
        <w:footnoteReference w:id="8"/>
      </w:r>
    </w:p>
    <w:p w:rsidR="00466227" w:rsidRDefault="00466227" w:rsidP="00AE308A">
      <w:pPr>
        <w:rPr>
          <w:rFonts w:hint="cs"/>
          <w:rtl/>
        </w:rPr>
      </w:pPr>
      <w:r>
        <w:rPr>
          <w:rFonts w:hint="cs"/>
          <w:rtl/>
        </w:rPr>
        <w:t>לתוך אילן שנטע להקדש</w:t>
      </w:r>
      <w:r w:rsidR="00AE308A">
        <w:rPr>
          <w:rStyle w:val="FootnoteReference"/>
          <w:rtl/>
        </w:rPr>
        <w:footnoteReference w:id="9"/>
      </w:r>
      <w:r>
        <w:rPr>
          <w:rFonts w:hint="cs"/>
          <w:rtl/>
        </w:rPr>
        <w:t>- דינו שווה לדין ייחור שהרכיב לתוך אילן שנטע לסייג ולקורות</w:t>
      </w:r>
      <w:r>
        <w:rPr>
          <w:rStyle w:val="FootnoteReference"/>
          <w:rtl/>
        </w:rPr>
        <w:footnoteReference w:id="10"/>
      </w:r>
      <w:r>
        <w:rPr>
          <w:rFonts w:hint="cs"/>
          <w:rtl/>
        </w:rPr>
        <w:t>, שכמו שיכול לחייב אילן שנטע לסייג ולקורות ע"י שינוי מחשבתו, כך יכול לחייב אילן הקדש על ידי פדיון.</w:t>
      </w:r>
    </w:p>
    <w:p w:rsidR="008B6283" w:rsidRDefault="002C2905" w:rsidP="00471B1F">
      <w:pPr>
        <w:pStyle w:val="Heading4"/>
        <w:rPr>
          <w:rtl/>
        </w:rPr>
      </w:pPr>
      <w:r>
        <w:rPr>
          <w:rFonts w:hint="cs"/>
          <w:rtl/>
        </w:rPr>
        <w:t>לתוך עצי אשירה</w:t>
      </w:r>
    </w:p>
    <w:p w:rsidR="00D35195" w:rsidRDefault="008B6283" w:rsidP="00D35195">
      <w:pPr>
        <w:rPr>
          <w:rFonts w:hint="cs"/>
          <w:rtl/>
        </w:rPr>
      </w:pPr>
      <w:r>
        <w:rPr>
          <w:rFonts w:hint="cs"/>
          <w:rtl/>
        </w:rPr>
        <w:t>ח</w:t>
      </w:r>
      <w:r w:rsidR="00D35195">
        <w:rPr>
          <w:rFonts w:hint="cs"/>
          <w:rtl/>
        </w:rPr>
        <w:t>ולקים בזה. טורי אבן כ' שיש ערלה לייחור, ומונים משעת הרכבה, אבל אפשר שיש חולקים^</w:t>
      </w:r>
      <w:r w:rsidR="00D35195">
        <w:rPr>
          <w:rStyle w:val="FootnoteReference"/>
          <w:rtl/>
        </w:rPr>
        <w:footnoteReference w:id="11"/>
      </w:r>
      <w:r w:rsidR="00D35195">
        <w:rPr>
          <w:rFonts w:hint="cs"/>
          <w:rtl/>
        </w:rPr>
        <w:t>.</w:t>
      </w:r>
    </w:p>
    <w:p w:rsidR="008B6283" w:rsidRDefault="00D35195" w:rsidP="00471B1F">
      <w:pPr>
        <w:pStyle w:val="Heading4"/>
        <w:rPr>
          <w:rtl/>
        </w:rPr>
      </w:pPr>
      <w:r>
        <w:rPr>
          <w:rFonts w:hint="cs"/>
          <w:rtl/>
        </w:rPr>
        <w:t>לתוך אילן סרק</w:t>
      </w:r>
      <w:r w:rsidR="00E429E3">
        <w:rPr>
          <w:rStyle w:val="FootnoteReference"/>
          <w:rtl/>
        </w:rPr>
        <w:footnoteReference w:id="12"/>
      </w:r>
    </w:p>
    <w:p w:rsidR="002C2905" w:rsidRDefault="00D35195">
      <w:pPr>
        <w:rPr>
          <w:rtl/>
        </w:rPr>
      </w:pPr>
      <w:r>
        <w:rPr>
          <w:rFonts w:hint="cs"/>
          <w:rtl/>
        </w:rPr>
        <w:t>דין ייחור הוא שיש לו ערלה. חולקים בירושלמי איך מונים שלש השנים שלו. ריש לקיש סובר שמונים משעת הרכבה ורבי יוחנן סובר שמונים משעת נטיעת אמו.</w:t>
      </w:r>
      <w:r w:rsidR="00E429E3">
        <w:rPr>
          <w:rFonts w:hint="cs"/>
          <w:rtl/>
        </w:rPr>
        <w:t xml:space="preserve"> רמב"ן מפרש שבבלי סובר כריש לקיש.</w:t>
      </w:r>
    </w:p>
    <w:p w:rsidR="002C2905" w:rsidRDefault="002C2905" w:rsidP="00471B1F">
      <w:pPr>
        <w:pStyle w:val="Heading3"/>
        <w:rPr>
          <w:rtl/>
        </w:rPr>
      </w:pPr>
      <w:r>
        <w:rPr>
          <w:rFonts w:hint="cs"/>
          <w:rtl/>
        </w:rPr>
        <w:t>הרכבת אילן</w:t>
      </w:r>
    </w:p>
    <w:p w:rsidR="00E429E3" w:rsidRDefault="00E429E3" w:rsidP="00E429E3">
      <w:pPr>
        <w:rPr>
          <w:rFonts w:hint="cs"/>
          <w:rtl/>
        </w:rPr>
      </w:pPr>
      <w:r>
        <w:rPr>
          <w:rFonts w:hint="cs"/>
          <w:rtl/>
        </w:rPr>
        <w:t>יש להקדים שיש ארבע</w:t>
      </w:r>
      <w:r>
        <w:rPr>
          <w:rStyle w:val="FootnoteReference"/>
          <w:rtl/>
        </w:rPr>
        <w:footnoteReference w:id="13"/>
      </w:r>
      <w:r>
        <w:rPr>
          <w:rFonts w:hint="cs"/>
          <w:rtl/>
        </w:rPr>
        <w:t xml:space="preserve"> יניקות ששייך לדון בהם בתוך הרכבת אילן. יש יניקה שהולך מן הקרקע לאילן ראשונה, יש יניקה שהולך מאילן ראשונה לאילן שניה, יש יניקה שהולך מן הקרקע לאילן שניה, ויש יניקה שהולך מאילן שניה לאילן ראשונה.</w:t>
      </w:r>
    </w:p>
    <w:p w:rsidR="00E429E3" w:rsidRDefault="00E429E3" w:rsidP="00E429E3">
      <w:pPr>
        <w:rPr>
          <w:rtl/>
        </w:rPr>
      </w:pPr>
      <w:r>
        <w:rPr>
          <w:rFonts w:hint="cs"/>
          <w:rtl/>
        </w:rPr>
        <w:t>גם יש להקדים שלפעמים, דין זה יהיה תלוי בכוח היניקה, אם כוחו יפה או רע. חולקים בביאור "כוח יפה." חז"א פי' שכוח יפה הוא שיונק ממנו באופן חזק משאר מיניקה האחרת.</w:t>
      </w:r>
      <w:r>
        <w:rPr>
          <w:rStyle w:val="FootnoteReference"/>
          <w:rtl/>
        </w:rPr>
        <w:footnoteReference w:id="14"/>
      </w:r>
      <w:r>
        <w:rPr>
          <w:rFonts w:hint="cs"/>
          <w:rtl/>
        </w:rPr>
        <w:t xml:space="preserve"> (אז, צד אחד של יניקה לעולם </w:t>
      </w:r>
      <w:r>
        <w:rPr>
          <w:rFonts w:hint="cs"/>
          <w:rtl/>
        </w:rPr>
        <w:lastRenderedPageBreak/>
        <w:t>יפה וצד האחר לעולם רע.) ר"ש וראב"ד פי' שכוח יפה הוא שחיבור הוא חזק</w:t>
      </w:r>
      <w:r w:rsidR="00226EC0">
        <w:rPr>
          <w:rFonts w:hint="cs"/>
          <w:rtl/>
        </w:rPr>
        <w:t xml:space="preserve"> וכוח רע הוא שהחיבור הוא חלוש, וכמעט יכול להיות נפרד ברוח</w:t>
      </w:r>
      <w:r w:rsidR="00226EC0">
        <w:rPr>
          <w:rStyle w:val="FootnoteReference"/>
          <w:rtl/>
        </w:rPr>
        <w:footnoteReference w:id="15"/>
      </w:r>
      <w:r w:rsidR="00226EC0">
        <w:rPr>
          <w:rFonts w:hint="cs"/>
          <w:rtl/>
        </w:rPr>
        <w:t>. אז, לכאו', רק ביניקה שנית ושלישית יכול להיות כוחו רע.</w:t>
      </w:r>
    </w:p>
    <w:p w:rsidR="003D4663" w:rsidRDefault="00226EC0" w:rsidP="003D4663">
      <w:pPr>
        <w:rPr>
          <w:rtl/>
        </w:rPr>
      </w:pPr>
      <w:r>
        <w:rPr>
          <w:rFonts w:hint="cs"/>
          <w:rtl/>
        </w:rPr>
        <w:t>ירושלמי נותן סימן לדעת אם יניקה יפה או רע. עוקץ העלה יותר קרוב למקום שכוחו יפה. לפי חזון איש, תמיד הולכים אחר סימן זה. אבל, לפי ר"ש, אפשר שכוח יפה או רע שרואים דוחה סימן זה.</w:t>
      </w:r>
      <w:r w:rsidR="003D4663">
        <w:rPr>
          <w:rStyle w:val="FootnoteReference"/>
          <w:rtl/>
        </w:rPr>
        <w:footnoteReference w:id="16"/>
      </w:r>
    </w:p>
    <w:p w:rsidR="003D4663" w:rsidRDefault="003D4663" w:rsidP="003D4663">
      <w:pPr>
        <w:rPr>
          <w:rFonts w:hint="cs"/>
          <w:rtl/>
        </w:rPr>
      </w:pPr>
      <w:r>
        <w:rPr>
          <w:rFonts w:hint="cs"/>
          <w:rtl/>
        </w:rPr>
        <w:t>אין חילוק בין אם מרכיב ילדה לתוך זקנה או זקנה לתוך ילדה, אבל אולי יש חילוק בין פירות שיוצאים מענף הזקנה ליוצאים מענף הילדה.</w:t>
      </w:r>
    </w:p>
    <w:p w:rsidR="003D4663" w:rsidRDefault="00491034" w:rsidP="003D4663">
      <w:pPr>
        <w:rPr>
          <w:rtl/>
        </w:rPr>
      </w:pPr>
      <w:r>
        <w:rPr>
          <w:rFonts w:hint="cs"/>
          <w:rtl/>
        </w:rPr>
        <w:t>הכלל בזה הוא שתמיד הולכים בתר מה שכוח יפה. היניקה שנותן לו כוח יפה גם נותן לו דינים. אבל, יש שלש נקודות שצריכים להוסיף על זה:</w:t>
      </w:r>
    </w:p>
    <w:p w:rsidR="00491034" w:rsidRDefault="00491034" w:rsidP="003D4663">
      <w:pPr>
        <w:rPr>
          <w:rtl/>
        </w:rPr>
      </w:pPr>
      <w:r>
        <w:rPr>
          <w:rFonts w:hint="cs"/>
          <w:rtl/>
        </w:rPr>
        <w:t>לפי הר"ש, אפשר להיות שכוח שניהם יפה. אז, לא פשוט מה לעשות.</w:t>
      </w:r>
      <w:r>
        <w:rPr>
          <w:rStyle w:val="FootnoteReference"/>
          <w:rtl/>
        </w:rPr>
        <w:footnoteReference w:id="17"/>
      </w:r>
    </w:p>
    <w:p w:rsidR="00491034" w:rsidRDefault="00491034" w:rsidP="00491034">
      <w:pPr>
        <w:rPr>
          <w:rtl/>
        </w:rPr>
      </w:pPr>
      <w:r>
        <w:rPr>
          <w:rFonts w:hint="cs"/>
          <w:rtl/>
        </w:rPr>
        <w:t>רמבן כ' שפירות שיוצאים מן הילדה אסורים, אף אם כוח הזקנה יפה, אם הילדה מחובר לקרקע כאילן</w:t>
      </w:r>
      <w:r>
        <w:rPr>
          <w:rStyle w:val="FootnoteReference"/>
          <w:rtl/>
        </w:rPr>
        <w:footnoteReference w:id="18"/>
      </w:r>
      <w:r>
        <w:rPr>
          <w:rStyle w:val="FootnoteReference"/>
          <w:rtl/>
        </w:rPr>
        <w:footnoteReference w:id="19"/>
      </w:r>
      <w:r>
        <w:rPr>
          <w:rFonts w:hint="cs"/>
          <w:rtl/>
        </w:rPr>
        <w:t>.</w:t>
      </w:r>
    </w:p>
    <w:p w:rsidR="00491034" w:rsidRDefault="00491034" w:rsidP="00491034">
      <w:r>
        <w:rPr>
          <w:rFonts w:hint="cs"/>
          <w:rtl/>
        </w:rPr>
        <w:t>חז"א כ' שפירות שיוצאים מן הזקנה מותרים, אף אם כוח הילדה יפה, אם הזקנה מחובר לקרקע בשורש.</w:t>
      </w:r>
      <w:r>
        <w:rPr>
          <w:rStyle w:val="FootnoteReference"/>
          <w:rtl/>
        </w:rPr>
        <w:footnoteReference w:id="20"/>
      </w:r>
      <w:r>
        <w:rPr>
          <w:rStyle w:val="FootnoteReference"/>
          <w:rtl/>
        </w:rPr>
        <w:footnoteReference w:id="21"/>
      </w:r>
    </w:p>
    <w:sectPr w:rsidR="00491034">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53FFF" w:rsidRDefault="00053FFF" w:rsidP="009E2A2C">
      <w:pPr>
        <w:spacing w:before="0" w:after="0" w:line="240" w:lineRule="auto"/>
      </w:pPr>
      <w:r>
        <w:separator/>
      </w:r>
    </w:p>
  </w:endnote>
  <w:endnote w:type="continuationSeparator" w:id="0">
    <w:p w:rsidR="00053FFF" w:rsidRDefault="00053FFF" w:rsidP="009E2A2C">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hofar">
    <w:panose1 w:val="02000000000000000000"/>
    <w:charset w:val="00"/>
    <w:family w:val="auto"/>
    <w:pitch w:val="variable"/>
    <w:sig w:usb0="8000086F" w:usb1="4000204A" w:usb2="00000000" w:usb3="00000000" w:csb0="00000021" w:csb1="00000000"/>
  </w:font>
  <w:font w:name="Noto Rashi Hebrew Light">
    <w:panose1 w:val="00000000000000000000"/>
    <w:charset w:val="B1"/>
    <w:family w:val="auto"/>
    <w:pitch w:val="variable"/>
    <w:sig w:usb0="00000803" w:usb1="00000000" w:usb2="00000000" w:usb3="00000000" w:csb0="0000002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53FFF" w:rsidRDefault="00053FFF" w:rsidP="009E2A2C">
      <w:pPr>
        <w:spacing w:before="0" w:after="0" w:line="240" w:lineRule="auto"/>
      </w:pPr>
      <w:r>
        <w:separator/>
      </w:r>
    </w:p>
  </w:footnote>
  <w:footnote w:type="continuationSeparator" w:id="0">
    <w:p w:rsidR="00053FFF" w:rsidRDefault="00053FFF" w:rsidP="009E2A2C">
      <w:pPr>
        <w:spacing w:before="0" w:after="0" w:line="240" w:lineRule="auto"/>
      </w:pPr>
      <w:r>
        <w:continuationSeparator/>
      </w:r>
    </w:p>
  </w:footnote>
  <w:footnote w:id="1">
    <w:p w:rsidR="009E2A2C" w:rsidRDefault="009E2A2C">
      <w:pPr>
        <w:pStyle w:val="FootnoteText"/>
        <w:rPr>
          <w:rFonts w:hint="cs"/>
        </w:rPr>
      </w:pPr>
      <w:r>
        <w:rPr>
          <w:rStyle w:val="FootnoteReference"/>
        </w:rPr>
        <w:footnoteRef/>
      </w:r>
      <w:r>
        <w:rPr>
          <w:rtl/>
        </w:rPr>
        <w:t xml:space="preserve"> </w:t>
      </w:r>
      <w:r>
        <w:rPr>
          <w:rFonts w:hint="cs"/>
          <w:rtl/>
        </w:rPr>
        <w:t>היה אפשר לתרץ שאותו גמ' הוא כשמבריך אילן ילדה. אז, כמו שחוזר לילדה, חוזר להברכה שלו. אבל, זה אי אפשר, שאם כן יחזור מפני ילדה ראשונה (שהבריך). ואם תאמר, הרי רק חוזר על כרם של חמש אילנות, ואז אפשר לברוא ציור שנטע ארבע והבריך אחד מהם. צריך לומר שהברכה לא עושה אילן חדש (על כל פנים, באופן שיש לו דין ערלה של אמו.)</w:t>
      </w:r>
    </w:p>
  </w:footnote>
  <w:footnote w:id="2">
    <w:p w:rsidR="002C2905" w:rsidRDefault="002C2905">
      <w:pPr>
        <w:pStyle w:val="FootnoteText"/>
        <w:rPr>
          <w:rFonts w:hint="cs"/>
        </w:rPr>
      </w:pPr>
      <w:r>
        <w:rPr>
          <w:rStyle w:val="FootnoteReference"/>
        </w:rPr>
        <w:footnoteRef/>
      </w:r>
      <w:r>
        <w:rPr>
          <w:rtl/>
        </w:rPr>
        <w:t xml:space="preserve"> </w:t>
      </w:r>
      <w:r w:rsidRPr="002C2905">
        <w:rPr>
          <w:rFonts w:cs="Arial"/>
          <w:rtl/>
        </w:rPr>
        <w:t>כל ייחור יש עליו דין אילן ילדה לענין ערלה (שאינו חלק מאילן זקנה)</w:t>
      </w:r>
      <w:r w:rsidR="007009D9">
        <w:rPr>
          <w:rFonts w:cs="Arial" w:hint="cs"/>
          <w:rtl/>
        </w:rPr>
        <w:t>.</w:t>
      </w:r>
    </w:p>
  </w:footnote>
  <w:footnote w:id="3">
    <w:p w:rsidR="00B67CD2" w:rsidRDefault="00B67CD2">
      <w:pPr>
        <w:pStyle w:val="FootnoteText"/>
        <w:rPr>
          <w:rFonts w:hint="cs"/>
        </w:rPr>
      </w:pPr>
      <w:r>
        <w:rPr>
          <w:rStyle w:val="FootnoteReference"/>
        </w:rPr>
        <w:footnoteRef/>
      </w:r>
      <w:r>
        <w:rPr>
          <w:rtl/>
        </w:rPr>
        <w:t xml:space="preserve"> </w:t>
      </w:r>
      <w:r>
        <w:rPr>
          <w:rFonts w:hint="cs"/>
          <w:rtl/>
        </w:rPr>
        <w:t>המקור לזה הוא מגמ' סוטה. לכאו', אותו גמ' דן בייחור, ולא באילן, שאם כבר יש לו אילן ילדה, יחזור מחמתו. אלא, צריך לומר שרק ייחור יש לו. כמו כן כ' הרמב"ן בפירוש, וכן נראה מרש"י.</w:t>
      </w:r>
    </w:p>
  </w:footnote>
  <w:footnote w:id="4">
    <w:p w:rsidR="002C2905" w:rsidRDefault="002C2905">
      <w:pPr>
        <w:pStyle w:val="FootnoteText"/>
        <w:rPr>
          <w:rFonts w:hint="cs"/>
        </w:rPr>
      </w:pPr>
      <w:r>
        <w:rPr>
          <w:rStyle w:val="FootnoteReference"/>
        </w:rPr>
        <w:footnoteRef/>
      </w:r>
      <w:r>
        <w:rPr>
          <w:rtl/>
        </w:rPr>
        <w:t xml:space="preserve"> </w:t>
      </w:r>
      <w:r>
        <w:rPr>
          <w:rFonts w:hint="cs"/>
          <w:rtl/>
        </w:rPr>
        <w:t>הראיה לזה הוא מגמ' בסוטה. שם, דן איך אפשר שיחזור מערכי מלחמה מחמת חיוב ערלה של ילדה. לא מתרץ שנמצא אם הרכיב ילדה לתוך ילדה, וכבר עברו שלש שנים של האילן ולא של הייחור. צריך לומר שאף לייחור מונים משעת נטיעה.</w:t>
      </w:r>
    </w:p>
  </w:footnote>
  <w:footnote w:id="5">
    <w:p w:rsidR="007009D9" w:rsidRDefault="007009D9">
      <w:pPr>
        <w:pStyle w:val="FootnoteText"/>
        <w:rPr>
          <w:rFonts w:hint="cs"/>
        </w:rPr>
      </w:pPr>
      <w:r>
        <w:rPr>
          <w:rStyle w:val="FootnoteReference"/>
        </w:rPr>
        <w:footnoteRef/>
      </w:r>
      <w:r>
        <w:rPr>
          <w:rtl/>
        </w:rPr>
        <w:t xml:space="preserve"> </w:t>
      </w:r>
      <w:r>
        <w:rPr>
          <w:rFonts w:hint="cs"/>
          <w:rtl/>
        </w:rPr>
        <w:t>קצת יש לדון מהו "לסייג ולקורות." לכאו', היה נראה לפרש הוא הסיבה העיקרית למה נטע אותו. אבל, קצת קשה, אז, איך אדם יכול לשנות את דעתו (נבאר לקמן שאדם יכול לשנות את דעתו). צריך לומר, אז, שהוא השימוש שרוצה ממנו ביותר. ותחשב.</w:t>
      </w:r>
    </w:p>
  </w:footnote>
  <w:footnote w:id="6">
    <w:p w:rsidR="00390676" w:rsidRDefault="00390676">
      <w:pPr>
        <w:pStyle w:val="FootnoteText"/>
        <w:rPr>
          <w:rFonts w:hint="cs"/>
        </w:rPr>
      </w:pPr>
      <w:r>
        <w:rPr>
          <w:rStyle w:val="FootnoteReference"/>
        </w:rPr>
        <w:footnoteRef/>
      </w:r>
      <w:r>
        <w:rPr>
          <w:rtl/>
        </w:rPr>
        <w:t xml:space="preserve"> </w:t>
      </w:r>
      <w:r>
        <w:rPr>
          <w:rFonts w:hint="cs"/>
          <w:rtl/>
        </w:rPr>
        <w:t>אפשר שראב"י חולק על זה. ועיין לקמן.</w:t>
      </w:r>
    </w:p>
  </w:footnote>
  <w:footnote w:id="7">
    <w:p w:rsidR="0089753F" w:rsidRDefault="0089753F">
      <w:pPr>
        <w:pStyle w:val="FootnoteText"/>
        <w:rPr>
          <w:rFonts w:hint="cs"/>
          <w:rtl/>
        </w:rPr>
      </w:pPr>
      <w:r>
        <w:rPr>
          <w:rStyle w:val="FootnoteReference"/>
        </w:rPr>
        <w:footnoteRef/>
      </w:r>
      <w:r>
        <w:rPr>
          <w:rtl/>
        </w:rPr>
        <w:t xml:space="preserve"> </w:t>
      </w:r>
      <w:r>
        <w:rPr>
          <w:rFonts w:hint="cs"/>
          <w:rtl/>
        </w:rPr>
        <w:t>אפשר להיות שיש עוד שיטה בזה. רבי יוסי אומר שיכול אדם לחלק אילן, לעשות חציו פטור מן הערלה, כיון שחושב עליו לסייג ולקורות, ולעשות חציו חייב. יש מפרשים שחכמים חולקים עליו. אם חולקים, יש לדון אם מחייבים כולו או פוטרים כולו.</w:t>
      </w:r>
      <w:r w:rsidR="00525A39">
        <w:rPr>
          <w:rFonts w:hint="cs"/>
          <w:rtl/>
        </w:rPr>
        <w:t xml:space="preserve"> (ע' בלשון המשנה, שנראה מלשון רבי יוסי שמחייבים.)</w:t>
      </w:r>
    </w:p>
    <w:p w:rsidR="00525A39" w:rsidRDefault="00525A39">
      <w:pPr>
        <w:pStyle w:val="FootnoteText"/>
        <w:rPr>
          <w:rFonts w:hint="cs"/>
          <w:rtl/>
        </w:rPr>
      </w:pPr>
      <w:r>
        <w:rPr>
          <w:rFonts w:hint="cs"/>
          <w:rtl/>
        </w:rPr>
        <w:t>גם צריך לדון למה לא פטור ייחור שנרכב לתוך אילן שנטע לסייג ולקורות, אם הו א מפני שאין לאילן דין די לבטל אחר לתוך אותו דין או אם הוא מפני שנמצא שחשב על חצי האילן. לצד שני, כמובן, משנה שלנו הוא כדברי רבי יוסי. אז, אפשר שאף אילן שלסייג חייב לפי רבנן.</w:t>
      </w:r>
    </w:p>
    <w:p w:rsidR="00525A39" w:rsidRDefault="00525A39">
      <w:pPr>
        <w:pStyle w:val="FootnoteText"/>
        <w:rPr>
          <w:rFonts w:hint="cs"/>
        </w:rPr>
      </w:pPr>
      <w:r>
        <w:rPr>
          <w:rFonts w:hint="cs"/>
          <w:rtl/>
        </w:rPr>
        <w:t>גם אפשר, אז, שרבנן חולקים על שיטה זו, ואומרים שדין הייחור שווה לדין האילן.</w:t>
      </w:r>
      <w:r w:rsidR="006C27FE">
        <w:rPr>
          <w:rFonts w:hint="cs"/>
          <w:rtl/>
        </w:rPr>
        <w:t xml:space="preserve"> יש להעיר שאפשר שראב"י, אז, רק סובר כרבנן אלו. </w:t>
      </w:r>
    </w:p>
  </w:footnote>
  <w:footnote w:id="8">
    <w:p w:rsidR="00471B1F" w:rsidRDefault="00471B1F">
      <w:pPr>
        <w:pStyle w:val="FootnoteText"/>
        <w:rPr>
          <w:rFonts w:hint="cs"/>
        </w:rPr>
      </w:pPr>
      <w:r>
        <w:rPr>
          <w:rStyle w:val="FootnoteReference"/>
        </w:rPr>
        <w:footnoteRef/>
      </w:r>
      <w:r>
        <w:rPr>
          <w:rtl/>
        </w:rPr>
        <w:t xml:space="preserve"> </w:t>
      </w:r>
      <w:r>
        <w:rPr>
          <w:rFonts w:hint="cs"/>
          <w:rtl/>
        </w:rPr>
        <w:t xml:space="preserve">יש לדון, באמת, באיזה נקודה חולק ראב"י. אפשר שסובר שבטל לאילן שנטע לסייג ולקורות, ואין לו דין ערלה. גם אפשר שסובר שאי אפשר לחייב אילן שנטע לסייג ולקורות. (אולי סובר שמחשבה רק חשוב בשעת נטיעה או שרק מחשבה של למה נוטע חשוב.) גם אפשר שסובר שפטור כיון שצריך נטיעה, והרי, זה לא נטוע כלל, אלא הוברך. </w:t>
      </w:r>
      <w:r w:rsidR="00325BB6">
        <w:rPr>
          <w:rFonts w:hint="cs"/>
          <w:rtl/>
        </w:rPr>
        <w:t>עיין לקמן, בע"ה.</w:t>
      </w:r>
    </w:p>
  </w:footnote>
  <w:footnote w:id="9">
    <w:p w:rsidR="00AE308A" w:rsidRDefault="00AE308A">
      <w:pPr>
        <w:pStyle w:val="FootnoteText"/>
        <w:rPr>
          <w:rFonts w:hint="cs"/>
        </w:rPr>
      </w:pPr>
      <w:r>
        <w:rPr>
          <w:rStyle w:val="FootnoteReference"/>
        </w:rPr>
        <w:footnoteRef/>
      </w:r>
      <w:r>
        <w:rPr>
          <w:rtl/>
        </w:rPr>
        <w:t xml:space="preserve"> </w:t>
      </w:r>
      <w:r>
        <w:rPr>
          <w:rFonts w:hint="cs"/>
          <w:rtl/>
        </w:rPr>
        <w:t>הדין הוא שעץ של הקדש פטור מערלה. אבל, זה רק אם הוקדש קודם זריעה. רמב,ן מחדש שהוא רק אם הקדיש קודם נטיעה, ולא רק קודם השרשה. (היה נראה לומר שצריך להיות לפני "חלות חיוב ערלה." החלות חל כשנוטע, אבל צריך השרשה לעשות פירות, שעליהם יהיה דין זה. אז, מונים משעת השרשה. ותחשב.</w:t>
      </w:r>
      <w:bookmarkStart w:id="0" w:name="_GoBack"/>
      <w:bookmarkEnd w:id="0"/>
    </w:p>
  </w:footnote>
  <w:footnote w:id="10">
    <w:p w:rsidR="00466227" w:rsidRDefault="00466227">
      <w:pPr>
        <w:pStyle w:val="FootnoteText"/>
        <w:rPr>
          <w:rFonts w:hint="cs"/>
        </w:rPr>
      </w:pPr>
      <w:r>
        <w:rPr>
          <w:rStyle w:val="FootnoteReference"/>
        </w:rPr>
        <w:footnoteRef/>
      </w:r>
      <w:r>
        <w:rPr>
          <w:rtl/>
        </w:rPr>
        <w:t xml:space="preserve"> </w:t>
      </w:r>
    </w:p>
  </w:footnote>
  <w:footnote w:id="11">
    <w:p w:rsidR="00D35195" w:rsidRDefault="00D35195">
      <w:pPr>
        <w:pStyle w:val="FootnoteText"/>
        <w:rPr>
          <w:rFonts w:hint="cs"/>
        </w:rPr>
      </w:pPr>
      <w:r>
        <w:rPr>
          <w:rStyle w:val="FootnoteReference"/>
        </w:rPr>
        <w:footnoteRef/>
      </w:r>
      <w:r>
        <w:rPr>
          <w:rtl/>
        </w:rPr>
        <w:t xml:space="preserve"> </w:t>
      </w:r>
    </w:p>
  </w:footnote>
  <w:footnote w:id="12">
    <w:p w:rsidR="00E429E3" w:rsidRDefault="00E429E3">
      <w:pPr>
        <w:pStyle w:val="FootnoteText"/>
        <w:rPr>
          <w:rFonts w:hint="cs"/>
        </w:rPr>
      </w:pPr>
      <w:r>
        <w:rPr>
          <w:rStyle w:val="FootnoteReference"/>
        </w:rPr>
        <w:footnoteRef/>
      </w:r>
      <w:r>
        <w:rPr>
          <w:rtl/>
        </w:rPr>
        <w:t xml:space="preserve"> </w:t>
      </w:r>
    </w:p>
  </w:footnote>
  <w:footnote w:id="13">
    <w:p w:rsidR="00E429E3" w:rsidRDefault="00E429E3">
      <w:pPr>
        <w:pStyle w:val="FootnoteText"/>
        <w:rPr>
          <w:rFonts w:hint="cs"/>
        </w:rPr>
      </w:pPr>
      <w:r>
        <w:rPr>
          <w:rStyle w:val="FootnoteReference"/>
        </w:rPr>
        <w:footnoteRef/>
      </w:r>
      <w:r>
        <w:rPr>
          <w:rtl/>
        </w:rPr>
        <w:t xml:space="preserve"> </w:t>
      </w:r>
    </w:p>
  </w:footnote>
  <w:footnote w:id="14">
    <w:p w:rsidR="00E429E3" w:rsidRDefault="00E429E3">
      <w:pPr>
        <w:pStyle w:val="FootnoteText"/>
        <w:rPr>
          <w:rFonts w:hint="cs"/>
        </w:rPr>
      </w:pPr>
      <w:r>
        <w:rPr>
          <w:rStyle w:val="FootnoteReference"/>
        </w:rPr>
        <w:footnoteRef/>
      </w:r>
      <w:r>
        <w:rPr>
          <w:rtl/>
        </w:rPr>
        <w:t xml:space="preserve"> </w:t>
      </w:r>
    </w:p>
  </w:footnote>
  <w:footnote w:id="15">
    <w:p w:rsidR="00226EC0" w:rsidRDefault="00226EC0">
      <w:pPr>
        <w:pStyle w:val="FootnoteText"/>
        <w:rPr>
          <w:rFonts w:hint="cs"/>
        </w:rPr>
      </w:pPr>
      <w:r>
        <w:rPr>
          <w:rStyle w:val="FootnoteReference"/>
        </w:rPr>
        <w:footnoteRef/>
      </w:r>
      <w:r>
        <w:rPr>
          <w:rtl/>
        </w:rPr>
        <w:t xml:space="preserve"> </w:t>
      </w:r>
    </w:p>
  </w:footnote>
  <w:footnote w:id="16">
    <w:p w:rsidR="003D4663" w:rsidRDefault="003D4663">
      <w:pPr>
        <w:pStyle w:val="FootnoteText"/>
        <w:rPr>
          <w:rFonts w:hint="cs"/>
        </w:rPr>
      </w:pPr>
      <w:r>
        <w:rPr>
          <w:rStyle w:val="FootnoteReference"/>
        </w:rPr>
        <w:footnoteRef/>
      </w:r>
      <w:r>
        <w:rPr>
          <w:rtl/>
        </w:rPr>
        <w:t xml:space="preserve"> </w:t>
      </w:r>
    </w:p>
  </w:footnote>
  <w:footnote w:id="17">
    <w:p w:rsidR="00491034" w:rsidRDefault="00491034">
      <w:pPr>
        <w:pStyle w:val="FootnoteText"/>
        <w:rPr>
          <w:rFonts w:hint="cs"/>
        </w:rPr>
      </w:pPr>
      <w:r>
        <w:rPr>
          <w:rStyle w:val="FootnoteReference"/>
        </w:rPr>
        <w:footnoteRef/>
      </w:r>
      <w:r>
        <w:rPr>
          <w:rtl/>
        </w:rPr>
        <w:t xml:space="preserve"> </w:t>
      </w:r>
    </w:p>
  </w:footnote>
  <w:footnote w:id="18">
    <w:p w:rsidR="00491034" w:rsidRDefault="00491034">
      <w:pPr>
        <w:pStyle w:val="FootnoteText"/>
        <w:rPr>
          <w:rFonts w:hint="cs"/>
        </w:rPr>
      </w:pPr>
      <w:r>
        <w:rPr>
          <w:rStyle w:val="FootnoteReference"/>
        </w:rPr>
        <w:footnoteRef/>
      </w:r>
      <w:r>
        <w:rPr>
          <w:rtl/>
        </w:rPr>
        <w:t xml:space="preserve"> </w:t>
      </w:r>
    </w:p>
  </w:footnote>
  <w:footnote w:id="19">
    <w:p w:rsidR="00491034" w:rsidRDefault="00491034">
      <w:pPr>
        <w:pStyle w:val="FootnoteText"/>
        <w:rPr>
          <w:rFonts w:hint="cs"/>
        </w:rPr>
      </w:pPr>
      <w:r>
        <w:rPr>
          <w:rStyle w:val="FootnoteReference"/>
        </w:rPr>
        <w:footnoteRef/>
      </w:r>
      <w:r>
        <w:rPr>
          <w:rtl/>
        </w:rPr>
        <w:t xml:space="preserve"> </w:t>
      </w:r>
    </w:p>
  </w:footnote>
  <w:footnote w:id="20">
    <w:p w:rsidR="00491034" w:rsidRDefault="00491034">
      <w:pPr>
        <w:pStyle w:val="FootnoteText"/>
        <w:rPr>
          <w:rFonts w:hint="cs"/>
        </w:rPr>
      </w:pPr>
      <w:r>
        <w:rPr>
          <w:rStyle w:val="FootnoteReference"/>
        </w:rPr>
        <w:footnoteRef/>
      </w:r>
      <w:r>
        <w:rPr>
          <w:rtl/>
        </w:rPr>
        <w:t xml:space="preserve"> </w:t>
      </w:r>
    </w:p>
  </w:footnote>
  <w:footnote w:id="21">
    <w:p w:rsidR="00491034" w:rsidRDefault="00491034">
      <w:pPr>
        <w:pStyle w:val="FootnoteText"/>
        <w:rPr>
          <w:rFonts w:hint="cs"/>
        </w:rPr>
      </w:pPr>
      <w:r>
        <w:rPr>
          <w:rStyle w:val="FootnoteReference"/>
        </w:rPr>
        <w:footnoteRef/>
      </w:r>
      <w:r>
        <w:rPr>
          <w:rtl/>
        </w:rPr>
        <w:t xml:space="preserve"> </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E2A2C"/>
    <w:rsid w:val="00053FFF"/>
    <w:rsid w:val="00226EC0"/>
    <w:rsid w:val="0028081E"/>
    <w:rsid w:val="002C2905"/>
    <w:rsid w:val="00325BB6"/>
    <w:rsid w:val="00390676"/>
    <w:rsid w:val="003D4663"/>
    <w:rsid w:val="00466227"/>
    <w:rsid w:val="00471B1F"/>
    <w:rsid w:val="00491034"/>
    <w:rsid w:val="00525A39"/>
    <w:rsid w:val="00642A59"/>
    <w:rsid w:val="0064404D"/>
    <w:rsid w:val="00697F73"/>
    <w:rsid w:val="006B4025"/>
    <w:rsid w:val="006C27FE"/>
    <w:rsid w:val="007009D9"/>
    <w:rsid w:val="007C48D9"/>
    <w:rsid w:val="0089753F"/>
    <w:rsid w:val="008B6283"/>
    <w:rsid w:val="009E2A2C"/>
    <w:rsid w:val="00A9062D"/>
    <w:rsid w:val="00AE308A"/>
    <w:rsid w:val="00B67CD2"/>
    <w:rsid w:val="00B8516A"/>
    <w:rsid w:val="00BA7BEC"/>
    <w:rsid w:val="00BB6594"/>
    <w:rsid w:val="00D35195"/>
    <w:rsid w:val="00DC77D7"/>
    <w:rsid w:val="00E16B96"/>
    <w:rsid w:val="00E429E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6DC097"/>
  <w15:chartTrackingRefBased/>
  <w15:docId w15:val="{78DE6EAA-8D0F-4F51-B057-01586C27E9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he-IL"/>
      </w:rPr>
    </w:rPrDefault>
    <w:pPrDefault>
      <w:pPr>
        <w:bidi/>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4404D"/>
    <w:pPr>
      <w:spacing w:before="120" w:after="120" w:line="259" w:lineRule="auto"/>
    </w:pPr>
  </w:style>
  <w:style w:type="paragraph" w:styleId="Heading1">
    <w:name w:val="heading 1"/>
    <w:basedOn w:val="Normal"/>
    <w:next w:val="Normal"/>
    <w:link w:val="Heading1Char"/>
    <w:uiPriority w:val="9"/>
    <w:qFormat/>
    <w:rsid w:val="0064404D"/>
    <w:pPr>
      <w:keepNext/>
      <w:keepLines/>
      <w:outlineLvl w:val="0"/>
    </w:pPr>
    <w:rPr>
      <w:rFonts w:asciiTheme="majorHAnsi" w:eastAsiaTheme="majorEastAsia" w:hAnsiTheme="majorHAnsi" w:cs="Shofar"/>
      <w:bCs/>
      <w:sz w:val="32"/>
    </w:rPr>
  </w:style>
  <w:style w:type="paragraph" w:styleId="Heading2">
    <w:name w:val="heading 2"/>
    <w:basedOn w:val="Normal"/>
    <w:next w:val="Normal"/>
    <w:link w:val="Heading2Char"/>
    <w:uiPriority w:val="9"/>
    <w:unhideWhenUsed/>
    <w:qFormat/>
    <w:rsid w:val="0064404D"/>
    <w:pPr>
      <w:keepNext/>
      <w:keepLines/>
      <w:ind w:left="288"/>
      <w:outlineLvl w:val="1"/>
    </w:pPr>
    <w:rPr>
      <w:rFonts w:asciiTheme="majorHAnsi" w:eastAsiaTheme="majorEastAsia" w:hAnsiTheme="majorHAnsi" w:cs="Shofar"/>
      <w:bCs/>
      <w:sz w:val="26"/>
    </w:rPr>
  </w:style>
  <w:style w:type="paragraph" w:styleId="Heading3">
    <w:name w:val="heading 3"/>
    <w:basedOn w:val="Normal"/>
    <w:next w:val="Normal"/>
    <w:link w:val="Heading3Char"/>
    <w:uiPriority w:val="9"/>
    <w:unhideWhenUsed/>
    <w:qFormat/>
    <w:rsid w:val="0064404D"/>
    <w:pPr>
      <w:keepNext/>
      <w:keepLines/>
      <w:ind w:left="720"/>
      <w:outlineLvl w:val="2"/>
    </w:pPr>
    <w:rPr>
      <w:rFonts w:asciiTheme="majorHAnsi" w:eastAsiaTheme="majorEastAsia" w:hAnsiTheme="majorHAnsi" w:cs="Shofar"/>
      <w:bCs/>
      <w:sz w:val="24"/>
    </w:rPr>
  </w:style>
  <w:style w:type="paragraph" w:styleId="Heading4">
    <w:name w:val="heading 4"/>
    <w:basedOn w:val="Normal"/>
    <w:next w:val="Normal"/>
    <w:link w:val="Heading4Char"/>
    <w:uiPriority w:val="9"/>
    <w:unhideWhenUsed/>
    <w:qFormat/>
    <w:rsid w:val="0064404D"/>
    <w:pPr>
      <w:keepNext/>
      <w:keepLines/>
      <w:ind w:left="864"/>
      <w:outlineLvl w:val="3"/>
    </w:pPr>
    <w:rPr>
      <w:rFonts w:asciiTheme="majorHAnsi" w:eastAsiaTheme="majorEastAsia" w:hAnsiTheme="majorHAnsi" w:cs="Shofar"/>
      <w:bCs/>
      <w:i/>
    </w:rPr>
  </w:style>
  <w:style w:type="paragraph" w:styleId="Heading5">
    <w:name w:val="heading 5"/>
    <w:basedOn w:val="Normal"/>
    <w:next w:val="Normal"/>
    <w:link w:val="Heading5Char"/>
    <w:uiPriority w:val="9"/>
    <w:unhideWhenUsed/>
    <w:qFormat/>
    <w:rsid w:val="0064404D"/>
    <w:pPr>
      <w:keepNext/>
      <w:keepLines/>
      <w:ind w:left="1008"/>
      <w:outlineLvl w:val="4"/>
    </w:pPr>
    <w:rPr>
      <w:rFonts w:asciiTheme="majorHAnsi" w:eastAsiaTheme="majorEastAsia" w:hAnsiTheme="majorHAnsi" w:cs="Shofar"/>
      <w:bCs/>
    </w:rPr>
  </w:style>
  <w:style w:type="paragraph" w:styleId="Heading9">
    <w:name w:val="heading 9"/>
    <w:basedOn w:val="Normal"/>
    <w:next w:val="Normal"/>
    <w:link w:val="Heading9Char"/>
    <w:uiPriority w:val="9"/>
    <w:unhideWhenUsed/>
    <w:qFormat/>
    <w:rsid w:val="0064404D"/>
    <w:pPr>
      <w:keepNext/>
      <w:keepLines/>
      <w:ind w:left="864"/>
      <w:outlineLvl w:val="8"/>
    </w:pPr>
    <w:rPr>
      <w:rFonts w:asciiTheme="majorHAnsi" w:eastAsiaTheme="majorEastAsia" w:hAnsiTheme="majorHAnsi" w:cs="Noto Rashi Hebrew Light"/>
      <w:bCs/>
      <w:i/>
      <w:sz w:val="21"/>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
    <w:name w:val="אגב"/>
    <w:basedOn w:val="Normal"/>
    <w:link w:val="Char"/>
    <w:qFormat/>
    <w:rsid w:val="0064404D"/>
    <w:rPr>
      <w:rFonts w:asciiTheme="minorBidi" w:hAnsiTheme="minorBidi" w:cs="Noto Rashi Hebrew Light"/>
      <w:szCs w:val="20"/>
    </w:rPr>
  </w:style>
  <w:style w:type="character" w:customStyle="1" w:styleId="Char">
    <w:name w:val="אגב Char"/>
    <w:basedOn w:val="DefaultParagraphFont"/>
    <w:link w:val="a"/>
    <w:rsid w:val="0064404D"/>
    <w:rPr>
      <w:rFonts w:asciiTheme="minorBidi" w:hAnsiTheme="minorBidi" w:cs="Noto Rashi Hebrew Light"/>
      <w:szCs w:val="20"/>
    </w:rPr>
  </w:style>
  <w:style w:type="character" w:customStyle="1" w:styleId="Heading1Char">
    <w:name w:val="Heading 1 Char"/>
    <w:basedOn w:val="DefaultParagraphFont"/>
    <w:link w:val="Heading1"/>
    <w:uiPriority w:val="9"/>
    <w:rsid w:val="0064404D"/>
    <w:rPr>
      <w:rFonts w:asciiTheme="majorHAnsi" w:eastAsiaTheme="majorEastAsia" w:hAnsiTheme="majorHAnsi" w:cs="Shofar"/>
      <w:bCs/>
      <w:sz w:val="32"/>
    </w:rPr>
  </w:style>
  <w:style w:type="character" w:customStyle="1" w:styleId="Heading2Char">
    <w:name w:val="Heading 2 Char"/>
    <w:basedOn w:val="DefaultParagraphFont"/>
    <w:link w:val="Heading2"/>
    <w:uiPriority w:val="9"/>
    <w:rsid w:val="0064404D"/>
    <w:rPr>
      <w:rFonts w:asciiTheme="majorHAnsi" w:eastAsiaTheme="majorEastAsia" w:hAnsiTheme="majorHAnsi" w:cs="Shofar"/>
      <w:bCs/>
      <w:sz w:val="26"/>
    </w:rPr>
  </w:style>
  <w:style w:type="character" w:customStyle="1" w:styleId="Heading3Char">
    <w:name w:val="Heading 3 Char"/>
    <w:basedOn w:val="DefaultParagraphFont"/>
    <w:link w:val="Heading3"/>
    <w:uiPriority w:val="9"/>
    <w:rsid w:val="0064404D"/>
    <w:rPr>
      <w:rFonts w:asciiTheme="majorHAnsi" w:eastAsiaTheme="majorEastAsia" w:hAnsiTheme="majorHAnsi" w:cs="Shofar"/>
      <w:bCs/>
      <w:sz w:val="24"/>
    </w:rPr>
  </w:style>
  <w:style w:type="character" w:customStyle="1" w:styleId="Heading4Char">
    <w:name w:val="Heading 4 Char"/>
    <w:basedOn w:val="DefaultParagraphFont"/>
    <w:link w:val="Heading4"/>
    <w:uiPriority w:val="9"/>
    <w:rsid w:val="0064404D"/>
    <w:rPr>
      <w:rFonts w:asciiTheme="majorHAnsi" w:eastAsiaTheme="majorEastAsia" w:hAnsiTheme="majorHAnsi" w:cs="Shofar"/>
      <w:bCs/>
      <w:i/>
    </w:rPr>
  </w:style>
  <w:style w:type="character" w:customStyle="1" w:styleId="Heading5Char">
    <w:name w:val="Heading 5 Char"/>
    <w:basedOn w:val="DefaultParagraphFont"/>
    <w:link w:val="Heading5"/>
    <w:uiPriority w:val="9"/>
    <w:rsid w:val="0064404D"/>
    <w:rPr>
      <w:rFonts w:asciiTheme="majorHAnsi" w:eastAsiaTheme="majorEastAsia" w:hAnsiTheme="majorHAnsi" w:cs="Shofar"/>
      <w:bCs/>
    </w:rPr>
  </w:style>
  <w:style w:type="character" w:customStyle="1" w:styleId="Heading9Char">
    <w:name w:val="Heading 9 Char"/>
    <w:basedOn w:val="DefaultParagraphFont"/>
    <w:link w:val="Heading9"/>
    <w:uiPriority w:val="9"/>
    <w:rsid w:val="0064404D"/>
    <w:rPr>
      <w:rFonts w:asciiTheme="majorHAnsi" w:eastAsiaTheme="majorEastAsia" w:hAnsiTheme="majorHAnsi" w:cs="Noto Rashi Hebrew Light"/>
      <w:bCs/>
      <w:i/>
      <w:sz w:val="21"/>
      <w:szCs w:val="20"/>
    </w:rPr>
  </w:style>
  <w:style w:type="paragraph" w:styleId="FootnoteText">
    <w:name w:val="footnote text"/>
    <w:basedOn w:val="Normal"/>
    <w:link w:val="FootnoteTextChar"/>
    <w:uiPriority w:val="99"/>
    <w:semiHidden/>
    <w:unhideWhenUsed/>
    <w:rsid w:val="009E2A2C"/>
    <w:pPr>
      <w:spacing w:before="0" w:after="0" w:line="240" w:lineRule="auto"/>
    </w:pPr>
    <w:rPr>
      <w:sz w:val="20"/>
      <w:szCs w:val="20"/>
    </w:rPr>
  </w:style>
  <w:style w:type="character" w:customStyle="1" w:styleId="FootnoteTextChar">
    <w:name w:val="Footnote Text Char"/>
    <w:basedOn w:val="DefaultParagraphFont"/>
    <w:link w:val="FootnoteText"/>
    <w:uiPriority w:val="99"/>
    <w:semiHidden/>
    <w:rsid w:val="009E2A2C"/>
    <w:rPr>
      <w:sz w:val="20"/>
      <w:szCs w:val="20"/>
    </w:rPr>
  </w:style>
  <w:style w:type="character" w:styleId="FootnoteReference">
    <w:name w:val="footnote reference"/>
    <w:basedOn w:val="DefaultParagraphFont"/>
    <w:uiPriority w:val="99"/>
    <w:semiHidden/>
    <w:unhideWhenUsed/>
    <w:rsid w:val="009E2A2C"/>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86</TotalTime>
  <Pages>3</Pages>
  <Words>489</Words>
  <Characters>2791</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שי הכהן</dc:creator>
  <cp:keywords/>
  <dc:description/>
  <cp:lastModifiedBy>שי הכהן</cp:lastModifiedBy>
  <cp:revision>15</cp:revision>
  <dcterms:created xsi:type="dcterms:W3CDTF">2023-12-30T16:30:00Z</dcterms:created>
  <dcterms:modified xsi:type="dcterms:W3CDTF">2023-12-30T17:56:00Z</dcterms:modified>
</cp:coreProperties>
</file>