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77D7" w:rsidRDefault="00AB017F" w:rsidP="00AB017F">
      <w:pPr>
        <w:pStyle w:val="Heading1"/>
        <w:rPr>
          <w:rtl/>
        </w:rPr>
      </w:pPr>
      <w:r>
        <w:rPr>
          <w:rFonts w:hint="cs"/>
          <w:rtl/>
        </w:rPr>
        <w:t>שנה ראשונה:</w:t>
      </w:r>
    </w:p>
    <w:p w:rsidR="00AB017F" w:rsidRDefault="00AB017F" w:rsidP="00AB017F">
      <w:pPr>
        <w:pStyle w:val="Heading2"/>
        <w:rPr>
          <w:rtl/>
        </w:rPr>
      </w:pPr>
      <w:r>
        <w:rPr>
          <w:rFonts w:hint="cs"/>
          <w:rtl/>
        </w:rPr>
        <w:t>מתי מתחיל:</w:t>
      </w:r>
    </w:p>
    <w:p w:rsidR="00B114F3" w:rsidRDefault="00B114F3" w:rsidP="00B114F3">
      <w:pPr>
        <w:rPr>
          <w:rtl/>
        </w:rPr>
      </w:pPr>
      <w:r>
        <w:rPr>
          <w:rFonts w:hint="cs"/>
          <w:rtl/>
        </w:rPr>
        <w:t>מתחיל אחר שעת השרשת האילן. חולקים תנאים מהו שעת השרשה:</w:t>
      </w:r>
    </w:p>
    <w:p w:rsidR="00B114F3" w:rsidRDefault="00B114F3" w:rsidP="00B114F3">
      <w:pPr>
        <w:pStyle w:val="ListParagraph"/>
        <w:numPr>
          <w:ilvl w:val="0"/>
          <w:numId w:val="1"/>
        </w:numPr>
        <w:rPr>
          <w:rFonts w:hint="cs"/>
        </w:rPr>
      </w:pPr>
      <w:r>
        <w:rPr>
          <w:rFonts w:hint="cs"/>
          <w:rtl/>
        </w:rPr>
        <w:t>רבי יהודה- שלשה ימים אחר נטיעה.</w:t>
      </w:r>
    </w:p>
    <w:p w:rsidR="00B114F3" w:rsidRDefault="00B114F3" w:rsidP="00B114F3">
      <w:pPr>
        <w:pStyle w:val="ListParagraph"/>
        <w:numPr>
          <w:ilvl w:val="0"/>
          <w:numId w:val="1"/>
        </w:numPr>
      </w:pPr>
      <w:r>
        <w:rPr>
          <w:rFonts w:hint="cs"/>
          <w:rtl/>
        </w:rPr>
        <w:t>רבי יוסי ורבי שמעון- שני שבועות אחר נטיעה. כן ההלכה.</w:t>
      </w:r>
    </w:p>
    <w:p w:rsidR="00B114F3" w:rsidRDefault="00B114F3" w:rsidP="00B114F3">
      <w:pPr>
        <w:pStyle w:val="ListParagraph"/>
        <w:numPr>
          <w:ilvl w:val="0"/>
          <w:numId w:val="1"/>
        </w:numPr>
      </w:pPr>
      <w:r>
        <w:rPr>
          <w:rFonts w:hint="cs"/>
          <w:rtl/>
        </w:rPr>
        <w:t>רבי מאיר- שלשים יום אחר נטיעה.</w:t>
      </w:r>
    </w:p>
    <w:p w:rsidR="00B114F3" w:rsidRDefault="00B114F3" w:rsidP="00B114F3">
      <w:pPr>
        <w:rPr>
          <w:rFonts w:hint="cs"/>
          <w:rtl/>
        </w:rPr>
      </w:pPr>
      <w:r>
        <w:rPr>
          <w:rFonts w:hint="cs"/>
          <w:rtl/>
        </w:rPr>
        <w:t>ימים אלו אינם ימים מעת לעת, אלא ימות בראשית. רמב"ם ורע"ב כ' שצריכים להיות ימים שלימים. רא"ש כ' שלא צ"ל ימים שלימים</w:t>
      </w:r>
      <w:r>
        <w:rPr>
          <w:rStyle w:val="FootnoteReference"/>
          <w:rtl/>
        </w:rPr>
        <w:footnoteReference w:id="1"/>
      </w:r>
      <w:r>
        <w:rPr>
          <w:rFonts w:hint="cs"/>
          <w:rtl/>
        </w:rPr>
        <w:t>.</w:t>
      </w:r>
    </w:p>
    <w:p w:rsidR="00B114F3" w:rsidRDefault="00B114F3" w:rsidP="00D07155">
      <w:pPr>
        <w:rPr>
          <w:rtl/>
        </w:rPr>
      </w:pPr>
      <w:r>
        <w:rPr>
          <w:rFonts w:hint="cs"/>
          <w:rtl/>
        </w:rPr>
        <w:t>חזון איש מכריע כרא"ש, וכ' שאף רמב"ם ורע"ב מודים, וט"ס הוא ברמב"ם ורע"ב</w:t>
      </w:r>
      <w:r>
        <w:rPr>
          <w:rStyle w:val="FootnoteReference"/>
          <w:rtl/>
        </w:rPr>
        <w:footnoteReference w:id="2"/>
      </w:r>
      <w:r>
        <w:rPr>
          <w:rFonts w:hint="cs"/>
          <w:rtl/>
        </w:rPr>
        <w:t>.</w:t>
      </w:r>
      <w:r>
        <w:rPr>
          <w:rStyle w:val="FootnoteReference"/>
          <w:rtl/>
        </w:rPr>
        <w:footnoteReference w:id="3"/>
      </w:r>
    </w:p>
    <w:p w:rsidR="00D07155" w:rsidRPr="00B114F3" w:rsidRDefault="00D07155" w:rsidP="00D07155">
      <w:pPr>
        <w:rPr>
          <w:rtl/>
        </w:rPr>
      </w:pPr>
      <w:r>
        <w:rPr>
          <w:rFonts w:hint="cs"/>
          <w:rtl/>
        </w:rPr>
        <w:t>לרמב"ם, יש יכולת (אם מונים שלש שנים מעת לעת, כמו שנבאר לקמן) להתחיל משעת נטיעה. ע' לקמן.</w:t>
      </w:r>
      <w:r w:rsidR="00D451FA">
        <w:rPr>
          <w:rStyle w:val="FootnoteReference"/>
          <w:rtl/>
        </w:rPr>
        <w:footnoteReference w:id="4"/>
      </w:r>
    </w:p>
    <w:p w:rsidR="00AB017F" w:rsidRDefault="00AB017F" w:rsidP="00AB017F">
      <w:pPr>
        <w:pStyle w:val="Heading2"/>
        <w:rPr>
          <w:rtl/>
        </w:rPr>
      </w:pPr>
      <w:r>
        <w:rPr>
          <w:rFonts w:hint="cs"/>
          <w:rtl/>
        </w:rPr>
        <w:t>מתי נגמר:</w:t>
      </w:r>
    </w:p>
    <w:p w:rsidR="00D07155" w:rsidRDefault="00D07155" w:rsidP="00D07155">
      <w:pPr>
        <w:pStyle w:val="Heading3"/>
        <w:rPr>
          <w:rtl/>
        </w:rPr>
      </w:pPr>
      <w:r>
        <w:rPr>
          <w:rFonts w:hint="cs"/>
          <w:rtl/>
        </w:rPr>
        <w:t>אם השרשת האילן הוא שלשים יום שלמים</w:t>
      </w:r>
      <w:r>
        <w:rPr>
          <w:rStyle w:val="FootnoteReference"/>
          <w:rtl/>
        </w:rPr>
        <w:footnoteReference w:id="5"/>
      </w:r>
      <w:r>
        <w:rPr>
          <w:rFonts w:hint="cs"/>
          <w:rtl/>
        </w:rPr>
        <w:t xml:space="preserve"> (או יותר) לפני א' תשרי:</w:t>
      </w:r>
    </w:p>
    <w:p w:rsidR="00D07155" w:rsidRDefault="00D07155" w:rsidP="00D07155">
      <w:pPr>
        <w:rPr>
          <w:rFonts w:hint="cs"/>
          <w:rtl/>
        </w:rPr>
      </w:pPr>
      <w:r>
        <w:rPr>
          <w:rFonts w:hint="cs"/>
          <w:rtl/>
        </w:rPr>
        <w:t>נגמר בא' תשרי שלאחר ההשרשה.</w:t>
      </w:r>
      <w:r w:rsidR="005C12E1">
        <w:rPr>
          <w:rFonts w:hint="cs"/>
          <w:rtl/>
        </w:rPr>
        <w:t xml:space="preserve"> נמצא ש"שלשים יום בשנה חשוב שנה."</w:t>
      </w:r>
    </w:p>
    <w:p w:rsidR="00F013C8" w:rsidRPr="00D07155" w:rsidRDefault="00F013C8" w:rsidP="00D07155">
      <w:pPr>
        <w:rPr>
          <w:rtl/>
        </w:rPr>
      </w:pPr>
      <w:r>
        <w:rPr>
          <w:rFonts w:hint="cs"/>
          <w:rtl/>
        </w:rPr>
        <w:t>גם יש יכולת אחר, לפי הרמב"ם, והוא שנגמר השנה מעת לעת של נטיעתו. עיין לקמן, למה זה יהיה נוגע.</w:t>
      </w:r>
    </w:p>
    <w:p w:rsidR="00D07155" w:rsidRDefault="00D07155" w:rsidP="00D07155">
      <w:pPr>
        <w:pStyle w:val="Heading3"/>
        <w:rPr>
          <w:rtl/>
        </w:rPr>
      </w:pPr>
      <w:r>
        <w:rPr>
          <w:rFonts w:hint="cs"/>
          <w:rtl/>
        </w:rPr>
        <w:t>אם השרשת האילן הוא יום אחד (קטוע</w:t>
      </w:r>
      <w:r>
        <w:rPr>
          <w:rStyle w:val="FootnoteReference"/>
          <w:rtl/>
        </w:rPr>
        <w:footnoteReference w:id="6"/>
      </w:r>
      <w:r>
        <w:rPr>
          <w:rFonts w:hint="cs"/>
          <w:rtl/>
        </w:rPr>
        <w:t>) לפני א' תשרי:</w:t>
      </w:r>
    </w:p>
    <w:p w:rsidR="00D07155" w:rsidRDefault="00D07155" w:rsidP="00D07155">
      <w:pPr>
        <w:rPr>
          <w:rtl/>
        </w:rPr>
      </w:pPr>
      <w:r>
        <w:rPr>
          <w:rFonts w:hint="cs"/>
          <w:rtl/>
        </w:rPr>
        <w:t>רבי מאיר:</w:t>
      </w:r>
    </w:p>
    <w:p w:rsidR="00D07155" w:rsidRDefault="00D07155" w:rsidP="00D07155">
      <w:pPr>
        <w:rPr>
          <w:rFonts w:hint="cs"/>
          <w:rtl/>
        </w:rPr>
      </w:pPr>
      <w:r>
        <w:rPr>
          <w:rFonts w:hint="cs"/>
          <w:rtl/>
        </w:rPr>
        <w:t>נגמר בא' תשרי שלאחר השרשה.</w:t>
      </w:r>
      <w:r w:rsidR="005C12E1">
        <w:rPr>
          <w:rFonts w:hint="cs"/>
          <w:rtl/>
        </w:rPr>
        <w:t xml:space="preserve"> נמצא ש"יום אחד בשנה חשוב שנה."</w:t>
      </w:r>
    </w:p>
    <w:p w:rsidR="00D07155" w:rsidRDefault="00D07155" w:rsidP="00D07155">
      <w:pPr>
        <w:rPr>
          <w:rtl/>
        </w:rPr>
      </w:pPr>
      <w:r>
        <w:rPr>
          <w:rFonts w:hint="cs"/>
          <w:rtl/>
        </w:rPr>
        <w:t>רבנן:</w:t>
      </w:r>
    </w:p>
    <w:p w:rsidR="00D07155" w:rsidRDefault="00D07155" w:rsidP="00D07155">
      <w:pPr>
        <w:rPr>
          <w:rtl/>
        </w:rPr>
      </w:pPr>
      <w:r>
        <w:rPr>
          <w:rFonts w:hint="cs"/>
          <w:rtl/>
        </w:rPr>
        <w:t>נגמר בא' תשרי שהוא יותר משנה שלימה אחר ההשרשה.</w:t>
      </w:r>
    </w:p>
    <w:p w:rsidR="00F013C8" w:rsidRPr="00D07155" w:rsidRDefault="00F013C8" w:rsidP="00F013C8">
      <w:pPr>
        <w:rPr>
          <w:rtl/>
        </w:rPr>
      </w:pPr>
      <w:r>
        <w:rPr>
          <w:rFonts w:hint="cs"/>
          <w:rtl/>
        </w:rPr>
        <w:t>גם יש יכולת אחר, לפי הרמב"ם, והוא שנגמר השנה מעת לעת של נטיעתו. עיין לקמן, למה זה יהיה נוגע.</w:t>
      </w:r>
    </w:p>
    <w:p w:rsidR="00AB017F" w:rsidRDefault="00AB017F" w:rsidP="00AB017F">
      <w:pPr>
        <w:pStyle w:val="Heading2"/>
        <w:rPr>
          <w:rtl/>
        </w:rPr>
      </w:pPr>
      <w:r>
        <w:rPr>
          <w:rFonts w:hint="cs"/>
          <w:rtl/>
        </w:rPr>
        <w:t>מה הדין שלו:</w:t>
      </w:r>
    </w:p>
    <w:p w:rsidR="0045723C" w:rsidRPr="0045723C" w:rsidRDefault="0045723C" w:rsidP="0045723C">
      <w:pPr>
        <w:rPr>
          <w:rtl/>
        </w:rPr>
      </w:pPr>
      <w:r>
        <w:rPr>
          <w:rFonts w:hint="cs"/>
          <w:rtl/>
        </w:rPr>
        <w:t>כל פרי שיוצא ממנו הוא ערלה (באילנות החייבים בערלה, שהוא כל אילן שעושה פרי חשוב שמחשיב). לעולם נשאר אותו פרי באיסור שלו (שכ', "יהיה ").</w:t>
      </w:r>
    </w:p>
    <w:p w:rsidR="00AB017F" w:rsidRDefault="00AB017F" w:rsidP="00AB017F">
      <w:pPr>
        <w:pStyle w:val="Heading1"/>
        <w:rPr>
          <w:rtl/>
        </w:rPr>
      </w:pPr>
      <w:r>
        <w:rPr>
          <w:rFonts w:hint="cs"/>
          <w:rtl/>
        </w:rPr>
        <w:lastRenderedPageBreak/>
        <w:t>שנה שניה:</w:t>
      </w:r>
    </w:p>
    <w:p w:rsidR="00AB017F" w:rsidRDefault="00AB017F" w:rsidP="00AB017F">
      <w:pPr>
        <w:pStyle w:val="Heading2"/>
        <w:rPr>
          <w:rtl/>
        </w:rPr>
      </w:pPr>
      <w:r>
        <w:rPr>
          <w:rFonts w:hint="cs"/>
          <w:rtl/>
        </w:rPr>
        <w:t>מתי מתחיל:</w:t>
      </w:r>
    </w:p>
    <w:p w:rsidR="00C91471" w:rsidRPr="00C91471" w:rsidRDefault="00C91471" w:rsidP="001C3598">
      <w:pPr>
        <w:rPr>
          <w:rtl/>
        </w:rPr>
      </w:pPr>
      <w:r>
        <w:rPr>
          <w:rFonts w:hint="cs"/>
          <w:rtl/>
        </w:rPr>
        <w:t xml:space="preserve">מתחיל </w:t>
      </w:r>
      <w:r w:rsidR="001C3598">
        <w:rPr>
          <w:rFonts w:hint="cs"/>
          <w:rtl/>
        </w:rPr>
        <w:t>מיד כ</w:t>
      </w:r>
      <w:r>
        <w:rPr>
          <w:rFonts w:hint="cs"/>
          <w:rtl/>
        </w:rPr>
        <w:t>שנגמר שנה רשאונה.</w:t>
      </w:r>
    </w:p>
    <w:p w:rsidR="00AB017F" w:rsidRDefault="00AB017F" w:rsidP="00AB017F">
      <w:pPr>
        <w:pStyle w:val="Heading2"/>
        <w:rPr>
          <w:rtl/>
        </w:rPr>
      </w:pPr>
      <w:r>
        <w:rPr>
          <w:rFonts w:hint="cs"/>
          <w:rtl/>
        </w:rPr>
        <w:t>מתי נגמר:</w:t>
      </w:r>
    </w:p>
    <w:p w:rsidR="00C91471" w:rsidRDefault="00C91471" w:rsidP="00C91471">
      <w:pPr>
        <w:rPr>
          <w:rtl/>
        </w:rPr>
      </w:pPr>
      <w:r>
        <w:rPr>
          <w:rFonts w:hint="cs"/>
          <w:rtl/>
        </w:rPr>
        <w:t>נגמר שנה שלימה אחר שהתחיל. זה לא מפני שצריכים שנה שלימה, אלא מפני שנגמר בא' תשרי, והרי התחיל בא' תשרי.</w:t>
      </w:r>
    </w:p>
    <w:p w:rsidR="00C91471" w:rsidRPr="00C91471" w:rsidRDefault="00C91471" w:rsidP="00C91471">
      <w:pPr>
        <w:rPr>
          <w:rtl/>
        </w:rPr>
      </w:pPr>
      <w:r>
        <w:rPr>
          <w:rFonts w:hint="cs"/>
          <w:rtl/>
        </w:rPr>
        <w:t>(לרמב"ם, אם משתמשים בשנה מעת לעת, נגמר מעל"ע אחריו, שכל אותם שלש שנים צ"ל מעל"ע.)</w:t>
      </w:r>
    </w:p>
    <w:p w:rsidR="00AB017F" w:rsidRDefault="00AB017F" w:rsidP="00AB017F">
      <w:pPr>
        <w:pStyle w:val="Heading2"/>
        <w:rPr>
          <w:rtl/>
        </w:rPr>
      </w:pPr>
      <w:r>
        <w:rPr>
          <w:rFonts w:hint="cs"/>
          <w:rtl/>
        </w:rPr>
        <w:t>מה הדין שלו:</w:t>
      </w:r>
    </w:p>
    <w:p w:rsidR="00722E41" w:rsidRPr="0045723C" w:rsidRDefault="00722E41" w:rsidP="00722E41">
      <w:pPr>
        <w:rPr>
          <w:rtl/>
        </w:rPr>
      </w:pPr>
      <w:r>
        <w:rPr>
          <w:rFonts w:hint="cs"/>
          <w:rtl/>
        </w:rPr>
        <w:t xml:space="preserve">כל פרי שיוצא ממנו </w:t>
      </w:r>
      <w:r>
        <w:rPr>
          <w:rFonts w:hint="cs"/>
          <w:rtl/>
        </w:rPr>
        <w:t>הוא ערלה (באילנות החייבים בערלה)</w:t>
      </w:r>
      <w:r>
        <w:rPr>
          <w:rFonts w:hint="cs"/>
          <w:rtl/>
        </w:rPr>
        <w:t>. לעולם נשאר אותו פרי באיסור שלו (שכ', "יהיה ").</w:t>
      </w:r>
    </w:p>
    <w:p w:rsidR="00722E41" w:rsidRPr="00722E41" w:rsidRDefault="00722E41" w:rsidP="00722E41">
      <w:pPr>
        <w:rPr>
          <w:rtl/>
        </w:rPr>
      </w:pPr>
    </w:p>
    <w:p w:rsidR="00AB017F" w:rsidRDefault="00AB017F" w:rsidP="00AB017F">
      <w:pPr>
        <w:pStyle w:val="Heading1"/>
        <w:rPr>
          <w:rtl/>
        </w:rPr>
      </w:pPr>
      <w:r>
        <w:rPr>
          <w:rFonts w:hint="cs"/>
          <w:rtl/>
        </w:rPr>
        <w:t>שנה שלישית:</w:t>
      </w:r>
    </w:p>
    <w:p w:rsidR="00AB017F" w:rsidRDefault="00AB017F" w:rsidP="00AB017F">
      <w:pPr>
        <w:pStyle w:val="Heading2"/>
        <w:rPr>
          <w:rtl/>
        </w:rPr>
      </w:pPr>
      <w:r>
        <w:rPr>
          <w:rFonts w:hint="cs"/>
          <w:rtl/>
        </w:rPr>
        <w:t>מתי מתחיל:</w:t>
      </w:r>
    </w:p>
    <w:p w:rsidR="001C3598" w:rsidRPr="001C3598" w:rsidRDefault="001C3598" w:rsidP="001C3598">
      <w:pPr>
        <w:rPr>
          <w:rtl/>
        </w:rPr>
      </w:pPr>
      <w:r>
        <w:rPr>
          <w:rFonts w:hint="cs"/>
          <w:rtl/>
        </w:rPr>
        <w:t>מתחיל מיד כשנגמר שנה שניה.</w:t>
      </w:r>
    </w:p>
    <w:p w:rsidR="00AB017F" w:rsidRDefault="00AB017F" w:rsidP="00AB017F">
      <w:pPr>
        <w:pStyle w:val="Heading2"/>
        <w:rPr>
          <w:rtl/>
        </w:rPr>
      </w:pPr>
      <w:r>
        <w:rPr>
          <w:rFonts w:hint="cs"/>
          <w:rtl/>
        </w:rPr>
        <w:t>מתי נגמר</w:t>
      </w:r>
      <w:r w:rsidR="00EF7B0B">
        <w:rPr>
          <w:rStyle w:val="FootnoteReference"/>
          <w:rtl/>
        </w:rPr>
        <w:footnoteReference w:id="7"/>
      </w:r>
      <w:r>
        <w:rPr>
          <w:rFonts w:hint="cs"/>
          <w:rtl/>
        </w:rPr>
        <w:t>:</w:t>
      </w:r>
    </w:p>
    <w:p w:rsidR="00FD48C1" w:rsidRDefault="00FD48C1" w:rsidP="00275E65">
      <w:pPr>
        <w:pStyle w:val="Heading3"/>
        <w:rPr>
          <w:rtl/>
        </w:rPr>
      </w:pPr>
      <w:r>
        <w:rPr>
          <w:rFonts w:hint="cs"/>
          <w:rtl/>
        </w:rPr>
        <w:t>אם לא התחילה שנה ראשונה בראש השנה:</w:t>
      </w:r>
    </w:p>
    <w:p w:rsidR="00FD48C1" w:rsidRPr="00FD48C1" w:rsidRDefault="00FD48C1" w:rsidP="00FD48C1">
      <w:pPr>
        <w:rPr>
          <w:rtl/>
        </w:rPr>
      </w:pPr>
      <w:r>
        <w:rPr>
          <w:rFonts w:hint="cs"/>
          <w:rtl/>
        </w:rPr>
        <w:t>נגמר בט"ו בשבט. דורשים את זה מפסוק, וחול' בירושלמי מהו הטעם (אם הוא מפני שגדל על מי פירות של שנה שלפני כן או שרוב פירות חונטים אז, והוא גדר טוב).</w:t>
      </w:r>
    </w:p>
    <w:p w:rsidR="001C3598" w:rsidRDefault="00FD48C1" w:rsidP="00275E65">
      <w:pPr>
        <w:pStyle w:val="Heading3"/>
        <w:rPr>
          <w:rtl/>
        </w:rPr>
      </w:pPr>
      <w:r>
        <w:rPr>
          <w:rFonts w:hint="cs"/>
          <w:rtl/>
        </w:rPr>
        <w:t>אם התחילה שנה ראשונה בראש השנה:</w:t>
      </w:r>
    </w:p>
    <w:p w:rsidR="00FD48C1" w:rsidRDefault="00FD48C1" w:rsidP="001C3598">
      <w:pPr>
        <w:rPr>
          <w:rtl/>
        </w:rPr>
      </w:pPr>
      <w:r>
        <w:rPr>
          <w:rFonts w:hint="cs"/>
          <w:rtl/>
        </w:rPr>
        <w:t>רש"י ורמב"ם:</w:t>
      </w:r>
    </w:p>
    <w:p w:rsidR="00FD48C1" w:rsidRDefault="00FD48C1" w:rsidP="001C3598">
      <w:pPr>
        <w:rPr>
          <w:rFonts w:hint="cs"/>
          <w:rtl/>
        </w:rPr>
      </w:pPr>
      <w:r>
        <w:rPr>
          <w:rFonts w:hint="cs"/>
          <w:rtl/>
        </w:rPr>
        <w:t>נגמר שנה שלישית בראש השנה שלישית. נמצא שבין הכל, היו שלש שנים שלימות. כיון שלא מקילים בתחילה (לסמוך על שלשים יום בשנה חשוב שנה), יכולים להקל בסוף.</w:t>
      </w:r>
    </w:p>
    <w:p w:rsidR="00FD48C1" w:rsidRDefault="00FD48C1" w:rsidP="001C3598">
      <w:pPr>
        <w:rPr>
          <w:rtl/>
        </w:rPr>
      </w:pPr>
      <w:r>
        <w:rPr>
          <w:rFonts w:hint="cs"/>
          <w:rtl/>
        </w:rPr>
        <w:t>בעל המאור ור"ן:</w:t>
      </w:r>
    </w:p>
    <w:p w:rsidR="00FD48C1" w:rsidRDefault="00FD48C1" w:rsidP="001C3598">
      <w:pPr>
        <w:rPr>
          <w:rFonts w:hint="cs"/>
          <w:rtl/>
        </w:rPr>
      </w:pPr>
      <w:r>
        <w:rPr>
          <w:rFonts w:hint="cs"/>
          <w:rtl/>
        </w:rPr>
        <w:t>נגמר שנה שלישית בט"ו בשבט. סובר שאין לחלק בין זה לציור שלא התחילה שנה ראשונה בר"ה.</w:t>
      </w:r>
    </w:p>
    <w:p w:rsidR="00FD48C1" w:rsidRDefault="00FD48C1" w:rsidP="001C3598">
      <w:pPr>
        <w:rPr>
          <w:rtl/>
        </w:rPr>
      </w:pPr>
      <w:r>
        <w:rPr>
          <w:rFonts w:hint="cs"/>
          <w:rtl/>
        </w:rPr>
        <w:t>רמב"ם מוסיף שאם אם כבר היו שלש שנות עולם (ובזה שלישי נגמר בראש השנה), אז יכולים למנות שלש שנים מעת לעת. משעת נטיעה נמצא שמונים של"ש מעל"ע כל זמן שהתחילה שנה ראשונה שלשים יום לפני ראש השנה. יש נפקא מינא, אז, לכל מי שנוטע באופן שישרש אחר ר"ה עד נטיעה ביד' שבט.</w:t>
      </w:r>
    </w:p>
    <w:p w:rsidR="00EF7B0B" w:rsidRPr="001C3598" w:rsidRDefault="00EF7B0B" w:rsidP="001C3598">
      <w:pPr>
        <w:rPr>
          <w:rtl/>
        </w:rPr>
      </w:pPr>
      <w:r>
        <w:rPr>
          <w:rFonts w:hint="cs"/>
          <w:rtl/>
        </w:rPr>
        <w:t>להל', חזון איש כ' שבא"י, מחמירים כבעל הבאור ור"ן. בחו"ל, מקילים כרשי ורמב</w:t>
      </w:r>
      <w:r>
        <w:rPr>
          <w:rtl/>
        </w:rPr>
        <w:t>”</w:t>
      </w:r>
      <w:r>
        <w:rPr>
          <w:rFonts w:hint="cs"/>
          <w:rtl/>
        </w:rPr>
        <w:t>ם (בחי' הראשון), אבל לא כרמב</w:t>
      </w:r>
      <w:r>
        <w:rPr>
          <w:rtl/>
        </w:rPr>
        <w:t>”</w:t>
      </w:r>
      <w:r>
        <w:rPr>
          <w:rFonts w:hint="cs"/>
          <w:rtl/>
        </w:rPr>
        <w:t>ם (בחי' השני).</w:t>
      </w:r>
    </w:p>
    <w:p w:rsidR="00AB017F" w:rsidRDefault="00AB017F" w:rsidP="00AB017F">
      <w:pPr>
        <w:pStyle w:val="Heading2"/>
        <w:rPr>
          <w:rtl/>
        </w:rPr>
      </w:pPr>
      <w:r>
        <w:rPr>
          <w:rFonts w:hint="cs"/>
          <w:rtl/>
        </w:rPr>
        <w:t>מה הדין שלו:</w:t>
      </w:r>
    </w:p>
    <w:p w:rsidR="00E85D04" w:rsidRPr="0045723C" w:rsidRDefault="00E85D04" w:rsidP="00E85D04">
      <w:pPr>
        <w:rPr>
          <w:rtl/>
        </w:rPr>
      </w:pPr>
      <w:r>
        <w:rPr>
          <w:rFonts w:hint="cs"/>
          <w:rtl/>
        </w:rPr>
        <w:t>כל פרי שיוצא ממנו הוא ערלה (באילנות החייבים בערלה). לעולם נשאר אותו פרי באיסור שלו (שכ', "יהיה ").</w:t>
      </w:r>
    </w:p>
    <w:p w:rsidR="00AB017F" w:rsidRDefault="00AB017F" w:rsidP="00AB017F">
      <w:pPr>
        <w:pStyle w:val="Heading1"/>
        <w:rPr>
          <w:rtl/>
        </w:rPr>
      </w:pPr>
      <w:r>
        <w:rPr>
          <w:rFonts w:hint="cs"/>
          <w:rtl/>
        </w:rPr>
        <w:lastRenderedPageBreak/>
        <w:t>שנה רביעית:</w:t>
      </w:r>
    </w:p>
    <w:p w:rsidR="00AB017F" w:rsidRDefault="00AB017F" w:rsidP="00AB017F">
      <w:pPr>
        <w:pStyle w:val="Heading2"/>
        <w:rPr>
          <w:rtl/>
        </w:rPr>
      </w:pPr>
      <w:r>
        <w:rPr>
          <w:rFonts w:hint="cs"/>
          <w:rtl/>
        </w:rPr>
        <w:t>מתי מתחיל:</w:t>
      </w:r>
    </w:p>
    <w:p w:rsidR="00E85D04" w:rsidRPr="00E85D04" w:rsidRDefault="00E85D04" w:rsidP="00E85D04">
      <w:pPr>
        <w:rPr>
          <w:rtl/>
        </w:rPr>
      </w:pPr>
      <w:r>
        <w:rPr>
          <w:rFonts w:hint="cs"/>
          <w:rtl/>
        </w:rPr>
        <w:t>מתחיל מיד אחר שנגמר שנה שלישית.</w:t>
      </w:r>
    </w:p>
    <w:p w:rsidR="00AB017F" w:rsidRDefault="00AB017F" w:rsidP="00AB017F">
      <w:pPr>
        <w:pStyle w:val="Heading2"/>
        <w:rPr>
          <w:rtl/>
        </w:rPr>
      </w:pPr>
      <w:r>
        <w:rPr>
          <w:rFonts w:hint="cs"/>
          <w:rtl/>
        </w:rPr>
        <w:t>מתי נגמר:</w:t>
      </w:r>
    </w:p>
    <w:p w:rsidR="00E85D04" w:rsidRDefault="00E85D04" w:rsidP="00E85D04">
      <w:pPr>
        <w:rPr>
          <w:rtl/>
        </w:rPr>
      </w:pPr>
      <w:r>
        <w:rPr>
          <w:rFonts w:hint="cs"/>
          <w:rtl/>
        </w:rPr>
        <w:t>נגמר שנה שלימה אחר שהתחילה. (זה לא מפני שצריכים שנה מעל"ע, אלא מפני שר"ה שלה הוא אותו יום שבו התחילה.)</w:t>
      </w:r>
    </w:p>
    <w:p w:rsidR="00E85D04" w:rsidRPr="00E85D04" w:rsidRDefault="00E85D04" w:rsidP="00E85D04">
      <w:pPr>
        <w:rPr>
          <w:rtl/>
        </w:rPr>
      </w:pPr>
      <w:r>
        <w:rPr>
          <w:rFonts w:hint="cs"/>
          <w:rtl/>
        </w:rPr>
        <w:t>לרמבם, לפעמים נגמר מעל"ע מתחילתה כיון שצריכים שנה מעל"ע.</w:t>
      </w:r>
    </w:p>
    <w:p w:rsidR="00AB017F" w:rsidRDefault="00AB017F" w:rsidP="00AB017F">
      <w:pPr>
        <w:pStyle w:val="Heading2"/>
        <w:rPr>
          <w:rtl/>
        </w:rPr>
      </w:pPr>
      <w:r>
        <w:rPr>
          <w:rFonts w:hint="cs"/>
          <w:rtl/>
        </w:rPr>
        <w:t>מה הדין שלו:</w:t>
      </w:r>
    </w:p>
    <w:p w:rsidR="00E85D04" w:rsidRPr="00E85D04" w:rsidRDefault="00E85D04" w:rsidP="00E85D04">
      <w:pPr>
        <w:rPr>
          <w:rtl/>
        </w:rPr>
      </w:pPr>
      <w:r>
        <w:rPr>
          <w:rFonts w:hint="cs"/>
          <w:rtl/>
        </w:rPr>
        <w:t>יש לפירות האילן דין נטע רבעי. דין נטע רבעי הוא כדין מעשר שני, שאסור לאכול חוץ מירושלים בלי פדיון. חולקים אם דין זה נובג רק בענבים או בכל פירות.</w:t>
      </w:r>
    </w:p>
    <w:p w:rsidR="00AB017F" w:rsidRDefault="00AB017F" w:rsidP="00AB017F">
      <w:pPr>
        <w:pStyle w:val="Heading1"/>
        <w:rPr>
          <w:rtl/>
        </w:rPr>
      </w:pPr>
      <w:r>
        <w:rPr>
          <w:rFonts w:hint="cs"/>
          <w:rtl/>
        </w:rPr>
        <w:t>שנה חמישית:</w:t>
      </w:r>
    </w:p>
    <w:p w:rsidR="00AB017F" w:rsidRDefault="00AB017F" w:rsidP="00AB017F">
      <w:pPr>
        <w:pStyle w:val="Heading2"/>
        <w:rPr>
          <w:rtl/>
        </w:rPr>
      </w:pPr>
      <w:r>
        <w:rPr>
          <w:rFonts w:hint="cs"/>
          <w:rtl/>
        </w:rPr>
        <w:t>מתי מתחיל:</w:t>
      </w:r>
    </w:p>
    <w:p w:rsidR="00E85D04" w:rsidRPr="00E85D04" w:rsidRDefault="00E85D04" w:rsidP="00E85D04">
      <w:pPr>
        <w:rPr>
          <w:rtl/>
        </w:rPr>
      </w:pPr>
      <w:r>
        <w:rPr>
          <w:rFonts w:hint="cs"/>
          <w:rtl/>
        </w:rPr>
        <w:t>מתחיל מיד אחר שנגמר שנה שלישית.</w:t>
      </w:r>
    </w:p>
    <w:p w:rsidR="00AB017F" w:rsidRDefault="00AB017F" w:rsidP="00AB017F">
      <w:pPr>
        <w:pStyle w:val="Heading2"/>
        <w:rPr>
          <w:rtl/>
        </w:rPr>
      </w:pPr>
      <w:r>
        <w:rPr>
          <w:rFonts w:hint="cs"/>
          <w:rtl/>
        </w:rPr>
        <w:t>מתי נגמר:</w:t>
      </w:r>
    </w:p>
    <w:p w:rsidR="00E85D04" w:rsidRPr="00E85D04" w:rsidRDefault="00E85D04" w:rsidP="00E85D04">
      <w:pPr>
        <w:rPr>
          <w:rtl/>
        </w:rPr>
      </w:pPr>
      <w:r>
        <w:rPr>
          <w:rFonts w:hint="cs"/>
          <w:rtl/>
        </w:rPr>
        <w:t>נגמר שנה שלימה אחר שהתחילה (אבל אין נפק"מ, שמתחילתו עד ביאת משיח (ומסתמא, אף אחר ביאת משיח), אין דינו נשתנה).</w:t>
      </w:r>
    </w:p>
    <w:p w:rsidR="00AB017F" w:rsidRDefault="00AB017F" w:rsidP="00AB017F">
      <w:pPr>
        <w:pStyle w:val="Heading2"/>
        <w:rPr>
          <w:rtl/>
        </w:rPr>
      </w:pPr>
      <w:r>
        <w:rPr>
          <w:rFonts w:hint="cs"/>
          <w:rtl/>
        </w:rPr>
        <w:t>מה הדין שלו:</w:t>
      </w:r>
    </w:p>
    <w:p w:rsidR="00E85D04" w:rsidRPr="00E85D04" w:rsidRDefault="00E85D04" w:rsidP="00AA2589">
      <w:r>
        <w:rPr>
          <w:rFonts w:hint="cs"/>
          <w:rtl/>
        </w:rPr>
        <w:t xml:space="preserve">הפירות </w:t>
      </w:r>
      <w:bookmarkStart w:id="0" w:name="_GoBack"/>
      <w:bookmarkEnd w:id="0"/>
      <w:r>
        <w:rPr>
          <w:rFonts w:hint="cs"/>
          <w:rtl/>
        </w:rPr>
        <w:t>מותרים.</w:t>
      </w:r>
    </w:p>
    <w:sectPr w:rsidR="00E85D04" w:rsidRPr="00E85D04">
      <w:pgSz w:w="12240" w:h="15840"/>
      <w:pgMar w:top="1440" w:right="1800" w:bottom="1440" w:left="1800" w:header="720" w:footer="720" w:gutter="0"/>
      <w:cols w:space="720"/>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9161B" w:rsidRDefault="0019161B" w:rsidP="00AB017F">
      <w:pPr>
        <w:spacing w:after="0" w:line="240" w:lineRule="auto"/>
      </w:pPr>
      <w:r>
        <w:separator/>
      </w:r>
    </w:p>
  </w:endnote>
  <w:endnote w:type="continuationSeparator" w:id="0">
    <w:p w:rsidR="0019161B" w:rsidRDefault="0019161B" w:rsidP="00AB01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9161B" w:rsidRDefault="0019161B" w:rsidP="00AB017F">
      <w:pPr>
        <w:spacing w:after="0" w:line="240" w:lineRule="auto"/>
      </w:pPr>
      <w:r>
        <w:separator/>
      </w:r>
    </w:p>
  </w:footnote>
  <w:footnote w:type="continuationSeparator" w:id="0">
    <w:p w:rsidR="0019161B" w:rsidRDefault="0019161B" w:rsidP="00AB017F">
      <w:pPr>
        <w:spacing w:after="0" w:line="240" w:lineRule="auto"/>
      </w:pPr>
      <w:r>
        <w:continuationSeparator/>
      </w:r>
    </w:p>
  </w:footnote>
  <w:footnote w:id="1">
    <w:p w:rsidR="00B114F3" w:rsidRDefault="00B114F3" w:rsidP="00B114F3">
      <w:pPr>
        <w:pStyle w:val="FootnoteText"/>
        <w:rPr>
          <w:rFonts w:hint="cs"/>
        </w:rPr>
      </w:pPr>
      <w:r>
        <w:rPr>
          <w:rStyle w:val="FootnoteReference"/>
        </w:rPr>
        <w:footnoteRef/>
      </w:r>
      <w:r>
        <w:rPr>
          <w:rtl/>
        </w:rPr>
        <w:t xml:space="preserve"> </w:t>
      </w:r>
      <w:r>
        <w:rPr>
          <w:rFonts w:hint="cs"/>
          <w:rtl/>
        </w:rPr>
        <w:t>באמת, רא"ש רק כתב שצריכים רק ארבעים וארבע ימים. אפשר שסובר ששלשים יום לא צריכים להיות שלם, אבל ימי השרשה צריכים להיות שלמים. אבל, יש ראיות שימי השרשה לא צריכים להיות שלמים, ואז יותר קל להניח כן ברא"ש.</w:t>
      </w:r>
    </w:p>
  </w:footnote>
  <w:footnote w:id="2">
    <w:p w:rsidR="00B114F3" w:rsidRDefault="00B114F3" w:rsidP="00B114F3">
      <w:pPr>
        <w:pStyle w:val="FootnoteText"/>
        <w:rPr>
          <w:rFonts w:hint="cs"/>
        </w:rPr>
      </w:pPr>
      <w:r>
        <w:rPr>
          <w:rStyle w:val="FootnoteReference"/>
        </w:rPr>
        <w:footnoteRef/>
      </w:r>
      <w:r>
        <w:rPr>
          <w:rtl/>
        </w:rPr>
        <w:t xml:space="preserve"> </w:t>
      </w:r>
      <w:r>
        <w:rPr>
          <w:rFonts w:hint="cs"/>
          <w:rtl/>
        </w:rPr>
        <w:t>חזון איש רגיל לטעון על כל דבר פלא שהוא טעות סופר.</w:t>
      </w:r>
    </w:p>
  </w:footnote>
  <w:footnote w:id="3">
    <w:p w:rsidR="00B114F3" w:rsidRDefault="00B114F3" w:rsidP="00B114F3">
      <w:pPr>
        <w:pStyle w:val="FootnoteText"/>
        <w:rPr>
          <w:rFonts w:hint="cs"/>
        </w:rPr>
      </w:pPr>
      <w:r>
        <w:rPr>
          <w:rStyle w:val="FootnoteReference"/>
        </w:rPr>
        <w:footnoteRef/>
      </w:r>
      <w:r>
        <w:rPr>
          <w:rtl/>
        </w:rPr>
        <w:t xml:space="preserve"> </w:t>
      </w:r>
      <w:r>
        <w:rPr>
          <w:rFonts w:hint="cs"/>
          <w:rtl/>
        </w:rPr>
        <w:t xml:space="preserve">יש </w:t>
      </w:r>
      <w:r>
        <w:rPr>
          <w:rFonts w:hint="cs"/>
          <w:rtl/>
        </w:rPr>
        <w:t>שני ראיות לחזון איש בזה. יש גמ' בפסחים שאומר בפירוש שאומרים מקצת היום ככולו (אבל, אולי רק בפעם אחת (בתחילה או בסוף)) בהשרשה, לענין חדש. גם יש גמ' בר"ה שאומר שיום אחד עולה לכאן ולכאן בענין השרשה ויום אחד בשנה (עיין לקמן) בערלה. זה מיוסד (ע' גמ' נזיר) על מקצת היום ככולו, ואז צ"ל שאומרים מקצת היום ככולו בהשרשה.</w:t>
      </w:r>
    </w:p>
  </w:footnote>
  <w:footnote w:id="4">
    <w:p w:rsidR="00D451FA" w:rsidRDefault="00D451FA">
      <w:pPr>
        <w:pStyle w:val="FootnoteText"/>
        <w:rPr>
          <w:rFonts w:hint="cs"/>
        </w:rPr>
      </w:pPr>
      <w:r>
        <w:rPr>
          <w:rStyle w:val="FootnoteReference"/>
        </w:rPr>
        <w:footnoteRef/>
      </w:r>
      <w:r>
        <w:rPr>
          <w:rtl/>
        </w:rPr>
        <w:t xml:space="preserve"> </w:t>
      </w:r>
      <w:r>
        <w:rPr>
          <w:rFonts w:hint="cs"/>
          <w:rtl/>
        </w:rPr>
        <w:t>הנחתי שלפי הרמב"ם השנה מתחיל ונגמר כאילו הוא שנה מעת לעת. יש לדון בזה (וכל סברת הרמב"ם לא פשוט), שהרי צריך להיות שהשריש שלים יום לפני ראש הנשה, ונמצא שצריך למנות שנה ראשונה גם לבריאת העולם. על כל פנים, נראה שהוא יותר קל אם אכתב כזה, ולא נראה הוכחה שהוא יותר רחוק מן האמת.</w:t>
      </w:r>
    </w:p>
  </w:footnote>
  <w:footnote w:id="5">
    <w:p w:rsidR="00D07155" w:rsidRDefault="00D07155" w:rsidP="00D07155">
      <w:pPr>
        <w:pStyle w:val="FootnoteText"/>
        <w:rPr>
          <w:rFonts w:hint="cs"/>
        </w:rPr>
      </w:pPr>
      <w:r>
        <w:rPr>
          <w:rStyle w:val="FootnoteReference"/>
        </w:rPr>
        <w:footnoteRef/>
      </w:r>
      <w:r>
        <w:rPr>
          <w:rtl/>
        </w:rPr>
        <w:t xml:space="preserve"> </w:t>
      </w:r>
      <w:r>
        <w:rPr>
          <w:rFonts w:hint="cs"/>
          <w:rtl/>
        </w:rPr>
        <w:t>מראשונים, מוכרח שצריכים ימים שלימים לזה, ולא אומרים שמקצת היום ככולו, שאי לאו הכי, נאמר שסוף ימי השרשה עולים לכאן ולכאן, ואז צריכים, בין הכל, רק ארבעים ושלש ימים. הרי, ראשונים לא אומרים כן, אלא אומרים שצריכים ארבעים וארבע או ארבעים וחמש ימים.</w:t>
      </w:r>
    </w:p>
  </w:footnote>
  <w:footnote w:id="6">
    <w:p w:rsidR="00D07155" w:rsidRDefault="00D07155" w:rsidP="00D07155">
      <w:pPr>
        <w:pStyle w:val="FootnoteText"/>
        <w:rPr>
          <w:rFonts w:hint="cs"/>
        </w:rPr>
      </w:pPr>
      <w:r>
        <w:rPr>
          <w:rStyle w:val="FootnoteReference"/>
        </w:rPr>
        <w:footnoteRef/>
      </w:r>
      <w:r>
        <w:rPr>
          <w:rtl/>
        </w:rPr>
        <w:t xml:space="preserve"> </w:t>
      </w:r>
      <w:r>
        <w:rPr>
          <w:rFonts w:hint="cs"/>
          <w:rtl/>
        </w:rPr>
        <w:t xml:space="preserve">כן </w:t>
      </w:r>
      <w:r>
        <w:rPr>
          <w:rFonts w:hint="cs"/>
          <w:rtl/>
        </w:rPr>
        <w:t>מבואר מגמ' שאומר עליו שיום אחד עולה לכאן ולכאן.</w:t>
      </w:r>
    </w:p>
  </w:footnote>
  <w:footnote w:id="7">
    <w:p w:rsidR="00EF7B0B" w:rsidRDefault="00EF7B0B">
      <w:pPr>
        <w:pStyle w:val="FootnoteText"/>
        <w:rPr>
          <w:rFonts w:hint="cs"/>
        </w:rPr>
      </w:pPr>
      <w:r>
        <w:rPr>
          <w:rStyle w:val="FootnoteReference"/>
        </w:rPr>
        <w:footnoteRef/>
      </w:r>
      <w:r>
        <w:rPr>
          <w:rtl/>
        </w:rPr>
        <w:t xml:space="preserve"> </w:t>
      </w:r>
      <w:r>
        <w:rPr>
          <w:rFonts w:hint="cs"/>
          <w:rtl/>
        </w:rPr>
        <w:t xml:space="preserve">באמת, כל הדיונים שכתבתי הוא מתי מותר פירות ערלה. אבל, כתבתי את כל זה בתוך גמר שנה שלישית. לפי מה שכתב רש"י לבאר, זה נכון בלומדות, אבל בוודאי נכון בדין. ותו"ת.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1316EA4"/>
    <w:multiLevelType w:val="hybridMultilevel"/>
    <w:tmpl w:val="991AED6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017F"/>
    <w:rsid w:val="000D7527"/>
    <w:rsid w:val="0019161B"/>
    <w:rsid w:val="001A6AD4"/>
    <w:rsid w:val="001C3598"/>
    <w:rsid w:val="00275E65"/>
    <w:rsid w:val="00295E7E"/>
    <w:rsid w:val="0045723C"/>
    <w:rsid w:val="005C12E1"/>
    <w:rsid w:val="00642A59"/>
    <w:rsid w:val="006B4025"/>
    <w:rsid w:val="0070716C"/>
    <w:rsid w:val="00722E41"/>
    <w:rsid w:val="00736BC3"/>
    <w:rsid w:val="007C48D9"/>
    <w:rsid w:val="00A2715B"/>
    <w:rsid w:val="00A46814"/>
    <w:rsid w:val="00AA2589"/>
    <w:rsid w:val="00AB017F"/>
    <w:rsid w:val="00B114F3"/>
    <w:rsid w:val="00B8516A"/>
    <w:rsid w:val="00BA7BEC"/>
    <w:rsid w:val="00BB6594"/>
    <w:rsid w:val="00C91471"/>
    <w:rsid w:val="00D07155"/>
    <w:rsid w:val="00D451FA"/>
    <w:rsid w:val="00DC77D7"/>
    <w:rsid w:val="00E16B96"/>
    <w:rsid w:val="00E85D04"/>
    <w:rsid w:val="00EF54D1"/>
    <w:rsid w:val="00EF7B0B"/>
    <w:rsid w:val="00F013C8"/>
    <w:rsid w:val="00FD48C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F8D59"/>
  <w15:chartTrackingRefBased/>
  <w15:docId w15:val="{D7AC1E5B-F557-4A75-A124-2E721CAC6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bidi/>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5D04"/>
    <w:pPr>
      <w:spacing w:after="80" w:line="259" w:lineRule="auto"/>
      <w:ind w:left="1440"/>
    </w:pPr>
    <w:rPr>
      <w:rFonts w:cs="Times New Roman"/>
    </w:rPr>
  </w:style>
  <w:style w:type="paragraph" w:styleId="Heading1">
    <w:name w:val="heading 1"/>
    <w:basedOn w:val="Normal"/>
    <w:next w:val="Normal"/>
    <w:link w:val="Heading1Char"/>
    <w:uiPriority w:val="9"/>
    <w:qFormat/>
    <w:rsid w:val="00AB017F"/>
    <w:pPr>
      <w:keepNext/>
      <w:keepLines/>
      <w:spacing w:before="160" w:after="160"/>
      <w:ind w:left="0"/>
      <w:outlineLvl w:val="0"/>
    </w:pPr>
    <w:rPr>
      <w:rFonts w:asciiTheme="majorHAnsi" w:eastAsiaTheme="majorEastAsia" w:hAnsiTheme="majorHAnsi"/>
      <w:bCs/>
      <w:sz w:val="32"/>
      <w:szCs w:val="28"/>
    </w:rPr>
  </w:style>
  <w:style w:type="paragraph" w:styleId="Heading2">
    <w:name w:val="heading 2"/>
    <w:basedOn w:val="Normal"/>
    <w:next w:val="Normal"/>
    <w:link w:val="Heading2Char"/>
    <w:uiPriority w:val="9"/>
    <w:unhideWhenUsed/>
    <w:qFormat/>
    <w:rsid w:val="00AB017F"/>
    <w:pPr>
      <w:keepNext/>
      <w:keepLines/>
      <w:spacing w:after="120"/>
      <w:ind w:left="720"/>
      <w:outlineLvl w:val="1"/>
    </w:pPr>
    <w:rPr>
      <w:rFonts w:asciiTheme="majorHAnsi" w:eastAsiaTheme="majorEastAsia" w:hAnsiTheme="majorHAnsi"/>
      <w:bCs/>
      <w:sz w:val="26"/>
      <w:szCs w:val="24"/>
    </w:rPr>
  </w:style>
  <w:style w:type="paragraph" w:styleId="Heading3">
    <w:name w:val="heading 3"/>
    <w:basedOn w:val="Normal"/>
    <w:next w:val="Normal"/>
    <w:link w:val="Heading3Char"/>
    <w:uiPriority w:val="9"/>
    <w:unhideWhenUsed/>
    <w:qFormat/>
    <w:rsid w:val="000D7527"/>
    <w:pPr>
      <w:keepNext/>
      <w:keepLines/>
      <w:spacing w:after="120"/>
      <w:outlineLvl w:val="2"/>
    </w:pPr>
    <w:rPr>
      <w:rFonts w:asciiTheme="majorHAnsi" w:eastAsiaTheme="majorEastAsia" w:hAnsiTheme="majorHAnsi"/>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017F"/>
    <w:rPr>
      <w:rFonts w:asciiTheme="majorHAnsi" w:eastAsiaTheme="majorEastAsia" w:hAnsiTheme="majorHAnsi" w:cs="Times New Roman"/>
      <w:bCs/>
      <w:sz w:val="32"/>
      <w:szCs w:val="28"/>
    </w:rPr>
  </w:style>
  <w:style w:type="character" w:customStyle="1" w:styleId="Heading2Char">
    <w:name w:val="Heading 2 Char"/>
    <w:basedOn w:val="DefaultParagraphFont"/>
    <w:link w:val="Heading2"/>
    <w:uiPriority w:val="9"/>
    <w:rsid w:val="00AB017F"/>
    <w:rPr>
      <w:rFonts w:asciiTheme="majorHAnsi" w:eastAsiaTheme="majorEastAsia" w:hAnsiTheme="majorHAnsi" w:cs="Times New Roman"/>
      <w:bCs/>
      <w:sz w:val="26"/>
      <w:szCs w:val="24"/>
    </w:rPr>
  </w:style>
  <w:style w:type="paragraph" w:styleId="ListParagraph">
    <w:name w:val="List Paragraph"/>
    <w:basedOn w:val="Normal"/>
    <w:uiPriority w:val="34"/>
    <w:qFormat/>
    <w:rsid w:val="00AB017F"/>
    <w:pPr>
      <w:ind w:left="720"/>
      <w:contextualSpacing/>
    </w:pPr>
  </w:style>
  <w:style w:type="paragraph" w:styleId="FootnoteText">
    <w:name w:val="footnote text"/>
    <w:basedOn w:val="Normal"/>
    <w:link w:val="FootnoteTextChar"/>
    <w:uiPriority w:val="99"/>
    <w:semiHidden/>
    <w:unhideWhenUsed/>
    <w:rsid w:val="0070716C"/>
    <w:pPr>
      <w:spacing w:after="0" w:line="240" w:lineRule="auto"/>
      <w:ind w:left="432"/>
    </w:pPr>
    <w:rPr>
      <w:sz w:val="20"/>
      <w:szCs w:val="20"/>
    </w:rPr>
  </w:style>
  <w:style w:type="character" w:customStyle="1" w:styleId="FootnoteTextChar">
    <w:name w:val="Footnote Text Char"/>
    <w:basedOn w:val="DefaultParagraphFont"/>
    <w:link w:val="FootnoteText"/>
    <w:uiPriority w:val="99"/>
    <w:semiHidden/>
    <w:rsid w:val="0070716C"/>
    <w:rPr>
      <w:rFonts w:cs="Times New Roman"/>
      <w:sz w:val="20"/>
      <w:szCs w:val="20"/>
    </w:rPr>
  </w:style>
  <w:style w:type="character" w:styleId="FootnoteReference">
    <w:name w:val="footnote reference"/>
    <w:basedOn w:val="DefaultParagraphFont"/>
    <w:uiPriority w:val="99"/>
    <w:semiHidden/>
    <w:unhideWhenUsed/>
    <w:rsid w:val="00AB017F"/>
    <w:rPr>
      <w:vertAlign w:val="superscript"/>
    </w:rPr>
  </w:style>
  <w:style w:type="character" w:customStyle="1" w:styleId="Heading3Char">
    <w:name w:val="Heading 3 Char"/>
    <w:basedOn w:val="DefaultParagraphFont"/>
    <w:link w:val="Heading3"/>
    <w:uiPriority w:val="9"/>
    <w:rsid w:val="000D7527"/>
    <w:rPr>
      <w:rFonts w:asciiTheme="majorHAnsi" w:eastAsiaTheme="majorEastAsia" w:hAnsiTheme="majorHAnsi" w:cs="Times New Roman"/>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3</Pages>
  <Words>458</Words>
  <Characters>2617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שי הכהן</dc:creator>
  <cp:keywords/>
  <dc:description/>
  <cp:lastModifiedBy>שי הכהן</cp:lastModifiedBy>
  <cp:revision>22</cp:revision>
  <dcterms:created xsi:type="dcterms:W3CDTF">2023-12-03T10:06:00Z</dcterms:created>
  <dcterms:modified xsi:type="dcterms:W3CDTF">2023-12-03T10:57:00Z</dcterms:modified>
</cp:coreProperties>
</file>