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האוכל חצי פרס</w:t>
      </w:r>
      <w:r>
        <w:rPr>
          <w:rStyle w:val="FootnoteAnchor"/>
          <w:b/>
          <w:b/>
          <w:bCs/>
          <w:rtl w:val="true"/>
          <w:lang w:bidi="he-IL"/>
        </w:rPr>
        <w:footnoteReference w:id="2"/>
      </w:r>
      <w:r>
        <w:rPr>
          <w:rStyle w:val="FootnoteAnchor"/>
          <w:b/>
          <w:b/>
          <w:bCs/>
          <w:rtl w:val="true"/>
          <w:lang w:bidi="he-IL"/>
        </w:rPr>
        <w:footnoteReference w:id="3"/>
      </w:r>
      <w:r>
        <w:rPr>
          <w:b/>
          <w:b/>
          <w:bCs/>
          <w:rtl w:val="true"/>
          <w:lang w:bidi="he-IL"/>
        </w:rPr>
        <w:t xml:space="preserve"> אוכל טמא</w:t>
      </w:r>
      <w:r>
        <w:rPr>
          <w:b w:val="false"/>
          <w:bCs w:val="false"/>
          <w:rtl w:val="true"/>
          <w:lang w:bidi="he-IL"/>
        </w:rPr>
        <w:t>-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אם אכל אוכל שהוא ראשון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חולקים רבי אליעזר ורבי יהושע מהו דינו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rFonts w:ascii="Narkisim" w:hAnsi="Narkisim"/>
          <w:b w:val="false"/>
          <w:b w:val="false"/>
          <w:bCs w:val="false"/>
          <w:rtl w:val="true"/>
          <w:lang w:bidi="he-IL"/>
        </w:rPr>
        <w:t xml:space="preserve">רבי </w:t>
      </w:r>
      <w:r>
        <w:rPr>
          <w:rFonts w:ascii="Narkisim" w:hAnsi="Narkisim"/>
          <w:rtl w:val="true"/>
          <w:lang w:bidi="he-IL"/>
        </w:rPr>
        <w:t>אליעזר אומר ש</w:t>
      </w:r>
      <w:r>
        <w:rPr>
          <w:rFonts w:ascii="Narkisim" w:hAnsi="Narkisim"/>
          <w:rtl w:val="true"/>
          <w:lang w:bidi="he-IL"/>
        </w:rPr>
        <w:t>הוא ראשון</w:t>
      </w:r>
      <w:r>
        <w:rPr>
          <w:rFonts w:ascii="Narkisim" w:hAnsi="Narkisim"/>
          <w:rtl w:val="true"/>
          <w:lang w:bidi="he-IL"/>
        </w:rPr>
        <w:t xml:space="preserve"> </w:t>
      </w:r>
      <w:r>
        <w:rPr>
          <w:rFonts w:cs="Narkisim" w:ascii="Narkisim" w:hAnsi="Narkisim"/>
          <w:rtl w:val="true"/>
          <w:lang w:bidi="he-IL"/>
        </w:rPr>
        <w:t>(</w:t>
      </w:r>
      <w:r>
        <w:rPr>
          <w:rFonts w:ascii="Narkisim" w:hAnsi="Narkisim"/>
          <w:rtl w:val="true"/>
          <w:lang w:bidi="he-IL"/>
        </w:rPr>
        <w:t>שמצאנו בנבלת עוף טהור שאוכל יותר טמא ממאכל</w:t>
      </w:r>
      <w:r>
        <w:rPr>
          <w:rFonts w:cs="Narkisim" w:ascii="Narkisim" w:hAnsi="Narkisim"/>
          <w:rtl w:val="true"/>
          <w:lang w:bidi="he-IL"/>
        </w:rPr>
        <w:t xml:space="preserve">, </w:t>
      </w:r>
      <w:r>
        <w:rPr>
          <w:rFonts w:ascii="Narkisim" w:hAnsi="Narkisim"/>
          <w:rtl w:val="true"/>
          <w:lang w:bidi="he-IL"/>
        </w:rPr>
        <w:t>ואז לא נעשה המאכל יותר טמא כאן</w:t>
      </w:r>
      <w:r>
        <w:rPr>
          <w:rStyle w:val="FootnoteAnchor"/>
          <w:rFonts w:ascii="Narkisim" w:hAnsi="Narkisim"/>
          <w:rtl w:val="true"/>
          <w:lang w:bidi="he-IL"/>
        </w:rPr>
        <w:footnoteReference w:id="4"/>
      </w:r>
      <w:r>
        <w:rPr>
          <w:rFonts w:cs="Narkisim" w:ascii="Narkisim" w:hAnsi="Narkisim"/>
          <w:rtl w:val="true"/>
          <w:lang w:bidi="he-IL"/>
        </w:rPr>
        <w:t xml:space="preserve">) </w:t>
      </w:r>
      <w:r>
        <w:rPr>
          <w:rFonts w:ascii="Narkisim" w:hAnsi="Narkisim"/>
          <w:rtl w:val="true"/>
          <w:lang w:bidi="he-IL"/>
        </w:rPr>
        <w:t xml:space="preserve">ורבי יהושע אומר ששני הוא </w:t>
      </w:r>
      <w:r>
        <w:rPr>
          <w:rFonts w:cs="Narkisim" w:ascii="Narkisim" w:hAnsi="Narkisim"/>
          <w:rtl w:val="true"/>
          <w:lang w:bidi="he-IL"/>
        </w:rPr>
        <w:t>(</w:t>
      </w:r>
      <w:r>
        <w:rPr>
          <w:rFonts w:ascii="Narkisim" w:hAnsi="Narkisim"/>
          <w:rtl w:val="true"/>
          <w:lang w:bidi="he-IL"/>
        </w:rPr>
        <w:t>שלא לו</w:t>
      </w:r>
      <w:r>
        <w:rPr>
          <w:rFonts w:ascii="Narkisim" w:hAnsi="Narkisim"/>
          <w:rtl w:val="true"/>
          <w:lang w:bidi="he-IL"/>
        </w:rPr>
        <w:t>מדים</w:t>
      </w:r>
      <w:r>
        <w:rPr>
          <w:rFonts w:ascii="Narkisim" w:hAnsi="Narkisim"/>
          <w:rtl w:val="true"/>
          <w:lang w:bidi="he-IL"/>
        </w:rPr>
        <w:t xml:space="preserve"> מנבלת עוף</w:t>
      </w:r>
      <w:r>
        <w:rPr>
          <w:rFonts w:cs="Narkisim" w:ascii="Narkisim" w:hAnsi="Narkisim"/>
          <w:rtl w:val="true"/>
          <w:lang w:bidi="he-IL"/>
        </w:rPr>
        <w:t xml:space="preserve">, </w:t>
      </w:r>
      <w:r>
        <w:rPr>
          <w:rFonts w:ascii="Narkisim" w:hAnsi="Narkisim"/>
          <w:rtl w:val="true"/>
          <w:lang w:bidi="he-IL"/>
        </w:rPr>
        <w:t>שחי’ הוא</w:t>
      </w:r>
      <w:r>
        <w:rPr>
          <w:rFonts w:cs="Narkisim" w:ascii="Narkisim" w:hAnsi="Narkisim"/>
          <w:rtl w:val="true"/>
          <w:lang w:bidi="he-IL"/>
        </w:rPr>
        <w:t xml:space="preserve">, </w:t>
      </w:r>
      <w:r>
        <w:rPr>
          <w:rFonts w:ascii="Narkisim" w:hAnsi="Narkisim"/>
          <w:rtl w:val="true"/>
          <w:lang w:bidi="he-IL"/>
        </w:rPr>
        <w:t>אלא לומ</w:t>
      </w:r>
      <w:r>
        <w:rPr>
          <w:rFonts w:ascii="Narkisim" w:hAnsi="Narkisim"/>
          <w:rtl w:val="true"/>
          <w:lang w:bidi="he-IL"/>
        </w:rPr>
        <w:t>דים</w:t>
      </w:r>
      <w:r>
        <w:rPr>
          <w:rFonts w:ascii="Narkisim" w:hAnsi="Narkisim"/>
          <w:rtl w:val="true"/>
          <w:lang w:bidi="he-IL"/>
        </w:rPr>
        <w:t xml:space="preserve"> מן השיעור</w:t>
      </w:r>
      <w:r>
        <w:rPr>
          <w:rFonts w:cs="Narkisim" w:ascii="Narkisim" w:hAnsi="Narkisim"/>
          <w:rtl w:val="true"/>
          <w:lang w:bidi="he-IL"/>
        </w:rPr>
        <w:t xml:space="preserve">, </w:t>
      </w:r>
      <w:r>
        <w:rPr>
          <w:rFonts w:ascii="Narkisim" w:hAnsi="Narkisim"/>
          <w:rtl w:val="true"/>
          <w:lang w:bidi="he-IL"/>
        </w:rPr>
        <w:t>שבו אוכל יותר קל ממאכל</w:t>
      </w:r>
      <w:r>
        <w:rPr>
          <w:rFonts w:cs="Narkisim" w:ascii="Narkisim" w:hAnsi="Narkisim"/>
          <w:rtl w:val="true"/>
          <w:lang w:bidi="he-IL"/>
        </w:rPr>
        <w:t>)</w:t>
      </w:r>
      <w:r>
        <w:rPr>
          <w:rFonts w:cs="Narkisim" w:ascii="Narkisim" w:hAnsi="Narkisim"/>
          <w:rtl w:val="true"/>
          <w:lang w:val="en-GB" w:eastAsia="zh-CN" w:bidi="he-IL"/>
        </w:rPr>
        <w:t>.</w:t>
      </w:r>
      <w:r>
        <w:rPr>
          <w:rStyle w:val="FootnoteAnchor"/>
          <w:rFonts w:cs="Narkisim" w:ascii="Narkisim" w:hAnsi="Narkisim"/>
          <w:rtl w:val="true"/>
          <w:lang w:val="en-GB" w:eastAsia="zh-CN" w:bidi="he-IL"/>
        </w:rPr>
        <w:footnoteReference w:id="5"/>
      </w:r>
      <w:r>
        <w:rPr>
          <w:rStyle w:val="FootnoteAnchor"/>
          <w:rFonts w:cs="Narkisim" w:ascii="Narkisim" w:hAnsi="Narkisim"/>
          <w:rtl w:val="true"/>
          <w:lang w:val="en-GB" w:eastAsia="zh-CN" w:bidi="he-IL"/>
        </w:rPr>
        <w:footnoteReference w:id="6"/>
      </w:r>
    </w:p>
    <w:p>
      <w:pPr>
        <w:pStyle w:val="Normal"/>
        <w:bidi w:val="1"/>
        <w:jc w:val="left"/>
        <w:rPr/>
      </w:pPr>
      <w:r>
        <w:rPr>
          <w:rFonts w:ascii="Narkisim" w:hAnsi="Narkisim"/>
          <w:rtl w:val="true"/>
          <w:lang w:val="en-GB" w:eastAsia="zh-CN" w:bidi="he-IL"/>
        </w:rPr>
        <w:t>אם אכל אוכל שהוא שני</w:t>
      </w:r>
      <w:r>
        <w:rPr>
          <w:rFonts w:cs="Narkisim" w:ascii="Narkisim" w:hAnsi="Narkisim"/>
          <w:rtl w:val="true"/>
          <w:lang w:val="en-GB" w:eastAsia="zh-CN" w:bidi="he-IL"/>
        </w:rPr>
        <w:t xml:space="preserve">, </w:t>
      </w:r>
      <w:r>
        <w:rPr>
          <w:rFonts w:ascii="Narkisim" w:hAnsi="Narkisim"/>
          <w:rtl w:val="true"/>
          <w:lang w:val="en-GB" w:eastAsia="zh-CN" w:bidi="he-IL"/>
        </w:rPr>
        <w:t>הוא שני</w:t>
      </w:r>
      <w:r>
        <w:rPr>
          <w:rFonts w:cs="Narkisim" w:ascii="Narkisim" w:hAnsi="Narkisim"/>
          <w:rtl w:val="true"/>
          <w:lang w:val="en-GB" w:eastAsia="zh-CN" w:bidi="he-IL"/>
        </w:rPr>
        <w:t xml:space="preserve">. </w:t>
      </w:r>
      <w:r>
        <w:rPr>
          <w:rFonts w:ascii="Narkisim" w:hAnsi="Narkisim"/>
          <w:rtl w:val="true"/>
          <w:lang w:val="en-GB" w:eastAsia="zh-CN" w:bidi="he-IL"/>
        </w:rPr>
        <w:t>כאן</w:t>
      </w:r>
      <w:r>
        <w:rPr>
          <w:rFonts w:cs="Narkisim" w:ascii="Narkisim" w:hAnsi="Narkisim"/>
          <w:rtl w:val="true"/>
          <w:lang w:val="en-GB" w:eastAsia="zh-CN" w:bidi="he-IL"/>
        </w:rPr>
        <w:t xml:space="preserve">, </w:t>
      </w:r>
      <w:r>
        <w:rPr>
          <w:rFonts w:ascii="Narkisim" w:hAnsi="Narkisim"/>
          <w:rtl w:val="true"/>
          <w:lang w:val="en-GB" w:eastAsia="zh-CN" w:bidi="he-IL"/>
        </w:rPr>
        <w:t>אף רבי יהושע מודה</w:t>
      </w:r>
      <w:r>
        <w:rPr>
          <w:rFonts w:cs="Narkisim" w:ascii="Narkisim" w:hAnsi="Narkisim"/>
          <w:rtl w:val="true"/>
          <w:lang w:val="en-GB" w:eastAsia="zh-CN" w:bidi="he-IL"/>
        </w:rPr>
        <w:t xml:space="preserve">, </w:t>
      </w:r>
      <w:r>
        <w:rPr>
          <w:rFonts w:ascii="Narkisim" w:hAnsi="Narkisim"/>
          <w:rtl w:val="true"/>
          <w:lang w:val="en-GB" w:eastAsia="zh-CN" w:bidi="he-IL"/>
        </w:rPr>
        <w:t xml:space="preserve">כיון שמצאנו שני שעושה שני </w:t>
      </w:r>
      <w:r>
        <w:rPr>
          <w:rFonts w:cs="Narkisim" w:ascii="Narkisim" w:hAnsi="Narkisim"/>
          <w:rtl w:val="true"/>
          <w:lang w:val="en-GB" w:eastAsia="zh-CN" w:bidi="he-IL"/>
        </w:rPr>
        <w:t>(</w:t>
      </w:r>
      <w:r>
        <w:rPr>
          <w:rFonts w:ascii="Narkisim" w:hAnsi="Narkisim"/>
          <w:rtl w:val="true"/>
          <w:lang w:val="en-GB" w:eastAsia="zh-CN" w:bidi="he-IL"/>
        </w:rPr>
        <w:t>על ידי משקין</w:t>
      </w:r>
      <w:r>
        <w:rPr>
          <w:rFonts w:cs="Narkisim" w:ascii="Narkisim" w:hAnsi="Narkisim"/>
          <w:rtl w:val="true"/>
          <w:lang w:val="en-GB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rtl w:val="true"/>
          <w:lang w:val="en-GB" w:eastAsia="zh-CN" w:bidi="he-IL"/>
        </w:rPr>
        <w:t>אם אכל אוכל שהוא שלישי שנעשה על טהרת תרומה</w:t>
      </w:r>
      <w:r>
        <w:rPr>
          <w:rFonts w:cs="Narkisim" w:ascii="Narkisim" w:hAnsi="Narkisim"/>
          <w:rtl w:val="true"/>
          <w:lang w:val="en-GB" w:eastAsia="zh-CN" w:bidi="he-IL"/>
        </w:rPr>
        <w:t xml:space="preserve">, </w:t>
      </w:r>
      <w:r>
        <w:rPr>
          <w:rFonts w:ascii="Narkisim" w:hAnsi="Narkisim"/>
          <w:rtl w:val="true"/>
          <w:lang w:val="en-GB" w:eastAsia="zh-CN" w:bidi="he-IL"/>
        </w:rPr>
        <w:t xml:space="preserve">רבי אליעזר אומר שהוא שלישי </w:t>
      </w:r>
      <w:r>
        <w:rPr>
          <w:rFonts w:cs="Narkisim" w:ascii="Narkisim" w:hAnsi="Narkisim"/>
          <w:rtl w:val="true"/>
          <w:lang w:val="en-GB" w:eastAsia="zh-CN" w:bidi="he-IL"/>
        </w:rPr>
        <w:t>(</w:t>
      </w:r>
      <w:r>
        <w:rPr>
          <w:rFonts w:ascii="Narkisim" w:hAnsi="Narkisim"/>
          <w:rtl w:val="true"/>
          <w:lang w:val="en-GB" w:eastAsia="zh-CN" w:bidi="he-IL"/>
        </w:rPr>
        <w:t>כמו שסובר בכל מקום</w:t>
      </w:r>
      <w:r>
        <w:rPr>
          <w:rFonts w:cs="Narkisim" w:ascii="Narkisim" w:hAnsi="Narkisim"/>
          <w:rtl w:val="true"/>
          <w:lang w:val="en-GB" w:eastAsia="zh-CN" w:bidi="he-IL"/>
        </w:rPr>
        <w:t xml:space="preserve">, </w:t>
      </w:r>
      <w:r>
        <w:rPr>
          <w:rFonts w:ascii="Narkisim" w:hAnsi="Narkisim"/>
          <w:rtl w:val="true"/>
          <w:lang w:val="en-GB" w:eastAsia="zh-CN" w:bidi="he-IL"/>
        </w:rPr>
        <w:t>שנותן לאוכל דין של המאכיל</w:t>
      </w:r>
      <w:r>
        <w:rPr>
          <w:rFonts w:cs="Narkisim" w:ascii="Narkisim" w:hAnsi="Narkisim"/>
          <w:rtl w:val="true"/>
          <w:lang w:val="en-GB" w:eastAsia="zh-CN" w:bidi="he-IL"/>
        </w:rPr>
        <w:t xml:space="preserve">) </w:t>
      </w:r>
      <w:r>
        <w:rPr>
          <w:rFonts w:ascii="Narkisim" w:hAnsi="Narkisim"/>
          <w:rtl w:val="true"/>
          <w:lang w:val="en-GB" w:eastAsia="zh-CN" w:bidi="he-IL"/>
        </w:rPr>
        <w:t xml:space="preserve">ורבי יהושע אומר שהוא שני לקודש </w:t>
      </w:r>
      <w:r>
        <w:rPr>
          <w:rFonts w:cs="Narkisim" w:ascii="Narkisim" w:hAnsi="Narkisim"/>
          <w:rtl w:val="true"/>
          <w:lang w:val="en-GB" w:eastAsia="zh-CN" w:bidi="he-IL"/>
        </w:rPr>
        <w:t>(</w:t>
      </w:r>
      <w:r>
        <w:rPr>
          <w:rFonts w:ascii="Narkisim" w:hAnsi="Narkisim"/>
          <w:rtl w:val="true"/>
          <w:lang w:val="en-GB" w:eastAsia="zh-CN" w:bidi="he-IL"/>
        </w:rPr>
        <w:t>כיון שטהרת תרומה לא שומר לקודש</w:t>
      </w:r>
      <w:r>
        <w:rPr>
          <w:rFonts w:cs="Narkisim" w:ascii="Narkisim" w:hAnsi="Narkisim"/>
          <w:rtl w:val="true"/>
          <w:lang w:val="en-GB" w:eastAsia="zh-CN" w:bidi="he-IL"/>
        </w:rPr>
        <w:t>).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rtl w:val="true"/>
          <w:lang w:val="en-GB" w:eastAsia="zh-CN" w:bidi="he-IL"/>
        </w:rPr>
        <w:t>אם אכל אוכל שהוא שלישי שנעשה על טהרת קודש</w:t>
      </w:r>
      <w:r>
        <w:rPr>
          <w:rFonts w:cs="Narkisim" w:ascii="Narkisim" w:hAnsi="Narkisim"/>
          <w:rtl w:val="true"/>
          <w:lang w:val="en-GB" w:eastAsia="zh-CN" w:bidi="he-IL"/>
        </w:rPr>
        <w:t xml:space="preserve">, </w:t>
      </w:r>
      <w:r>
        <w:rPr>
          <w:rFonts w:ascii="Narkisim" w:hAnsi="Narkisim"/>
          <w:rtl w:val="true"/>
          <w:lang w:val="en-GB" w:eastAsia="zh-CN" w:bidi="he-IL"/>
        </w:rPr>
        <w:t>רבי אליעזר אומר שהוא שלישי</w:t>
      </w:r>
      <w:r>
        <w:rPr>
          <w:rFonts w:cs="Narkisim" w:ascii="Narkisim" w:hAnsi="Narkisim"/>
          <w:rtl w:val="true"/>
          <w:lang w:val="en-GB" w:eastAsia="zh-CN" w:bidi="he-IL"/>
        </w:rPr>
        <w:t xml:space="preserve">, </w:t>
      </w:r>
      <w:r>
        <w:rPr>
          <w:rFonts w:ascii="Narkisim" w:hAnsi="Narkisim"/>
          <w:rtl w:val="true"/>
          <w:lang w:val="en-GB" w:eastAsia="zh-CN" w:bidi="he-IL"/>
        </w:rPr>
        <w:t>ורבה בר בר חנא בדברי רבי יוחנן בדברי רבי יהושע אומר שהוא שלישי</w:t>
      </w:r>
      <w:r>
        <w:rPr>
          <w:rStyle w:val="FootnoteAnchor"/>
          <w:rFonts w:ascii="Narkisim" w:hAnsi="Narkisim"/>
          <w:rtl w:val="true"/>
          <w:lang w:val="en-GB" w:eastAsia="zh-CN" w:bidi="he-IL"/>
        </w:rPr>
        <w:footnoteReference w:id="7"/>
      </w:r>
      <w:r>
        <w:rPr>
          <w:rFonts w:ascii="Narkisim" w:hAnsi="Narkisim"/>
          <w:rtl w:val="true"/>
          <w:lang w:val="en-GB" w:eastAsia="zh-CN" w:bidi="he-IL"/>
        </w:rPr>
        <w:t xml:space="preserve"> ורבי זירא בדברי רבי יוחנן אומר שהוא שני </w:t>
      </w:r>
      <w:r>
        <w:rPr>
          <w:rFonts w:cs="Narkisim" w:ascii="Narkisim" w:hAnsi="Narkisim"/>
          <w:rtl w:val="true"/>
          <w:lang w:val="en-GB" w:eastAsia="zh-CN" w:bidi="he-IL"/>
        </w:rPr>
        <w:t>(</w:t>
      </w:r>
      <w:r>
        <w:rPr>
          <w:rFonts w:ascii="Narkisim" w:hAnsi="Narkisim"/>
          <w:rtl w:val="true"/>
          <w:lang w:val="en-GB" w:eastAsia="zh-CN" w:bidi="he-IL"/>
        </w:rPr>
        <w:t>לא מבאר גמרא למה</w:t>
      </w:r>
      <w:r>
        <w:rPr>
          <w:rFonts w:cs="Narkisim" w:ascii="Narkisim" w:hAnsi="Narkisim"/>
          <w:rtl w:val="true"/>
          <w:lang w:val="en-GB" w:eastAsia="zh-CN" w:bidi="he-IL"/>
        </w:rPr>
        <w:t>).</w:t>
      </w:r>
      <w:r>
        <w:rPr>
          <w:rStyle w:val="FootnoteAnchor"/>
          <w:rFonts w:cs="Narkisim" w:ascii="Narkisim" w:hAnsi="Narkisim"/>
          <w:rtl w:val="true"/>
          <w:lang w:val="en-GB" w:eastAsia="zh-CN" w:bidi="he-IL"/>
        </w:rPr>
        <w:footnoteReference w:id="8"/>
      </w:r>
    </w:p>
    <w:p>
      <w:pPr>
        <w:pStyle w:val="Normal"/>
        <w:bidi w:val="1"/>
        <w:jc w:val="left"/>
        <w:rPr/>
      </w:pPr>
      <w:r>
        <w:rPr>
          <w:rFonts w:ascii="Narkisim" w:hAnsi="Narkisim"/>
          <w:rtl w:val="true"/>
          <w:lang w:val="en-GB" w:eastAsia="zh-CN" w:bidi="he-IL"/>
        </w:rPr>
        <w:t>כדי לטהר את עצמו</w:t>
      </w:r>
      <w:r>
        <w:rPr>
          <w:rFonts w:cs="Narkisim" w:ascii="Narkisim" w:hAnsi="Narkisim"/>
          <w:rtl w:val="true"/>
          <w:lang w:val="en-GB" w:eastAsia="zh-CN" w:bidi="he-IL"/>
        </w:rPr>
        <w:t xml:space="preserve">, </w:t>
      </w:r>
      <w:r>
        <w:rPr>
          <w:rFonts w:ascii="Narkisim" w:hAnsi="Narkisim"/>
          <w:rtl w:val="true"/>
          <w:lang w:val="en-GB" w:eastAsia="zh-CN" w:bidi="he-IL"/>
        </w:rPr>
        <w:t>לכאו’ צריך לטבול במקווה והערב שמש</w:t>
      </w:r>
      <w:r>
        <w:rPr>
          <w:rFonts w:cs="Narkisim" w:ascii="Narkisim" w:hAnsi="Narkisim"/>
          <w:rtl w:val="true"/>
          <w:lang w:val="en-GB" w:eastAsia="zh-CN" w:bidi="he-IL"/>
        </w:rPr>
        <w:t>.</w:t>
      </w:r>
      <w:r>
        <w:rPr>
          <w:rStyle w:val="FootnoteAnchor"/>
          <w:rFonts w:cs="Narkisim" w:ascii="Narkisim" w:hAnsi="Narkisim"/>
          <w:rtl w:val="true"/>
          <w:lang w:val="en-GB" w:eastAsia="zh-CN" w:bidi="he-IL"/>
        </w:rPr>
        <w:footnoteReference w:id="9"/>
      </w:r>
    </w:p>
    <w:p>
      <w:pPr>
        <w:pStyle w:val="Normal"/>
        <w:bidi w:val="1"/>
        <w:jc w:val="left"/>
        <w:rPr/>
      </w:pPr>
      <w:r>
        <w:rPr>
          <w:rFonts w:ascii="Narkisim" w:hAnsi="Narkisim"/>
          <w:rtl w:val="true"/>
          <w:lang w:val="en-GB" w:eastAsia="zh-CN" w:bidi="he-IL"/>
        </w:rPr>
        <w:t>גזרו בית שמאי ובית הלל על זה בעליית חנניה בן חזקיה</w:t>
      </w:r>
      <w:r>
        <w:rPr>
          <w:rFonts w:cs="Narkisim" w:ascii="Narkisim" w:hAnsi="Narkisim"/>
          <w:rtl w:val="true"/>
          <w:lang w:val="en-GB" w:eastAsia="zh-CN"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כל תקנות אלו הוא שחששו רבנן שיאכל אוכלים טמאים וישתה משקים של תרומה באותו זמן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יטמאו משקים של התרומה מאוכל הטמא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גזרו בו טומאה שלא מרשה לו לאכול תרומה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10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השותה רביעית</w:t>
      </w:r>
      <w:r>
        <w:rPr>
          <w:rStyle w:val="FootnoteAnchor"/>
          <w:b/>
          <w:b/>
          <w:bCs/>
          <w:rtl w:val="true"/>
          <w:lang w:bidi="he-IL"/>
        </w:rPr>
        <w:footnoteReference w:id="11"/>
      </w:r>
      <w:r>
        <w:rPr>
          <w:b/>
          <w:b/>
          <w:bCs/>
          <w:rtl w:val="true"/>
          <w:lang w:bidi="he-IL"/>
        </w:rPr>
        <w:t xml:space="preserve"> משקים טמא</w:t>
      </w:r>
      <w:r>
        <w:rPr>
          <w:b/>
          <w:bCs/>
          <w:rtl w:val="true"/>
          <w:lang w:bidi="he-IL"/>
        </w:rPr>
        <w:t>-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דינו שווה לדין אוכל אוכל טמא</w:t>
      </w:r>
      <w:r>
        <w:rPr>
          <w:rStyle w:val="FootnoteAnchor"/>
          <w:b w:val="false"/>
          <w:b w:val="false"/>
          <w:bCs w:val="false"/>
          <w:rtl w:val="true"/>
          <w:lang w:bidi="he-IL"/>
        </w:rPr>
        <w:footnoteReference w:id="12"/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b w:val="false"/>
          <w:b w:val="false"/>
          <w:bCs w:val="false"/>
          <w:rtl w:val="true"/>
          <w:lang w:val="en-GB" w:eastAsia="zh-CN" w:bidi="he-IL"/>
        </w:rPr>
        <w:t>גזרו בית שמאי ובית הלל על זה בעליית חנניה בן חזקיה</w:t>
      </w:r>
      <w:r>
        <w:rPr>
          <w:rFonts w:cs="Narkisim" w:ascii="Narkisim" w:hAnsi="Narkisim"/>
          <w:b w:val="false"/>
          <w:bCs w:val="false"/>
          <w:rtl w:val="true"/>
          <w:lang w:val="en-GB" w:eastAsia="zh-CN"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שחששו רבנן שישתה משקים טמאים ויאכל תרומה באותו זמן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יטמא אוכל תרומה ממשקים הטמאים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לכן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גזרו בו טומאה שלא מרשה לו לאכול תרומה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13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הבא ראשו ורובו למים שאובים</w:t>
      </w:r>
      <w:r>
        <w:rPr>
          <w:b/>
          <w:bCs/>
          <w:rtl w:val="true"/>
          <w:lang w:bidi="he-IL"/>
        </w:rPr>
        <w:t>-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 xml:space="preserve">אם אדם בא ראשו ורובו למים שאובים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מים שניתן בכלי לרצון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הוא שני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b w:val="false"/>
          <w:b w:val="false"/>
          <w:bCs w:val="false"/>
          <w:rtl w:val="true"/>
          <w:lang w:val="en-GB" w:eastAsia="zh-CN" w:bidi="he-IL"/>
        </w:rPr>
        <w:t>גזרו בית שמאי ובית הלל על זה בעליית חנניה בן חזקיה</w:t>
      </w:r>
      <w:r>
        <w:rPr>
          <w:rFonts w:cs="Narkisim" w:ascii="Narkisim" w:hAnsi="Narkisim"/>
          <w:b w:val="false"/>
          <w:bCs w:val="false"/>
          <w:rtl w:val="true"/>
          <w:lang w:val="en-GB" w:eastAsia="zh-CN"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 xml:space="preserve">טעם של תקנה זו הוא שהיו בני אדם רגילים לרחוץ במים שאובים אחרי שטבלו במקווה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כיון שמי מקווה היו סרוחים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והתחילו לחשוב שלא צריך לטבול במקווה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לרחוץ במים שאובים כדי להיטהר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14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מי שנופל שלש לוגים מים שאובים על ראשו ורוב</w:t>
      </w:r>
      <w:r>
        <w:rPr>
          <w:b/>
          <w:bCs/>
          <w:rtl w:val="true"/>
          <w:lang w:bidi="he-IL"/>
        </w:rPr>
        <w:t>-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אם נפלו שלש לוגים מים שאובים על ראשו ורובו של אדם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הוא שני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b w:val="false"/>
          <w:b w:val="false"/>
          <w:bCs w:val="false"/>
          <w:rtl w:val="true"/>
          <w:lang w:val="en-GB" w:eastAsia="zh-CN"/>
        </w:rPr>
        <w:t>גזרו בית שמאי ובית הלל על זה בעליית חנניה בן חזקיה</w:t>
      </w:r>
      <w:r>
        <w:rPr>
          <w:rFonts w:cs="Narkisim" w:ascii="Narkisim" w:hAnsi="Narkisim"/>
          <w:b w:val="false"/>
          <w:bCs w:val="false"/>
          <w:rtl w:val="true"/>
          <w:lang w:val="en-GB" w:eastAsia="zh-CN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כדי לחזק לתקנת טומאה של הבא ראשו ורובו למים שאובים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15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ספר קודש</w:t>
      </w:r>
      <w:r>
        <w:rPr>
          <w:b/>
          <w:bCs/>
          <w:rtl w:val="true"/>
          <w:lang w:bidi="he-IL"/>
        </w:rPr>
        <w:t>-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ספרים מתנ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ך הם שני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rtl w:val="true"/>
          <w:lang w:val="en-GB" w:eastAsia="zh-CN"/>
        </w:rPr>
        <w:t>גזרו בית שמאי ובית הלל על זה בעליית חנניה בן חזקיה</w:t>
      </w:r>
      <w:r>
        <w:rPr>
          <w:rFonts w:cs="Narkisim" w:ascii="Narkisim" w:hAnsi="Narkisim"/>
          <w:rtl w:val="true"/>
          <w:lang w:val="en-GB" w:eastAsia="zh-CN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 xml:space="preserve">טעם של תקנה זו הוא כדי שלא יצניעו בני אדם תרומה עם ספריהם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כך היו עושים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כיון ששניהם היו קדושים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כיון שזה גורם שעכברים באים ומזיקים את הספרים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16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ידים</w:t>
      </w:r>
      <w:r>
        <w:rPr>
          <w:b w:val="false"/>
          <w:bCs w:val="false"/>
          <w:rtl w:val="true"/>
          <w:lang w:bidi="he-IL"/>
        </w:rPr>
        <w:t xml:space="preserve">- 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ידים הם שני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היו שלש גזירות על ידים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בתחילה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שלמה גזר שידים פוסלים</w:t>
      </w:r>
      <w:r>
        <w:rPr>
          <w:rStyle w:val="FootnoteAnchor"/>
          <w:b w:val="false"/>
          <w:b w:val="false"/>
          <w:bCs w:val="false"/>
          <w:rtl w:val="true"/>
          <w:lang w:bidi="he-IL"/>
        </w:rPr>
        <w:footnoteReference w:id="17"/>
      </w:r>
      <w:r>
        <w:rPr>
          <w:b w:val="false"/>
          <w:b w:val="false"/>
          <w:bCs w:val="false"/>
          <w:rtl w:val="true"/>
          <w:lang w:bidi="he-IL"/>
        </w:rPr>
        <w:t xml:space="preserve"> את הקודש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ועל זה שמח קרא וכ’</w:t>
      </w:r>
      <w:r>
        <w:rPr>
          <w:b w:val="false"/>
          <w:bCs w:val="false"/>
          <w:rtl w:val="true"/>
          <w:lang w:bidi="he-IL"/>
        </w:rPr>
        <w:t>, “</w:t>
      </w:r>
      <w:r>
        <w:rPr>
          <w:b w:val="false"/>
          <w:b w:val="false"/>
          <w:bCs w:val="false"/>
          <w:rtl w:val="true"/>
          <w:lang w:bidi="he-IL"/>
        </w:rPr>
        <w:t>בני אם חכם לבך…</w:t>
      </w:r>
      <w:r>
        <w:rPr>
          <w:b w:val="false"/>
          <w:bCs w:val="false"/>
          <w:rtl w:val="true"/>
          <w:lang w:bidi="he-IL"/>
        </w:rPr>
        <w:t xml:space="preserve">"). </w:t>
      </w:r>
      <w:r>
        <w:rPr>
          <w:b w:val="false"/>
          <w:b w:val="false"/>
          <w:bCs w:val="false"/>
          <w:rtl w:val="true"/>
          <w:lang w:bidi="he-IL"/>
        </w:rPr>
        <w:t>באו הלל ושמאי וגזרו שהוא שני גם לתרומה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בני הדור לא קבלו את הגזירה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באו תלמידי בית שמאי עם תל’ בית הלל בעליית חנניה בן חזקיה וגזרו עוד שהוא שני לתרומה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 קבלו את הגזירה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18"/>
      </w:r>
      <w:r>
        <w:rPr>
          <w:rStyle w:val="FootnoteAnchor"/>
          <w:b w:val="false"/>
          <w:bCs w:val="false"/>
          <w:rtl w:val="true"/>
          <w:lang w:bidi="he-IL"/>
        </w:rPr>
        <w:footnoteReference w:id="19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כדי לטהר את ידיו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צריך ליטול אותם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נטילה זו מהני עד שמסיח את דעתו מידיו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אם נטמא תרומה מחמת טומאת ידים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שורפים אותו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20"/>
      </w:r>
      <w:r>
        <w:rPr>
          <w:rStyle w:val="FootnoteAnchor"/>
          <w:b w:val="false"/>
          <w:bCs w:val="false"/>
          <w:rtl w:val="true"/>
          <w:lang w:bidi="he-IL"/>
        </w:rPr>
        <w:footnoteReference w:id="21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שידים עסקניות הם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רש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מבאר שבגלל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מצוי שהם מאוסים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וגנאי הוא לתרומה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גם מביא פשט שבגלל זה חוששים שנגעו בטומאה</w:t>
      </w:r>
      <w:r>
        <w:rPr>
          <w:b w:val="false"/>
          <w:bCs w:val="false"/>
          <w:rtl w:val="true"/>
          <w:lang w:bidi="he-IL"/>
        </w:rPr>
        <w:t>.)</w:t>
      </w:r>
      <w:r>
        <w:rPr>
          <w:rStyle w:val="FootnoteAnchor"/>
          <w:b w:val="false"/>
          <w:bCs w:val="false"/>
          <w:rtl w:val="true"/>
          <w:lang w:bidi="he-IL"/>
        </w:rPr>
        <w:footnoteReference w:id="22"/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/>
          <w:b/>
          <w:bCs/>
          <w:rtl w:val="true"/>
          <w:lang w:bidi="he-IL"/>
        </w:rPr>
        <w:t>ידים שנגעו בספר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ידים שנגעו בספר מתנ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ך הם שני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לא ברור מי גזרו על זה</w:t>
      </w:r>
      <w:r>
        <w:rPr>
          <w:b w:val="false"/>
          <w:bCs w:val="false"/>
          <w:rtl w:val="true"/>
          <w:lang w:bidi="he-IL"/>
        </w:rPr>
        <w:t xml:space="preserve">; </w:t>
      </w:r>
      <w:r>
        <w:rPr>
          <w:b w:val="false"/>
          <w:b w:val="false"/>
          <w:bCs w:val="false"/>
          <w:rtl w:val="true"/>
          <w:lang w:bidi="he-IL"/>
        </w:rPr>
        <w:t xml:space="preserve">עיין במה שדנינו בזה בסיכום 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שמונה עשרה דבר</w:t>
      </w:r>
      <w:r>
        <w:rPr>
          <w:b w:val="false"/>
          <w:bCs w:val="false"/>
          <w:rtl w:val="true"/>
          <w:lang w:bidi="he-IL"/>
        </w:rPr>
        <w:t>.”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וא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ת מה מוסיף תקנה זו על תקנת ידים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מזה מוכיח גמ’ שנתקן קודם תקנת ידים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תוס’ מסביר שמוסיף דין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שאם נגע בספר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ידיו טמאים אף אם לא הסיח דעת מהם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אבל לא היו גוזרים אם רק היה מוסיף אותו דין קטן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23"/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התקנה הוא להרחיק אותו מלגעת בספר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כיון שמי שנוגע בספר בידיו לא מקבל שכר של המצווה שעשה עם הספר אז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24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ארץ העמים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 xml:space="preserve">אויר ארץ העמים וגוש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שיעור גורש ארה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ע שמטמא הוא כפיקה גדולה של סקאין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שהוא שווה לחותם המרצופים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25"/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ארץ העמים מטמאים</w:t>
      </w:r>
      <w:r>
        <w:rPr>
          <w:rStyle w:val="FootnoteAnchor"/>
          <w:b w:val="false"/>
          <w:b w:val="false"/>
          <w:bCs w:val="false"/>
          <w:rtl w:val="true"/>
          <w:lang w:bidi="he-IL"/>
        </w:rPr>
        <w:footnoteReference w:id="26"/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בגמ’ יש דיון ואולי מחלקת אם גזרו על גוש והמאהיל עליו או גם על אויר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יוסי בן יועזר ויוסי בן יוחנן גזרו לתלות מגוש ארץ בעמים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ושמונים שנה קודם חורבן בית שני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רבנן גזרו לתלות גם מאויר אה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ע</w:t>
      </w:r>
      <w:r>
        <w:rPr>
          <w:rStyle w:val="FootnoteAnchor"/>
          <w:b w:val="false"/>
          <w:b w:val="false"/>
          <w:bCs w:val="false"/>
          <w:rtl w:val="true"/>
          <w:lang w:bidi="he-IL"/>
        </w:rPr>
        <w:footnoteReference w:id="27"/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ורבני אושא</w:t>
      </w:r>
      <w:r>
        <w:rPr>
          <w:rStyle w:val="FootnoteAnchor"/>
          <w:b w:val="false"/>
          <w:b w:val="false"/>
          <w:bCs w:val="false"/>
          <w:rtl w:val="true"/>
          <w:lang w:bidi="he-IL"/>
        </w:rPr>
        <w:footnoteReference w:id="28"/>
      </w:r>
      <w:r>
        <w:rPr>
          <w:b w:val="false"/>
          <w:b w:val="false"/>
          <w:bCs w:val="false"/>
          <w:rtl w:val="true"/>
          <w:lang w:bidi="he-IL"/>
        </w:rPr>
        <w:t xml:space="preserve"> גזרו לשרוף מגוש אה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ע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29"/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חולקים אם צריך הזאת מי חטאת כדי להיטהר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30"/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גזירה זו היא שחששו בכל מקום באה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ע שנקבר שם גוי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כלי זכוכית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כלי זכוכית מטמא ככלי מתכת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עם שני חילוקים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 xml:space="preserve">שבירה מטמא אותם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ע’ לקמן</w:t>
      </w:r>
      <w:r>
        <w:rPr>
          <w:b w:val="false"/>
          <w:bCs w:val="false"/>
          <w:rtl w:val="true"/>
          <w:lang w:bidi="he-IL"/>
        </w:rPr>
        <w:t xml:space="preserve">), </w:t>
      </w:r>
      <w:r>
        <w:rPr>
          <w:b w:val="false"/>
          <w:b w:val="false"/>
          <w:bCs w:val="false"/>
          <w:rtl w:val="true"/>
          <w:lang w:bidi="he-IL"/>
        </w:rPr>
        <w:t>ואין פשוטים של כ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ז מקבלים טומאה</w:t>
      </w:r>
      <w:r>
        <w:rPr>
          <w:b w:val="false"/>
          <w:bCs w:val="false"/>
          <w:rtl w:val="true"/>
          <w:lang w:bidi="he-IL"/>
        </w:rPr>
        <w:t>. (</w:t>
      </w:r>
      <w:r>
        <w:rPr>
          <w:b w:val="false"/>
          <w:b w:val="false"/>
          <w:bCs w:val="false"/>
          <w:rtl w:val="true"/>
          <w:lang w:bidi="he-IL"/>
        </w:rPr>
        <w:t>עיין לקמן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שנבאר טעם של אלו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אין שורפים תרומה מח’ טומאה זו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אלא רק תולים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לא פשוט לי אם יש להם טהרה במקווה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31"/>
      </w:r>
      <w:r>
        <w:rPr>
          <w:b w:val="false"/>
          <w:bCs w:val="false"/>
          <w:rtl w:val="true"/>
          <w:lang w:bidi="he-IL"/>
        </w:rPr>
        <w:t xml:space="preserve"> (</w:t>
      </w:r>
      <w:r>
        <w:rPr>
          <w:b w:val="false"/>
          <w:b w:val="false"/>
          <w:bCs w:val="false"/>
          <w:rtl w:val="true"/>
          <w:lang w:bidi="he-IL"/>
        </w:rPr>
        <w:t>אם אין להם טהרה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יש עוד חילוק בינו לבין כלי מתכת</w:t>
      </w:r>
      <w:r>
        <w:rPr>
          <w:b w:val="false"/>
          <w:bCs w:val="false"/>
          <w:rtl w:val="true"/>
          <w:lang w:bidi="he-IL"/>
        </w:rPr>
        <w:t>.)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מצאנו שיוסי ויוסי תקנו זה ומצאנו שרבנן תקנו את זה שמונים שנה קודם החורבן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ולא משיב גמ’ לסתירה זו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שדומים לכלי חרס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כיון שבאים מחול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32"/>
      </w:r>
      <w:r>
        <w:rPr>
          <w:b w:val="false"/>
          <w:bCs w:val="false"/>
          <w:rtl w:val="true"/>
          <w:lang w:bidi="he-IL"/>
        </w:rPr>
        <w:t xml:space="preserve"> </w:t>
      </w:r>
      <w:r>
        <w:rPr>
          <w:b w:val="false"/>
          <w:b w:val="false"/>
          <w:bCs w:val="false"/>
          <w:rtl w:val="true"/>
          <w:lang w:bidi="he-IL"/>
        </w:rPr>
        <w:t>חולקים למה לטומאה שלו יש גדר של כלי מתכת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הוא מפני שיש לו דמיון לכלי מתכת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במה ששניהם יש להם תקנה אם נשתברו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33"/>
      </w:r>
      <w:r>
        <w:rPr>
          <w:b w:val="false"/>
          <w:bCs w:val="false"/>
          <w:rtl w:val="true"/>
          <w:lang w:bidi="he-IL"/>
        </w:rPr>
        <w:t xml:space="preserve">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הסיבה לחילוקים הוא שלא גוזרים בו דינים דרבנן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>של טומאה אחרי שבירה</w:t>
      </w:r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ושמקילים כדי לדעת שלא לשרוף תרומה עליהם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דינם ככלי מתכת כיון שנגיעת חוץ שלהם כביאת תוך של כ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ח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כיון שנראה תוכו מחוצו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34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כלי מתכת שנשבר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אם כלי מתכת נטמא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ונשבר כשיעור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נטהר מדאו’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אבל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מדרבנן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נשאר עליו טומאה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חולקים אם זה רק בטומאת מת או גם בכל טומאות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אולי יש יוצא מכלל זה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והוא כלי שנשבר לגמרי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35"/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שמעון בן שטח תקן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מח’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הוא רק בטומאת מת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הוא כדי שלא יישכח מי חטאת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אם הוא בשאר טומאות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אביי אומר שהוא מפני חשש שלא ישבר אותו כשיעור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ורבא אומר שהוא מחשש שיראה כטהרה בלי הערב שמש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36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בית הפרס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שדה שנאבד בה קבר או שדה שהיה בה קבר ונחרש טמא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שורפים לתרומה שנטמא בזה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רבנים של אושא גזרו על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שחוששים שנטמא בטומאת מת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בגדי עם הארץ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 xml:space="preserve">בגדים של </w:t>
      </w:r>
      <w:r>
        <w:rPr>
          <w:b w:val="false"/>
          <w:b w:val="false"/>
          <w:bCs w:val="false"/>
          <w:rtl w:val="true"/>
          <w:lang w:val="en-US" w:bidi="he-IL"/>
        </w:rPr>
        <w:t>עם הארץ הם טמאים</w:t>
      </w:r>
      <w:r>
        <w:rPr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שורפים לתרומה שנטמא בזה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רבנים של אושא גזרו על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שעם הארץ לא שומר את בגדיו מטומאה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ויש לחוש שאשתו נדה ישבה עליהם ועשה אותם לטומאת משכב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כלים הנמצאים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כלי הנמצא טמא</w:t>
      </w:r>
      <w:r>
        <w:rPr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שורפים לתרומה שנטמא בזה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רבנים של אושא גזרו על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שחוששים שהכלי נטמא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הרוקים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רוק הנמצא טמא</w:t>
      </w:r>
      <w:r>
        <w:rPr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שורפים לתרומה שנטמא בזה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רבנים של אושא גזרו על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שחוששים שרוק זה בא מזב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 הוא טמא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מי רגלים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מי רגלים שנמצא</w:t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אף אם לא יודע אם הם של אדם או של בהמה</w:t>
      </w:r>
      <w:r>
        <w:rPr>
          <w:rStyle w:val="FootnoteAnchor"/>
          <w:b w:val="false"/>
          <w:b w:val="false"/>
          <w:bCs w:val="false"/>
          <w:rtl w:val="true"/>
          <w:lang w:bidi="he-IL"/>
        </w:rPr>
        <w:footnoteReference w:id="37"/>
      </w:r>
      <w:r>
        <w:rPr>
          <w:b w:val="false"/>
          <w:bCs w:val="false"/>
          <w:rtl w:val="true"/>
          <w:lang w:bidi="he-IL"/>
        </w:rPr>
        <w:t xml:space="preserve">- </w:t>
      </w:r>
      <w:r>
        <w:rPr>
          <w:b w:val="false"/>
          <w:b w:val="false"/>
          <w:bCs w:val="false"/>
          <w:rtl w:val="true"/>
          <w:lang w:bidi="he-IL"/>
        </w:rPr>
        <w:t>הם טמאים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שורפים לתרומה שנטמא בזה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רבנים של אושה גזרו על זה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שחוששים שמ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ר אלו באו מן הזב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ואז הם טמאים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מטלטלים כעובי מרדע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מדאו’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כלי נעשה אוהל להמשיך טומאת מת רק אם עוביו הוא טפח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אז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אם הוא גלגל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היקפו צריך להיות שלש טפחים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38"/>
      </w:r>
      <w:r>
        <w:rPr>
          <w:b w:val="false"/>
          <w:bCs w:val="false"/>
          <w:rtl w:val="true"/>
          <w:lang w:bidi="he-IL"/>
        </w:rPr>
        <w:t xml:space="preserve"> </w:t>
      </w:r>
      <w:r>
        <w:rPr>
          <w:b w:val="false"/>
          <w:b w:val="false"/>
          <w:bCs w:val="false"/>
          <w:rtl w:val="true"/>
          <w:lang w:bidi="he-IL"/>
        </w:rPr>
        <w:t>אבל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מדרבנן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 xml:space="preserve">אף אם היקיפו טפח </w:t>
      </w:r>
      <w:r>
        <w:rPr>
          <w:b w:val="false"/>
          <w:bCs w:val="false"/>
          <w:rtl w:val="true"/>
          <w:lang w:bidi="he-IL"/>
        </w:rPr>
        <w:t>(</w:t>
      </w:r>
      <w:r>
        <w:rPr>
          <w:b w:val="false"/>
          <w:b w:val="false"/>
          <w:bCs w:val="false"/>
          <w:rtl w:val="true"/>
          <w:lang w:bidi="he-IL"/>
        </w:rPr>
        <w:t xml:space="preserve">ועוביו הוא </w:t>
      </w:r>
      <w:r>
        <w:rPr>
          <w:b w:val="false"/>
          <w:b w:val="false"/>
          <w:bCs w:val="false"/>
          <w:rtl w:val="true"/>
          <w:lang w:bidi="he-IL"/>
        </w:rPr>
      </w:r>
      <m:oMath xmlns:m="http://schemas.openxmlformats.org/officeDocument/2006/math"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π</m:t>
            </m:r>
          </m:den>
        </m:f>
      </m:oMath>
      <w:r>
        <w:rPr>
          <w:b w:val="false"/>
          <w:bCs w:val="false"/>
          <w:rtl w:val="true"/>
          <w:lang w:bidi="he-IL"/>
        </w:rPr>
        <w:t xml:space="preserve">) </w:t>
      </w:r>
      <w:r>
        <w:rPr>
          <w:b w:val="false"/>
          <w:b w:val="false"/>
          <w:bCs w:val="false"/>
          <w:rtl w:val="true"/>
          <w:lang w:bidi="he-IL"/>
        </w:rPr>
        <w:t>מטמא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בית שמאי ובית הלל תקנו את זה בעלייה של חנניה בן חזקיה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טעם של תקנה זו הוא שחוששים שבני אדם יחשבו שכמו שאינו מטמא כשעביו טפח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כיון שידעו שלא מטמא כשהקיפו טפח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39"/>
      </w:r>
      <w:r>
        <w:rPr>
          <w:rStyle w:val="FootnoteAnchor"/>
          <w:b w:val="false"/>
          <w:bCs w:val="false"/>
          <w:rtl w:val="true"/>
          <w:lang w:bidi="he-IL"/>
        </w:rPr>
        <w:footnoteReference w:id="40"/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rtl w:val="true"/>
          <w:lang w:bidi="he-IL"/>
        </w:rPr>
        <w:t>כל זה שיטת רבי עקיבא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אבל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רבי טרפון סבר שלא גזרו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ואינו מטמא עד שעביו טפח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שאז מטמא מדאו’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תרומה טמאה שזרע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אם אדם זרע תרומה טמאה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אף שמדאו’ נטהר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מדרבנן לא נטהר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41"/>
      </w:r>
      <w:r>
        <w:rPr>
          <w:b w:val="false"/>
          <w:bCs w:val="false"/>
          <w:rtl w:val="true"/>
          <w:lang w:bidi="he-IL"/>
        </w:rPr>
        <w:t xml:space="preserve"> 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טעם של תקנה זו הוא שחוששים שישאיר תרומה טמאה אצלו כדי לזרעו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קודם שיזרע אותו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אולי יאכל אותו באיסור</w:t>
      </w:r>
      <w:r>
        <w:rPr>
          <w:b w:val="false"/>
          <w:bCs w:val="false"/>
          <w:rtl w:val="true"/>
          <w:lang w:bidi="he-IL"/>
        </w:rPr>
        <w:t>.</w:t>
      </w:r>
      <w:r>
        <w:rPr>
          <w:rStyle w:val="FootnoteAnchor"/>
          <w:b w:val="false"/>
          <w:bCs w:val="false"/>
          <w:rtl w:val="true"/>
          <w:lang w:bidi="he-IL"/>
        </w:rPr>
        <w:footnoteReference w:id="42"/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/>
          <w:b/>
          <w:bCs/>
          <w:rtl w:val="true"/>
          <w:lang w:bidi="he-IL"/>
        </w:rPr>
        <w:t>בנות כותים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כל נדה טמאה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ואפילו קטנה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מדאו’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כיון שכותים לא דורשים כן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לא מודיעים לנו על נדות קטנות שלהן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b w:val="false"/>
          <w:b w:val="false"/>
          <w:bCs w:val="false"/>
          <w:rtl w:val="true"/>
          <w:lang w:bidi="he-IL"/>
        </w:rPr>
        <w:t>חוששים שכל קטנה כותית נדה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ש וב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ה גזרו על זה בעליית חנניה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למטה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נבאר הטעם לזה</w:t>
      </w:r>
      <w:r>
        <w:rPr>
          <w:b w:val="false"/>
          <w:bCs w:val="false"/>
          <w:rtl w:val="true"/>
          <w:lang w:bidi="he-IL"/>
        </w:rPr>
        <w:t xml:space="preserve">. </w:t>
      </w:r>
      <w:r>
        <w:rPr>
          <w:rStyle w:val="FootnoteAnchor"/>
          <w:b w:val="false"/>
          <w:bCs w:val="false"/>
          <w:rtl w:val="true"/>
          <w:lang w:bidi="he-IL"/>
        </w:rPr>
        <w:footnoteReference w:id="43"/>
      </w:r>
    </w:p>
    <w:p>
      <w:pPr>
        <w:pStyle w:val="Normal"/>
        <w:bidi w:val="1"/>
        <w:jc w:val="left"/>
        <w:rPr>
          <w:b/>
          <w:bCs/>
          <w:lang w:bidi="he-IL"/>
        </w:rPr>
      </w:pPr>
      <w:r>
        <w:rPr>
          <w:b/>
          <w:b/>
          <w:bCs/>
          <w:rtl w:val="true"/>
          <w:lang w:bidi="he-IL"/>
        </w:rPr>
        <w:t>כל תינוק נכרי מטמא בזיבה</w:t>
      </w:r>
      <w:r>
        <w:rPr>
          <w:b/>
          <w:bCs/>
          <w:rtl w:val="true"/>
          <w:lang w:bidi="he-IL"/>
        </w:rPr>
        <w:t>: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תינוק נכרי מטמא כאילו היה זב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ש וב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ה תקנו את זה בעליית חנניה</w:t>
      </w:r>
      <w:r>
        <w:rPr>
          <w:b w:val="false"/>
          <w:bCs w:val="false"/>
          <w:rtl w:val="true"/>
          <w:lang w:bidi="he-IL"/>
        </w:rPr>
        <w:t>.</w:t>
      </w:r>
    </w:p>
    <w:p>
      <w:pPr>
        <w:pStyle w:val="Normal"/>
        <w:bidi w:val="1"/>
        <w:jc w:val="left"/>
        <w:rPr>
          <w:b w:val="false"/>
          <w:bCs w:val="false"/>
          <w:lang w:bidi="he-IL"/>
        </w:rPr>
      </w:pPr>
      <w:r>
        <w:rPr>
          <w:b w:val="false"/>
          <w:b w:val="false"/>
          <w:bCs w:val="false"/>
          <w:rtl w:val="true"/>
          <w:lang w:bidi="he-IL"/>
        </w:rPr>
        <w:t>תקנו כן כדי שלא יהיה רגיל תינוקות בנ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י לשחק עם תינוקות עכו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ם</w:t>
      </w:r>
      <w:r>
        <w:rPr>
          <w:b w:val="false"/>
          <w:bCs w:val="false"/>
          <w:rtl w:val="true"/>
          <w:lang w:bidi="he-IL"/>
        </w:rPr>
        <w:t xml:space="preserve">, </w:t>
      </w:r>
      <w:r>
        <w:rPr>
          <w:b w:val="false"/>
          <w:b w:val="false"/>
          <w:bCs w:val="false"/>
          <w:rtl w:val="true"/>
          <w:lang w:bidi="he-IL"/>
        </w:rPr>
        <w:t>כיון שתינוקות עכו</w:t>
      </w:r>
      <w:r>
        <w:rPr>
          <w:b w:val="false"/>
          <w:bCs w:val="false"/>
          <w:rtl w:val="true"/>
          <w:lang w:bidi="he-IL"/>
        </w:rPr>
        <w:t>"</w:t>
      </w:r>
      <w:r>
        <w:rPr>
          <w:b w:val="false"/>
          <w:b w:val="false"/>
          <w:bCs w:val="false"/>
          <w:rtl w:val="true"/>
          <w:lang w:bidi="he-IL"/>
        </w:rPr>
        <w:t>ם מרגילים אותם במשכב זכר</w:t>
      </w:r>
      <w:r>
        <w:rPr>
          <w:b w:val="false"/>
          <w:bCs w:val="false"/>
          <w:rtl w:val="true"/>
          <w:lang w:bidi="he-IL"/>
        </w:rPr>
        <w:t xml:space="preserve">. </w:t>
      </w:r>
    </w:p>
    <w:p>
      <w:pPr>
        <w:pStyle w:val="Normal"/>
        <w:bidi w:val="1"/>
        <w:jc w:val="left"/>
        <w:rPr>
          <w:b w:val="false"/>
          <w:bCs w:val="false"/>
        </w:rPr>
      </w:pPr>
      <w:r>
        <w:rPr>
          <w:b/>
          <w:bCs/>
          <w:rtl w:val="true"/>
          <w:lang w:bidi="he-IL"/>
        </w:rPr>
      </w:r>
    </w:p>
    <w:sectPr>
      <w:headerReference w:type="default" r:id="rId2"/>
      <w:footnotePr>
        <w:numFmt w:val="decimal"/>
      </w:footnotePr>
      <w:type w:val="nextPage"/>
      <w:pgSz w:w="11906" w:h="16838"/>
      <w:pgMar w:left="1134" w:right="1134" w:gutter="0" w:header="1134" w:top="1713" w:footer="0" w:bottom="1134"/>
      <w:pgNumType w:fmt="decimal"/>
      <w:formProt w:val="false"/>
      <w:textDirection w:val="lrTb"/>
      <w:bidi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arkisim">
    <w:charset w:val="00"/>
    <w:family w:val="roman"/>
    <w:pitch w:val="variable"/>
  </w:font>
  <w:font w:name="Liberation Serif">
    <w:altName w:val="Times New Roman"/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מעילה יז</w:t>
      </w:r>
      <w:r>
        <w:rPr>
          <w:rtl w:val="true"/>
          <w:lang w:bidi="he-IL"/>
        </w:rPr>
        <w:t>:</w:t>
      </w:r>
    </w:p>
  </w:footnote>
  <w:footnote w:id="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בטעם התקנה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למה תקנו שיעור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שכיון שאוכל 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בפיו ליותר זמן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ויכלו להיות יותר זמן שישתה משקין של תרומה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שאוכל 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ירצה יותר לשתות</w:t>
      </w:r>
      <w:r>
        <w:rPr>
          <w:rtl w:val="true"/>
          <w:lang w:bidi="he-IL"/>
        </w:rPr>
        <w:t>.</w:t>
      </w:r>
    </w:p>
  </w:footnote>
  <w:footnote w:id="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יהיה יותר טמא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שאין זה אותו חומרה שמצאנו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אין ללמוד חומרה זו</w:t>
      </w:r>
      <w:r>
        <w:rPr>
          <w:rtl w:val="true"/>
          <w:lang w:bidi="he-IL"/>
        </w:rPr>
        <w:t>.</w:t>
      </w:r>
    </w:p>
  </w:footnote>
  <w:footnote w:id="5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אלו לימודים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שכל הדין הוא מדרבנן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אלו סיבות שיגידו לרבנן מה לגזור</w:t>
      </w:r>
      <w:r>
        <w:rPr>
          <w:rtl w:val="true"/>
          <w:lang w:bidi="he-IL"/>
        </w:rPr>
        <w:t>.</w:t>
      </w:r>
    </w:p>
  </w:footnote>
  <w:footnote w:id="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חולין לד</w:t>
      </w:r>
      <w:r>
        <w:rPr>
          <w:rtl w:val="true"/>
          <w:lang w:bidi="he-IL"/>
        </w:rPr>
        <w:t>.</w:t>
      </w:r>
    </w:p>
  </w:footnote>
  <w:footnote w:id="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יודעים שאינו 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אף מקילים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אף שלישי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וצריך ביאור</w:t>
      </w:r>
      <w:r>
        <w:rPr>
          <w:rtl w:val="true"/>
          <w:lang w:bidi="he-IL"/>
        </w:rPr>
        <w:t xml:space="preserve">. </w:t>
      </w:r>
    </w:p>
  </w:footnote>
  <w:footnote w:id="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חולין לד</w:t>
      </w:r>
    </w:p>
  </w:footnote>
  <w:footnote w:id="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כן נניח בכל שלא נבאר נגד זה</w:t>
      </w:r>
      <w:r>
        <w:rPr>
          <w:rtl w:val="true"/>
          <w:lang w:bidi="he-IL"/>
        </w:rPr>
        <w:t>.</w:t>
      </w:r>
    </w:p>
  </w:footnote>
  <w:footnote w:id="1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.</w:t>
      </w:r>
    </w:p>
  </w:footnote>
  <w:footnote w:id="1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מעילה יז</w:t>
      </w:r>
      <w:r>
        <w:rPr>
          <w:rtl w:val="true"/>
          <w:lang w:bidi="he-IL"/>
        </w:rPr>
        <w:t>:</w:t>
      </w:r>
    </w:p>
  </w:footnote>
  <w:footnote w:id="1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להעיר שכל משקים ראשונים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דינו שווה לאוכל אוכל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ויהיה בו מחלקת רבי אליעזר ורבי יהושע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לחלק שכאן אין כל כך סיבה לגזור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כמו שאומר גמ’ בשבת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יד</w:t>
      </w:r>
      <w:r>
        <w:rPr>
          <w:rtl w:val="true"/>
          <w:lang w:bidi="he-IL"/>
        </w:rPr>
        <w:t xml:space="preserve">.), </w:t>
      </w:r>
      <w:r>
        <w:rPr>
          <w:rtl w:val="true"/>
          <w:lang w:bidi="he-IL"/>
        </w:rPr>
        <w:t>ואזנ אולי אף רבי אליעזר מקיל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איננו ראשון מדאו’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מדרבנן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אפשר שר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לא מחמיר בו כאוכל ראשון מדאו’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ר בתוס’ שבת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יג</w:t>
      </w:r>
      <w:r>
        <w:rPr>
          <w:rtl w:val="true"/>
          <w:lang w:bidi="he-IL"/>
        </w:rPr>
        <w:t>:).)</w:t>
      </w:r>
    </w:p>
  </w:footnote>
  <w:footnote w:id="1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.</w:t>
      </w:r>
    </w:p>
  </w:footnote>
  <w:footnote w:id="1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.</w:t>
      </w:r>
    </w:p>
  </w:footnote>
  <w:footnote w:id="1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.</w:t>
      </w:r>
    </w:p>
  </w:footnote>
  <w:footnote w:id="1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.</w:t>
      </w:r>
    </w:p>
  </w:footnote>
  <w:footnote w:id="1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אם גזר שהם שני או שלישי</w:t>
      </w:r>
      <w:r>
        <w:rPr>
          <w:rtl w:val="true"/>
          <w:lang w:bidi="he-IL"/>
        </w:rPr>
        <w:t>.</w:t>
      </w:r>
    </w:p>
  </w:footnote>
  <w:footnote w:id="1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ז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לו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שנ’ שחלקו אם צריכים לעשות כגזירה שלא קבלו רוב בני ישראל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לא צריך לשמוע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מובן למה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 וב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 גזרו עוד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צריך להקשיב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שלא חזרו וגזרו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חזרו לקיים את הגזירה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שחזרו והגידו לבני אדם מה שצריכים לעשות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והפעם שמעו להם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למה בתחילה לא רצה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 להגיד להם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שסברו בתחילה שכיון שלא קבלו אותו בנ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אין צריכים להקשיב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שסברו שלא יגידו להם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 עוד פעם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שמסתמא לא ישמעו</w:t>
      </w:r>
      <w:r>
        <w:rPr>
          <w:rtl w:val="true"/>
          <w:lang w:bidi="he-IL"/>
        </w:rPr>
        <w:t>.)</w:t>
      </w:r>
    </w:p>
  </w:footnote>
  <w:footnote w:id="1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:</w:t>
      </w:r>
    </w:p>
  </w:footnote>
  <w:footnote w:id="2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:</w:t>
      </w:r>
    </w:p>
  </w:footnote>
  <w:footnote w:id="2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בהרבה מאלו לא מבאר גמ’ אם לשרוף אם לתלות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ואיני יודע את הדין</w:t>
      </w:r>
      <w:r>
        <w:rPr>
          <w:rtl w:val="true"/>
          <w:lang w:bidi="he-IL"/>
        </w:rPr>
        <w:t>.</w:t>
      </w:r>
    </w:p>
  </w:footnote>
  <w:footnote w:id="2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.</w:t>
      </w:r>
    </w:p>
  </w:footnote>
  <w:footnote w:id="2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:</w:t>
      </w:r>
    </w:p>
  </w:footnote>
  <w:footnote w:id="2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יד</w:t>
      </w:r>
      <w:r>
        <w:rPr>
          <w:rtl w:val="true"/>
          <w:lang w:bidi="he-IL"/>
        </w:rPr>
        <w:t>.</w:t>
      </w:r>
    </w:p>
  </w:footnote>
  <w:footnote w:id="2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בכורות כב</w:t>
      </w:r>
      <w:r>
        <w:rPr>
          <w:rtl w:val="true"/>
          <w:lang w:bidi="he-IL"/>
        </w:rPr>
        <w:t>.</w:t>
      </w:r>
    </w:p>
  </w:footnote>
  <w:footnote w:id="2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איני יודע באיזה דרגה מטמאים</w:t>
      </w:r>
      <w:r>
        <w:rPr>
          <w:rtl w:val="true"/>
          <w:lang w:bidi="he-IL"/>
        </w:rPr>
        <w:t>.</w:t>
      </w:r>
    </w:p>
  </w:footnote>
  <w:footnote w:id="2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צריך להיות כמי שאומר שגזרו על אוירו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שאולי כאן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אויר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 xml:space="preserve">רק רצה לומר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מאהיל על גושו</w:t>
      </w:r>
      <w:r>
        <w:rPr>
          <w:rtl w:val="true"/>
          <w:lang w:bidi="he-IL"/>
        </w:rPr>
        <w:t>.”</w:t>
      </w:r>
    </w:p>
  </w:footnote>
  <w:footnote w:id="2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לא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שהיו הרבנן באושא פעמיים</w:t>
      </w:r>
      <w:r>
        <w:rPr>
          <w:rtl w:val="true"/>
          <w:lang w:bidi="he-IL"/>
        </w:rPr>
        <w:t>.</w:t>
      </w:r>
    </w:p>
  </w:footnote>
  <w:footnote w:id="2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טו</w:t>
      </w:r>
      <w:r>
        <w:rPr>
          <w:rtl w:val="true"/>
          <w:lang w:bidi="he-IL"/>
        </w:rPr>
        <w:t>:</w:t>
      </w:r>
    </w:p>
  </w:footnote>
  <w:footnote w:id="3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נזיר נד</w:t>
      </w:r>
      <w:r>
        <w:rPr>
          <w:rtl w:val="true"/>
          <w:lang w:bidi="he-IL"/>
        </w:rPr>
        <w:t>:</w:t>
      </w:r>
    </w:p>
  </w:footnote>
  <w:footnote w:id="3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בגמ’ שבת טו</w:t>
      </w:r>
      <w:r>
        <w:rPr>
          <w:rtl w:val="true"/>
          <w:lang w:bidi="he-IL"/>
        </w:rPr>
        <w:t xml:space="preserve">:, </w:t>
      </w:r>
      <w:r>
        <w:rPr>
          <w:rtl w:val="true"/>
          <w:lang w:bidi="he-IL"/>
        </w:rPr>
        <w:t>שמדמה אותם לכלי חרס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ומקשה ממשנה שאומר שיש להם טהרה במקווה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דוחה את הקושיה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לקמן מוכרח לומר שיש לו דינים של כלי מתכת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קל לומר שחוזר גם לאותו קושיה לומר שגם דין זה של כלי מתכת יש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כן נ’ קצת מלשון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בד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 טמאתן ישנה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יש לדחות ששם בווודאי לא יהיו דינם ככלי חרס כיון שאין לכ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אותו חומרה</w:t>
      </w:r>
      <w:r>
        <w:rPr>
          <w:rtl w:val="true"/>
          <w:lang w:bidi="he-IL"/>
        </w:rPr>
        <w:t>.</w:t>
      </w:r>
    </w:p>
  </w:footnote>
  <w:footnote w:id="3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כן אומר גמ’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טו</w:t>
      </w:r>
      <w:r>
        <w:rPr>
          <w:rtl w:val="true"/>
          <w:lang w:bidi="he-IL"/>
        </w:rPr>
        <w:t xml:space="preserve">:), </w:t>
      </w:r>
      <w:r>
        <w:rPr>
          <w:rtl w:val="true"/>
          <w:lang w:bidi="he-IL"/>
        </w:rPr>
        <w:t>אבל אפשר שזה נשתנה כשמתרץ גמ’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כיון דכי נשתברו יש להם תקנו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שוינהו ככלי מתכת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שאולי אומר שדמיון שלהם לכלי מתכת הוא הגורם להם טומאה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פשטות לשון הגמ’ לא משמע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פרשנו פי’ אחר</w:t>
      </w:r>
      <w:r>
        <w:rPr>
          <w:rtl w:val="true"/>
          <w:lang w:bidi="he-IL"/>
        </w:rPr>
        <w:t>.</w:t>
      </w:r>
    </w:p>
  </w:footnote>
  <w:footnote w:id="3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גם לכלי חרס יש תקנה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שאין תקנה לו בלי ביטול הכלי</w:t>
      </w:r>
      <w:r>
        <w:rPr>
          <w:rtl w:val="true"/>
          <w:lang w:bidi="he-IL"/>
        </w:rPr>
        <w:t>.</w:t>
      </w:r>
    </w:p>
  </w:footnote>
  <w:footnote w:id="3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 גם יטמא מאוויר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וצריך לע’ אם כן הוא הדין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גזרו על זה כדי שלא לשרוף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צריך לומר שגמ’ מניח שבגלל זה בלחוד לא היינו יכולים לבאר למה רק ממטמא בחוץ ולא בפנים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3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לא יוצא מן הכלל לפי הטעם הראשון שבארנו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אומר את זה לנפקא מינא בין טעם שני לטעם שלישי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ורשי דן לפי איזה מהם יהיה הכלי טהור</w:t>
      </w:r>
      <w:r>
        <w:rPr>
          <w:rtl w:val="true"/>
          <w:lang w:bidi="he-IL"/>
        </w:rPr>
        <w:t>.</w:t>
      </w:r>
    </w:p>
  </w:footnote>
  <w:footnote w:id="3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 אם מעריב שמש יהיה מותר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משמע כן מגמ’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נותן נ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 אחר</w:t>
      </w:r>
      <w:r>
        <w:rPr>
          <w:rtl w:val="true"/>
          <w:lang w:bidi="he-IL"/>
        </w:rPr>
        <w:t>.</w:t>
      </w:r>
    </w:p>
  </w:footnote>
  <w:footnote w:id="3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משמע שברוק צריך להיות שנודע ששל אדם הוא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וצריך לעיין במציאות אם יכולים להבחין בין רוק אדם לרוק בהמה</w:t>
      </w:r>
      <w:r>
        <w:rPr>
          <w:rtl w:val="true"/>
          <w:lang w:bidi="he-IL"/>
        </w:rPr>
        <w:t>.)</w:t>
      </w:r>
    </w:p>
  </w:footnote>
  <w:footnote w:id="3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כדי שיהיה עוביו טפח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להיות שהיקיפו </w:t>
      </w:r>
      <w:r>
        <w:rPr>
          <w:rFonts w:cs="BenOr Rashi" w:ascii="Liberation Serif" w:hAnsi="Liberation Serif"/>
          <w:lang w:bidi="he-IL"/>
        </w:rPr>
        <w:t>π</w:t>
      </w:r>
      <w:r>
        <w:rPr>
          <w:rFonts w:cs="BenOr Rashi" w:ascii="Liberation Serif" w:hAnsi="Liberation Serif"/>
          <w:rtl w:val="true"/>
          <w:lang w:bidi="he-IL"/>
        </w:rPr>
        <w:t xml:space="preserve"> </w:t>
      </w:r>
      <w:r>
        <w:rPr>
          <w:rFonts w:ascii="Liberation Serif" w:hAnsi="Liberation Serif"/>
          <w:rtl w:val="true"/>
          <w:lang w:bidi="he-IL"/>
        </w:rPr>
        <w:t>טפחים</w:t>
      </w:r>
      <w:r>
        <w:rPr>
          <w:rFonts w:cs="BenOr Rashi" w:ascii="Liberation Serif" w:hAnsi="Liberation Serif"/>
          <w:rtl w:val="true"/>
          <w:lang w:bidi="he-IL"/>
        </w:rPr>
        <w:t xml:space="preserve">, </w:t>
      </w:r>
      <w:r>
        <w:rPr>
          <w:rFonts w:ascii="Liberation Serif" w:hAnsi="Liberation Serif"/>
          <w:rtl w:val="true"/>
          <w:lang w:bidi="he-IL"/>
        </w:rPr>
        <w:t>אבל בכ</w:t>
      </w:r>
      <w:r>
        <w:rPr>
          <w:rFonts w:cs="BenOr Rashi" w:ascii="Liberation Serif" w:hAnsi="Liberation Serif"/>
          <w:rtl w:val="true"/>
          <w:lang w:bidi="he-IL"/>
        </w:rPr>
        <w:t>"</w:t>
      </w:r>
      <w:r>
        <w:rPr>
          <w:rFonts w:ascii="Liberation Serif" w:hAnsi="Liberation Serif"/>
          <w:rtl w:val="true"/>
          <w:lang w:bidi="he-IL"/>
        </w:rPr>
        <w:t xml:space="preserve">מ אומר גמ’ שלש במקום </w:t>
      </w:r>
      <w:r>
        <w:rPr>
          <w:rFonts w:cs="BenOr Rashi" w:ascii="Liberation Serif" w:hAnsi="Liberation Serif"/>
          <w:lang w:bidi="he-IL"/>
        </w:rPr>
        <w:t>π</w:t>
      </w:r>
      <w:r>
        <w:rPr>
          <w:rFonts w:cs="BenOr Rashi" w:ascii="Liberation Serif" w:hAnsi="Liberation Serif"/>
          <w:rtl w:val="true"/>
          <w:lang w:bidi="he-IL"/>
        </w:rPr>
        <w:t xml:space="preserve">. </w:t>
      </w:r>
      <w:r>
        <w:rPr>
          <w:rFonts w:ascii="Liberation Serif" w:hAnsi="Liberation Serif"/>
          <w:rtl w:val="true"/>
          <w:lang w:bidi="he-IL"/>
        </w:rPr>
        <w:t>ראשונים דנים אם גמ’ אינו דווקא או שקבעו את הדין כאילו היה שלש</w:t>
      </w:r>
      <w:r>
        <w:rPr>
          <w:rFonts w:cs="BenOr Rashi" w:ascii="Liberation Serif" w:hAnsi="Liberation Serif"/>
          <w:rtl w:val="true"/>
          <w:lang w:bidi="he-IL"/>
        </w:rPr>
        <w:t xml:space="preserve">, </w:t>
      </w:r>
      <w:r>
        <w:rPr>
          <w:rFonts w:ascii="Liberation Serif" w:hAnsi="Liberation Serif"/>
          <w:rtl w:val="true"/>
          <w:lang w:bidi="he-IL"/>
        </w:rPr>
        <w:t>כדי להקל על החשבון</w:t>
      </w:r>
      <w:r>
        <w:rPr>
          <w:rFonts w:cs="BenOr Rashi" w:ascii="Liberation Serif" w:hAnsi="Liberation Serif"/>
          <w:rtl w:val="true"/>
          <w:lang w:bidi="he-IL"/>
        </w:rPr>
        <w:t>.</w:t>
      </w:r>
    </w:p>
  </w:footnote>
  <w:footnote w:id="3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הכוונה שיחשבו שהיקף ועובי יש להם אותו 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ישמעו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וישכחו שנאמר על היקף ולא על עובי</w:t>
      </w:r>
      <w:r>
        <w:rPr>
          <w:rtl w:val="true"/>
          <w:lang w:bidi="he-IL"/>
        </w:rPr>
        <w:t>.</w:t>
      </w:r>
    </w:p>
  </w:footnote>
  <w:footnote w:id="4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יז</w:t>
      </w:r>
      <w:r>
        <w:rPr>
          <w:rtl w:val="true"/>
          <w:lang w:bidi="he-IL"/>
        </w:rPr>
        <w:t>.</w:t>
      </w:r>
    </w:p>
  </w:footnote>
  <w:footnote w:id="4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יש לדון אם גם גזרו עליו טומאה או רק איסור לאכול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נפקא מינא אם היה טמא שני וכדו’</w:t>
      </w:r>
      <w:r>
        <w:rPr>
          <w:rtl w:val="true"/>
          <w:lang w:bidi="he-IL"/>
        </w:rPr>
        <w:t>).</w:t>
      </w:r>
    </w:p>
  </w:footnote>
  <w:footnote w:id="4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שבת יז</w:t>
      </w:r>
      <w:r>
        <w:rPr>
          <w:rtl w:val="true"/>
          <w:lang w:bidi="he-IL"/>
        </w:rPr>
        <w:t>:</w:t>
      </w:r>
    </w:p>
  </w:footnote>
  <w:footnote w:id="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צריך לע’ בסוגיה בנדה </w:t>
      </w:r>
      <w:r>
        <w:rPr>
          <w:rtl w:val="true"/>
        </w:rPr>
        <w:t>(</w:t>
      </w:r>
      <w:r>
        <w:rPr>
          <w:rtl w:val="true"/>
        </w:rPr>
        <w:t>לא</w:t>
      </w:r>
      <w:r>
        <w:rPr>
          <w:rtl w:val="true"/>
        </w:rPr>
        <w:t xml:space="preserve">:, </w:t>
      </w:r>
      <w:r>
        <w:rPr>
          <w:rtl w:val="true"/>
        </w:rPr>
        <w:t>לב</w:t>
      </w:r>
      <w:r>
        <w:rPr>
          <w:rtl w:val="true"/>
        </w:rPr>
        <w:t xml:space="preserve">.). </w:t>
      </w:r>
      <w:r>
        <w:rPr>
          <w:rtl w:val="true"/>
        </w:rPr>
        <w:t>משם יוצא שחוששים רק לפי רבי מאיר</w:t>
      </w:r>
      <w:r>
        <w:rPr>
          <w:rtl w:val="true"/>
        </w:rPr>
        <w:t xml:space="preserve">, </w:t>
      </w:r>
      <w:r>
        <w:rPr>
          <w:rtl w:val="true"/>
        </w:rPr>
        <w:t>כיון שחיישינן למועט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שרבי מאיר סובר כן רק מדרבנן</w:t>
      </w:r>
      <w:r>
        <w:rPr>
          <w:rtl w:val="true"/>
        </w:rPr>
        <w:t xml:space="preserve">, </w:t>
      </w:r>
      <w:r>
        <w:rPr>
          <w:rtl w:val="true"/>
        </w:rPr>
        <w:t>שהרי רואים מכאן שהיה גזירה</w:t>
      </w:r>
      <w:r>
        <w:rPr>
          <w:rtl w:val="true"/>
        </w:rPr>
        <w:t xml:space="preserve">, </w:t>
      </w:r>
      <w:r>
        <w:rPr>
          <w:rtl w:val="true"/>
        </w:rPr>
        <w:t>שכל שמונה עשרה דברים אלו הם תקנות</w:t>
      </w:r>
      <w:r>
        <w:rPr>
          <w:rtl w:val="true"/>
        </w:rPr>
        <w:t xml:space="preserve">. </w:t>
      </w:r>
      <w:r>
        <w:rPr>
          <w:rtl w:val="true"/>
        </w:rPr>
        <w:t xml:space="preserve">תוס’ שם דוחה שכאן מיעוט שלא מצוי הוא שתהיה נדה בשעת לידה </w:t>
      </w:r>
      <w:r>
        <w:rPr>
          <w:rtl w:val="true"/>
        </w:rPr>
        <w:t>(</w:t>
      </w:r>
      <w:r>
        <w:rPr>
          <w:rtl w:val="true"/>
        </w:rPr>
        <w:t>אף שגמ’ שם מביא מעשה לומר שמיעוט המצוי הוא שתהיה נדה בתוך שלשה יום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רצה לומר שאם זה קרה</w:t>
      </w:r>
      <w:r>
        <w:rPr>
          <w:rtl w:val="true"/>
        </w:rPr>
        <w:t xml:space="preserve">, </w:t>
      </w:r>
      <w:r>
        <w:rPr>
          <w:rtl w:val="true"/>
        </w:rPr>
        <w:t>בוודאי ראייה אחריו הוא מיעוט המצוי</w:t>
      </w:r>
      <w:r>
        <w:rPr>
          <w:rtl w:val="true"/>
        </w:rPr>
        <w:t xml:space="preserve">), </w:t>
      </w:r>
      <w:r>
        <w:rPr>
          <w:rtl w:val="true"/>
        </w:rPr>
        <w:t>ואז יש חזקה שאומר שלא לחוש למיעוט המצוי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אם כן זה רק שיטת רבי מאיר</w:t>
      </w:r>
      <w:r>
        <w:rPr>
          <w:rtl w:val="true"/>
        </w:rPr>
        <w:t xml:space="preserve">, </w:t>
      </w:r>
      <w:r>
        <w:rPr>
          <w:rtl w:val="true"/>
        </w:rPr>
        <w:t>והחולקים לא יהיה להם שמונה עשרה דבר</w:t>
      </w:r>
      <w:r>
        <w:rPr>
          <w:rtl w:val="true"/>
        </w:rPr>
        <w:t xml:space="preserve">. </w:t>
      </w:r>
      <w:r>
        <w:rPr>
          <w:rtl w:val="true"/>
        </w:rPr>
        <w:t>תוס’ תי’ שיש טעם אחר לגזי’ זה</w:t>
      </w:r>
      <w:r>
        <w:rPr>
          <w:rtl w:val="true"/>
        </w:rPr>
        <w:t xml:space="preserve">, </w:t>
      </w:r>
      <w:r>
        <w:rPr>
          <w:rtl w:val="true"/>
        </w:rPr>
        <w:t>והוא שלא נטמע בכותים</w:t>
      </w:r>
      <w:r>
        <w:rPr>
          <w:rtl w:val="true"/>
        </w:rPr>
        <w:t xml:space="preserve">, </w:t>
      </w:r>
      <w:r>
        <w:rPr>
          <w:rtl w:val="true"/>
        </w:rPr>
        <w:t>אלא שגמ’ שם קאי על המשנה</w:t>
      </w:r>
      <w:r>
        <w:rPr>
          <w:rtl w:val="true"/>
        </w:rPr>
        <w:t xml:space="preserve">, </w:t>
      </w:r>
      <w:r>
        <w:rPr>
          <w:rtl w:val="true"/>
        </w:rPr>
        <w:t>ומאותו משנה מוכרח לומר הטעם של חשש למיעוט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שבמשנה ממשיך לומר שכותים מונות נדה באופן חלוק משאנו מונים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אם כן נגזור על קטנות מחמת זה</w:t>
      </w:r>
      <w:r>
        <w:rPr>
          <w:rtl w:val="true"/>
        </w:rPr>
        <w:t xml:space="preserve">. </w:t>
      </w:r>
      <w:r>
        <w:rPr>
          <w:rtl w:val="true"/>
        </w:rPr>
        <w:t>ויש לומר שזה רק נוגע לומר שטבילות לא יטהרו כמו שהיו מטהרים אם היו כדינם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מי שמטביל קטנה</w:t>
      </w:r>
      <w:r>
        <w:rPr>
          <w:rtl w:val="true"/>
        </w:rPr>
        <w:t xml:space="preserve">, </w:t>
      </w:r>
      <w:r>
        <w:rPr>
          <w:rtl w:val="true"/>
        </w:rPr>
        <w:t>ואז זה לא ישנה כלום</w:t>
      </w:r>
      <w:r>
        <w:rPr>
          <w:rtl w:val="true"/>
        </w:rPr>
        <w:t xml:space="preserve">, </w:t>
      </w:r>
      <w:r>
        <w:rPr>
          <w:rtl w:val="true"/>
        </w:rPr>
        <w:t>ואילו היו מודיעים לנו על נדות</w:t>
      </w:r>
      <w:r>
        <w:rPr>
          <w:rtl w:val="true"/>
        </w:rPr>
        <w:t xml:space="preserve">, </w:t>
      </w:r>
      <w:r>
        <w:rPr>
          <w:rtl w:val="true"/>
        </w:rPr>
        <w:t>לא היה זה סיבה לטמא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rFonts w:cs="SBL Hebrew"/>
        <w:b/>
        <w:bCs/>
        <w:lang w:bidi="he-IL"/>
      </w:rPr>
    </w:pPr>
    <w:r>
      <w:rPr>
        <w:rFonts w:cs="SBL Hebrew"/>
        <w:b/>
        <w:b/>
        <w:bCs/>
        <w:rtl w:val="true"/>
        <w:lang w:bidi="he-IL"/>
      </w:rPr>
      <w:t>טומאות דרבנן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basedOn w:val="DefaultParagraphFont"/>
    <w:qFormat/>
    <w:rPr>
      <w:rFonts w:ascii="Times New Roman" w:hAnsi="Times New Roman" w:eastAsia="Times New Roman" w:cs="Times New Roman"/>
      <w:sz w:val="20"/>
      <w:szCs w:val="20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  <w:szCs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NormalTable">
    <w:name w:val="Normal Table"/>
    <w:qFormat/>
    <w:pPr>
      <w:widowControl/>
      <w:suppressAutoHyphens w:val="true"/>
      <w:bidi w:val="0"/>
      <w:jc w:val="left"/>
      <w:textAlignment w:val="auto"/>
    </w:pPr>
    <w:rPr>
      <w:rFonts w:ascii="Times New Roman" w:hAnsi="Times New Roman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Footnote">
    <w:name w:val="Footnote Text"/>
    <w:basedOn w:val="Normal"/>
    <w:pPr>
      <w:tabs/>
      <w:bidi w:val="1"/>
      <w:ind w:left="340" w:right="0" w:hanging="340"/>
      <w:jc w:val="left"/>
    </w:pPr>
    <w:rPr>
      <w:rFonts w:cs="BenOr Rashi"/>
      <w:szCs w:val="20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1075</TotalTime>
  <Application>LibreOffice/7.5.3.2$Windows_X86_64 LibreOffice_project/9f56dff12ba03b9acd7730a5a481eea045e468f3</Application>
  <AppVersion>15.0000</AppVersion>
  <Pages>3</Pages>
  <Words>2079</Words>
  <Characters>8355</Characters>
  <CharactersWithSpaces>10306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2024-05-09T21:45:11Z</dcterms:created>
  <dc:creator/>
  <dc:description/>
  <dc:language>en-GB</dc:language>
  <cp:lastModifiedBy/>
  <dcterms:modified xsi:type="dcterms:W3CDTF">2024-05-10T15:41:43Z</dcterms:modified>
  <cp:revision>83</cp:revision>
  <dc:subject/>
  <dc:title/>
</cp:coreProperties>
</file>