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bidi w:val="1"/>
        <w:jc w:val="left"/>
        <w:rPr>
          <w:rFonts w:cs="Shofar"/>
        </w:rPr>
      </w:pPr>
      <w:r>
        <w:rPr>
          <w:rFonts w:cs="Shofar"/>
          <w:rtl w:val="true"/>
          <w:lang w:bidi="he-IL"/>
        </w:rPr>
        <w:t>נתנו את העירוב בחיצונה</w:t>
      </w:r>
      <w:r>
        <w:rPr>
          <w:rFonts w:cs="Shofar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שכח אחד מן הפנימיות</w:t>
      </w:r>
      <w:r>
        <w:rPr>
          <w:rFonts w:cs="Shofar"/>
          <w:rtl w:val="true"/>
          <w:lang w:bidi="he-IL"/>
        </w:rPr>
        <w:t xml:space="preserve">- </w:t>
      </w:r>
      <w:r>
        <w:rPr>
          <w:rFonts w:cs="Shofar"/>
          <w:rtl w:val="true"/>
          <w:lang w:bidi="he-IL"/>
        </w:rPr>
        <w:t>שתיהן אסורות</w:t>
      </w:r>
      <w:r>
        <w:rPr>
          <w:rFonts w:cs="Shofar"/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לא יכול לבטל לבני פנימי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שאינם גרים עמו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שעירובם בחוץ</w:t>
      </w:r>
      <w:r>
        <w:rPr>
          <w:rFonts w:cs="Shofar"/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לא יכול לבטל לבני החיצונה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שאין ביטול רשות מחצר לחצר</w:t>
      </w:r>
      <w:r>
        <w:rPr>
          <w:rFonts w:cs="Shofar"/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שכח אחד מן החיצוניות</w:t>
      </w:r>
      <w:r>
        <w:rPr>
          <w:rFonts w:cs="Shofar"/>
          <w:rtl w:val="true"/>
          <w:lang w:bidi="he-IL"/>
        </w:rPr>
        <w:t xml:space="preserve">- </w:t>
      </w:r>
      <w:r>
        <w:rPr>
          <w:rFonts w:cs="Shofar"/>
          <w:rtl w:val="true"/>
          <w:lang w:bidi="he-IL"/>
        </w:rPr>
        <w:t>שתיהן אסורות</w:t>
      </w:r>
      <w:r>
        <w:rPr>
          <w:rFonts w:cs="Shofar"/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לא יכול לבטל לבני החיצון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שעדיין בני הפנימי אוסרים עליו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>הם לא יכולים לשמש במקום שלהם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שלא עירבו שם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והם רגל האסור במקומם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>אז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הם אוסרים במקום אחר</w:t>
      </w:r>
      <w:r>
        <w:rPr>
          <w:rFonts w:cs="Shofar"/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לא יכול לבטל לבני הפנימי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שאין ביטול מרשות לרשות</w:t>
      </w:r>
      <w:r>
        <w:rPr>
          <w:rFonts w:cs="Shofar"/>
          <w:rtl w:val="true"/>
          <w:lang w:bidi="he-IL"/>
        </w:rPr>
        <w:t>.</w:t>
      </w:r>
      <w:r>
        <w:rPr>
          <w:rStyle w:val="FootnoteAnchor"/>
          <w:rFonts w:cs="Shofar"/>
          <w:rtl w:val="true"/>
          <w:lang w:bidi="he-IL"/>
        </w:rPr>
        <w:footnoteReference w:id="2"/>
      </w:r>
    </w:p>
    <w:p>
      <w:pPr>
        <w:pStyle w:val="Normal"/>
        <w:numPr>
          <w:ilvl w:val="0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נתנו את העירוב בפנימית</w:t>
      </w:r>
      <w:r>
        <w:rPr>
          <w:rFonts w:cs="Shofar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שכח אחד מן הפנימית</w:t>
      </w:r>
      <w:r>
        <w:rPr>
          <w:rFonts w:cs="Shofar"/>
          <w:rtl w:val="true"/>
          <w:lang w:bidi="he-IL"/>
        </w:rPr>
        <w:t xml:space="preserve">- </w:t>
      </w:r>
      <w:r>
        <w:rPr>
          <w:rFonts w:cs="Shofar"/>
          <w:rtl w:val="true"/>
          <w:lang w:bidi="he-IL"/>
        </w:rPr>
        <w:t>שתיהן אסורות</w:t>
      </w:r>
      <w:r>
        <w:rPr>
          <w:rFonts w:cs="Shofar"/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לא יכול לבטל לבני פנימי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שאף אם ביטל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לא ביטל לבני חיצון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והם אוסרים עליו</w:t>
      </w:r>
      <w:r>
        <w:rPr>
          <w:rFonts w:cs="Shofar"/>
          <w:rtl w:val="true"/>
          <w:lang w:bidi="he-IL"/>
        </w:rPr>
        <w:t>. (</w:t>
      </w:r>
      <w:r>
        <w:rPr>
          <w:rFonts w:cs="Shofar"/>
          <w:rtl w:val="true"/>
          <w:lang w:bidi="he-IL"/>
        </w:rPr>
        <w:t>וא</w:t>
      </w:r>
      <w:r>
        <w:rPr>
          <w:rFonts w:cs="Shofar"/>
          <w:rtl w:val="true"/>
          <w:lang w:bidi="he-IL"/>
        </w:rPr>
        <w:t>"</w:t>
      </w:r>
      <w:r>
        <w:rPr>
          <w:rFonts w:cs="Shofar"/>
          <w:rtl w:val="true"/>
          <w:lang w:bidi="he-IL"/>
        </w:rPr>
        <w:t>ת הם לא שייכים לכאן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>ויש לומר שכיון שעירבו עמהם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שייכים</w:t>
      </w:r>
      <w:r>
        <w:rPr>
          <w:rFonts w:cs="Shofar"/>
          <w:rtl w:val="true"/>
          <w:lang w:bidi="he-IL"/>
        </w:rPr>
        <w:t>.)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  <w:t>שכח אחד מן החיצונה</w:t>
      </w:r>
      <w:r>
        <w:rPr>
          <w:rFonts w:cs="Shofar"/>
          <w:rtl w:val="true"/>
          <w:lang w:bidi="he-IL"/>
        </w:rPr>
        <w:t xml:space="preserve">- </w:t>
      </w:r>
      <w:r>
        <w:rPr>
          <w:rFonts w:cs="Shofar"/>
          <w:rtl w:val="true"/>
          <w:lang w:bidi="he-IL"/>
        </w:rPr>
        <w:t>הפנימית מותרת והחיצונה אסורה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 xml:space="preserve">הפנימית מותרת כיון שאין בני החיצון שלא יכולים לטלטל אוסרים על בני הפנימי </w:t>
      </w:r>
      <w:r>
        <w:rPr>
          <w:rFonts w:cs="Shofar"/>
          <w:rtl w:val="true"/>
          <w:lang w:bidi="he-IL"/>
        </w:rPr>
        <w:t>(</w:t>
      </w:r>
      <w:r>
        <w:rPr>
          <w:rFonts w:cs="Shofar"/>
          <w:rtl w:val="true"/>
          <w:lang w:bidi="he-IL"/>
        </w:rPr>
        <w:t>שיש שם מחיצה</w:t>
      </w:r>
      <w:r>
        <w:rPr>
          <w:rFonts w:cs="Shofar"/>
          <w:rtl w:val="true"/>
          <w:lang w:bidi="he-IL"/>
        </w:rPr>
        <w:t xml:space="preserve">). </w:t>
      </w:r>
      <w:r>
        <w:rPr>
          <w:rFonts w:cs="Shofar"/>
          <w:rtl w:val="true"/>
          <w:lang w:bidi="he-IL"/>
        </w:rPr>
        <w:t>כיון שיש לבני הפנימי עירוב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מותרים לטלטל</w:t>
      </w:r>
      <w:r>
        <w:rPr>
          <w:rFonts w:cs="Shofar"/>
          <w:rtl w:val="true"/>
          <w:lang w:bidi="he-IL"/>
        </w:rPr>
        <w:t>. (</w:t>
      </w:r>
      <w:r>
        <w:rPr>
          <w:rFonts w:cs="Shofar"/>
          <w:rtl w:val="true"/>
          <w:lang w:bidi="he-IL"/>
        </w:rPr>
        <w:t>קשה למה לא אומרים כמש</w:t>
      </w:r>
      <w:r>
        <w:rPr>
          <w:rFonts w:cs="Shofar"/>
          <w:rtl w:val="true"/>
          <w:lang w:bidi="he-IL"/>
        </w:rPr>
        <w:t>"</w:t>
      </w:r>
      <w:r>
        <w:rPr>
          <w:rFonts w:cs="Shofar"/>
          <w:rtl w:val="true"/>
          <w:lang w:bidi="he-IL"/>
        </w:rPr>
        <w:t>א לעיל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שכיון שבני החיצון נתערבו עמהם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יאסרו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>רש</w:t>
      </w:r>
      <w:r>
        <w:rPr>
          <w:rFonts w:cs="Shofar"/>
          <w:rtl w:val="true"/>
          <w:lang w:bidi="he-IL"/>
        </w:rPr>
        <w:t>"</w:t>
      </w:r>
      <w:r>
        <w:rPr>
          <w:rFonts w:cs="Shofar"/>
          <w:rtl w:val="true"/>
          <w:lang w:bidi="he-IL"/>
        </w:rPr>
        <w:t>י באר שהוא מפני שרק עשו עירוב כדי לעשות הטוב להם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>אבל</w:t>
      </w:r>
      <w:r>
        <w:rPr>
          <w:rFonts w:cs="Shofar"/>
          <w:rtl w:val="true"/>
          <w:lang w:bidi="he-IL"/>
        </w:rPr>
        <w:t xml:space="preserve">, </w:t>
      </w:r>
      <w:r>
        <w:rPr>
          <w:rFonts w:cs="Shofar"/>
          <w:rtl w:val="true"/>
          <w:lang w:bidi="he-IL"/>
        </w:rPr>
        <w:t>קשה שנאמר כן גם כששכח מבני הפנימי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 xml:space="preserve">צריך לומר שרק אומרים כן אם מפני טעות שלהם </w:t>
      </w:r>
      <w:r>
        <w:rPr>
          <w:rFonts w:cs="Shofar"/>
          <w:rtl w:val="true"/>
          <w:lang w:bidi="he-IL"/>
        </w:rPr>
        <w:t>(</w:t>
      </w:r>
      <w:r>
        <w:rPr>
          <w:rFonts w:cs="Shofar"/>
          <w:rtl w:val="true"/>
          <w:lang w:bidi="he-IL"/>
        </w:rPr>
        <w:t>של בני החיצון</w:t>
      </w:r>
      <w:r>
        <w:rPr>
          <w:rFonts w:cs="Shofar"/>
          <w:rtl w:val="true"/>
          <w:lang w:bidi="he-IL"/>
        </w:rPr>
        <w:t xml:space="preserve">) </w:t>
      </w:r>
      <w:r>
        <w:rPr>
          <w:rFonts w:cs="Shofar"/>
          <w:rtl w:val="true"/>
          <w:lang w:bidi="he-IL"/>
        </w:rPr>
        <w:t>בא הרע</w:t>
      </w:r>
      <w:r>
        <w:rPr>
          <w:rFonts w:cs="Shofar"/>
          <w:rtl w:val="true"/>
          <w:lang w:bidi="he-IL"/>
        </w:rPr>
        <w:t xml:space="preserve">. </w:t>
      </w:r>
      <w:r>
        <w:rPr>
          <w:rFonts w:cs="Shofar"/>
          <w:rtl w:val="true"/>
          <w:lang w:bidi="he-IL"/>
        </w:rPr>
        <w:t>ותחשב</w:t>
      </w:r>
      <w:r>
        <w:rPr>
          <w:rFonts w:cs="Shofar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cs="Shofar"/>
          <w:lang w:bidi="he-IL"/>
        </w:rPr>
      </w:pPr>
      <w:r>
        <w:rPr>
          <w:rFonts w:cs="Shofar"/>
          <w:rtl w:val="true"/>
          <w:lang w:bidi="he-IL"/>
        </w:rPr>
      </w:r>
    </w:p>
    <w:p>
      <w:pPr>
        <w:pStyle w:val="Normal"/>
        <w:bidi w:val="1"/>
        <w:jc w:val="left"/>
        <w:rPr>
          <w:rFonts w:cs="Shofar"/>
          <w:sz w:val="12"/>
          <w:szCs w:val="12"/>
          <w:lang w:bidi="he-IL"/>
        </w:rPr>
      </w:pPr>
      <w:r>
        <w:rPr>
          <w:rFonts w:cs="Shofar"/>
          <w:sz w:val="12"/>
          <w:sz w:val="11"/>
          <w:szCs w:val="12"/>
          <w:rtl w:val="true"/>
          <w:lang w:bidi="he-IL"/>
        </w:rPr>
        <w:t>כתבתי כל זה רק על פי הסוגיה בסו</w:t>
      </w:r>
      <w:r>
        <w:rPr>
          <w:rFonts w:cs="Shofar"/>
          <w:sz w:val="12"/>
          <w:szCs w:val="12"/>
          <w:rtl w:val="true"/>
          <w:lang w:bidi="he-IL"/>
        </w:rPr>
        <w:t xml:space="preserve">. </w:t>
      </w:r>
      <w:r>
        <w:rPr>
          <w:rFonts w:cs="Shofar"/>
          <w:sz w:val="12"/>
          <w:sz w:val="11"/>
          <w:szCs w:val="12"/>
          <w:rtl w:val="true"/>
          <w:lang w:bidi="he-IL"/>
        </w:rPr>
        <w:t xml:space="preserve">צריך לחזור על זה כשנגיע לגמ’ לקמן </w:t>
      </w:r>
      <w:r>
        <w:rPr>
          <w:rFonts w:cs="Shofar"/>
          <w:sz w:val="12"/>
          <w:szCs w:val="12"/>
          <w:rtl w:val="true"/>
          <w:lang w:bidi="he-IL"/>
        </w:rPr>
        <w:t>(</w:t>
      </w:r>
      <w:r>
        <w:rPr>
          <w:rFonts w:cs="Shofar"/>
          <w:sz w:val="12"/>
          <w:sz w:val="11"/>
          <w:szCs w:val="12"/>
          <w:rtl w:val="true"/>
          <w:lang w:bidi="he-IL"/>
        </w:rPr>
        <w:t>עה</w:t>
      </w:r>
      <w:r>
        <w:rPr>
          <w:rFonts w:cs="Shofar"/>
          <w:sz w:val="12"/>
          <w:szCs w:val="12"/>
          <w:rtl w:val="true"/>
          <w:lang w:bidi="he-IL"/>
        </w:rPr>
        <w:t xml:space="preserve">) </w:t>
      </w:r>
      <w:r>
        <w:rPr>
          <w:rFonts w:cs="Shofar"/>
          <w:sz w:val="12"/>
          <w:sz w:val="11"/>
          <w:szCs w:val="12"/>
          <w:rtl w:val="true"/>
          <w:lang w:bidi="he-IL"/>
        </w:rPr>
        <w:t>שיבאר את זה יותר</w:t>
      </w:r>
      <w:r>
        <w:rPr>
          <w:rFonts w:cs="Shofar"/>
          <w:sz w:val="12"/>
          <w:szCs w:val="12"/>
          <w:rtl w:val="true"/>
          <w:lang w:bidi="he-IL"/>
        </w:rPr>
        <w:t>.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853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Arial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הענין כאן הוא שבוודאי לא יכול לבטל את רשות שלו לבני הפנימי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בני חצר אחרת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רק יכול לבטל לבני החיצון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אז נמצא שעירוב של בני הפנימי הוא במקום שאינו מותר להם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שבוודאי אין זה עירוב שלהם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ביטול מועיל להם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עירוב כשר להם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שאסור לבני פנימי לטלטל במקומם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הם רגל האסור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הם אוסרים</w:t>
      </w:r>
      <w:r>
        <w:rPr>
          <w:rtl w:val="true"/>
          <w:lang w:bidi="he-IL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Shofar"/>
        <w:b w:val="false"/>
        <w:bCs w:val="false"/>
        <w:sz w:val="22"/>
        <w:szCs w:val="22"/>
        <w:lang w:bidi="he-IL"/>
      </w:rPr>
    </w:pPr>
    <w:r>
      <w:rPr>
        <w:rFonts w:cs="Shofar"/>
        <w:b w:val="false"/>
        <w:b w:val="false"/>
        <w:bCs w:val="false"/>
        <w:sz w:val="22"/>
        <w:sz w:val="22"/>
        <w:szCs w:val="22"/>
        <w:rtl w:val="true"/>
        <w:lang w:bidi="he-IL"/>
      </w:rPr>
      <w:t>שיטת רבא בביטול רשות מחצר לחצר</w:t>
    </w:r>
  </w:p>
  <w:p>
    <w:pPr>
      <w:pStyle w:val="Header"/>
      <w:bidi w:val="1"/>
      <w:jc w:val="center"/>
      <w:rPr>
        <w:rFonts w:cs="Shofar"/>
        <w:b w:val="false"/>
        <w:bCs w:val="false"/>
        <w:sz w:val="18"/>
        <w:szCs w:val="18"/>
        <w:lang w:bidi="he-IL"/>
      </w:rPr>
    </w:pPr>
    <w:r>
      <w:rPr>
        <w:rFonts w:cs="Shofar"/>
        <w:b w:val="false"/>
        <w:b w:val="false"/>
        <w:bCs w:val="false"/>
        <w:sz w:val="18"/>
        <w:sz w:val="18"/>
        <w:szCs w:val="18"/>
        <w:rtl w:val="true"/>
        <w:lang w:bidi="he-IL"/>
      </w:rPr>
      <w:t>בשני חצירות זה לפנים מזה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SimSun" w:cs="Times New Roman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ptos" w:hAnsi="Aptos" w:eastAsia="NSimSun" w:cs="Times New Roman"/>
      <w:color w:val="auto"/>
      <w:kern w:val="2"/>
      <w:sz w:val="24"/>
      <w:szCs w:val="24"/>
      <w:lang w:val="en-US" w:eastAsia="zh-CN" w:bidi="hi-IN"/>
    </w:rPr>
  </w:style>
  <w:style w:type="character" w:styleId="LineNumbering">
    <w:name w:val="Line Number"/>
    <w:rPr/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Anchor">
    <w:name w:val="Footnote Reference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Times New Roma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ptos" w:hAnsi="Aptos"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 w:cs="Times New Roman"/>
    </w:rPr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next w:val="DefinitionTerm"/>
    <w:qFormat/>
    <w:pPr>
      <w:ind w:left="360" w:hanging="0"/>
    </w:pPr>
    <w:rPr/>
  </w:style>
  <w:style w:type="paragraph" w:styleId="H1">
    <w:name w:val="H1"/>
    <w:basedOn w:val="Normal"/>
    <w:next w:val="Normal"/>
    <w:qFormat/>
    <w:pPr>
      <w:keepNext w:val="true"/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next w:val="Normal"/>
    <w:qFormat/>
    <w:pPr>
      <w:keepNext w:val="true"/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next w:val="Normal"/>
    <w:qFormat/>
    <w:pPr>
      <w:keepNext w:val="true"/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next w:val="Normal"/>
    <w:qFormat/>
    <w:pPr>
      <w:keepNext w:val="true"/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next w:val="Normal"/>
    <w:qFormat/>
    <w:pPr>
      <w:keepNext w:val="true"/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next w:val="Normal"/>
    <w:qFormat/>
    <w:pPr>
      <w:keepNext w:val="true"/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next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">
    <w:name w:val="z-Bottom of Form"/>
    <w:next w:val="Normal"/>
    <w:qFormat/>
    <w:pPr>
      <w:widowControl/>
      <w:pBdr>
        <w:top w:val="double" w:sz="2" w:space="0" w:color="000000"/>
      </w:pBdr>
      <w:bidi w:val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TopofForm">
    <w:name w:val="z-Top of Form"/>
    <w:next w:val="Normal"/>
    <w:qFormat/>
    <w:pPr>
      <w:widowControl/>
      <w:pBdr>
        <w:bottom w:val="double" w:sz="2" w:space="0" w:color="000000"/>
      </w:pBdr>
      <w:bidi w:val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LibreOffice/7.5.3.2$Windows_X86_64 LibreOffice_project/9f56dff12ba03b9acd7730a5a481eea045e468f3</Application>
  <AppVersion>15.0000</AppVersion>
  <Pages>1</Pages>
  <Words>289</Words>
  <Characters>1206</Characters>
  <CharactersWithSpaces>1469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2024-12-12T20:58:08Z</dcterms:created>
  <dc:creator>שאול חייט</dc:creator>
  <dc:description/>
  <dc:language>en-US</dc:language>
  <cp:lastModifiedBy>שאול חייט</cp:lastModifiedBy>
  <dcterms:modified xsi:type="dcterms:W3CDTF">2024-12-12T21:22:26Z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</Properties>
</file>