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left"/>
        <w:rPr/>
      </w:pPr>
      <w:r>
        <w:rPr>
          <w:rtl w:val="true"/>
        </w:rPr>
        <w:t xml:space="preserve">מגמרא פסחים </w:t>
      </w:r>
      <w:r>
        <w:rPr>
          <w:rtl w:val="true"/>
        </w:rPr>
        <w:t>(</w:t>
      </w:r>
      <w:r>
        <w:rPr>
          <w:rtl w:val="true"/>
        </w:rPr>
        <w:t>כד</w:t>
      </w:r>
      <w:r>
        <w:rPr>
          <w:rtl w:val="true"/>
        </w:rPr>
        <w:t>-</w:t>
      </w:r>
      <w:r>
        <w:rPr>
          <w:rtl w:val="true"/>
        </w:rPr>
        <w:t>כו</w:t>
      </w:r>
      <w:r>
        <w:rPr>
          <w:rtl w:val="true"/>
        </w:rPr>
        <w:t xml:space="preserve">) </w:t>
      </w:r>
      <w:r>
        <w:rPr>
          <w:rtl w:val="true"/>
        </w:rPr>
        <w:t>יוצא כמה מקומות שמה שהיה רגיל להיות אסור לא נאסר</w:t>
      </w:r>
      <w:r>
        <w:rPr>
          <w:rtl w:val="true"/>
        </w:rPr>
        <w:t>: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לא כדרכו</w:t>
      </w:r>
      <w:r>
        <w:rPr>
          <w:rtl w:val="true"/>
        </w:rPr>
        <w:t xml:space="preserve">. </w:t>
      </w:r>
      <w:r>
        <w:rPr>
          <w:rtl w:val="true"/>
        </w:rPr>
        <w:t>חולקים שני לשונות בגמרא מהו היתר זה</w:t>
      </w:r>
      <w:r>
        <w:rPr>
          <w:rtl w:val="true"/>
        </w:rPr>
        <w:t>:</w:t>
      </w:r>
    </w:p>
    <w:p>
      <w:pPr>
        <w:pStyle w:val="Normal"/>
        <w:numPr>
          <w:ilvl w:val="1"/>
          <w:numId w:val="2"/>
        </w:numPr>
        <w:bidi w:val="1"/>
        <w:jc w:val="left"/>
        <w:rPr/>
      </w:pPr>
      <w:r>
        <w:rPr>
          <w:rtl w:val="true"/>
        </w:rPr>
        <w:t>אין איסורי אכילה אלא כדרך אכילה שלו</w:t>
      </w:r>
      <w:r>
        <w:rPr>
          <w:rtl w:val="true"/>
        </w:rPr>
        <w:t>.</w:t>
      </w:r>
    </w:p>
    <w:p>
      <w:pPr>
        <w:pStyle w:val="Normal"/>
        <w:numPr>
          <w:ilvl w:val="1"/>
          <w:numId w:val="2"/>
        </w:numPr>
        <w:bidi w:val="1"/>
        <w:jc w:val="left"/>
        <w:rPr/>
      </w:pPr>
      <w:r>
        <w:rPr>
          <w:rtl w:val="true"/>
        </w:rPr>
        <w:t>אין איסורי הנאה אלא כדרך הנאתו</w:t>
      </w:r>
      <w:r>
        <w:rPr>
          <w:rtl w:val="true"/>
        </w:rPr>
        <w:t xml:space="preserve">. </w:t>
      </w:r>
      <w:r>
        <w:rPr>
          <w:rtl w:val="true"/>
        </w:rPr>
        <w:t>גמרא מבאר שאם לשון זה נכון</w:t>
      </w:r>
      <w:r>
        <w:rPr>
          <w:rtl w:val="true"/>
        </w:rPr>
        <w:t xml:space="preserve">, </w:t>
      </w:r>
      <w:r>
        <w:rPr>
          <w:rtl w:val="true"/>
        </w:rPr>
        <w:t>גם לשון ראשון יהיה נכון</w:t>
      </w:r>
      <w:r>
        <w:rPr>
          <w:rtl w:val="true"/>
        </w:rPr>
        <w:t xml:space="preserve">, </w:t>
      </w:r>
      <w:r>
        <w:rPr>
          <w:rtl w:val="true"/>
        </w:rPr>
        <w:t>שאף אכילה הוא הנאה</w:t>
      </w:r>
      <w:r>
        <w:rPr>
          <w:rtl w:val="true"/>
        </w:rPr>
        <w:t xml:space="preserve">, </w:t>
      </w:r>
      <w:r>
        <w:rPr>
          <w:rtl w:val="true"/>
        </w:rPr>
        <w:t>ואף אכילה צריך להיות באופן אכילה רגילה כדי להיות נאסר</w:t>
      </w:r>
      <w:r>
        <w:rPr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/>
      </w:pPr>
      <w:r>
        <w:rPr>
          <w:rtl w:val="true"/>
        </w:rPr>
        <w:t>גמרא מוציא מן הכלל דברים שלא נאמר בהם לשון אכילה</w:t>
      </w:r>
      <w:r>
        <w:rPr>
          <w:rStyle w:val="FootnoteAnchor"/>
          <w:rtl w:val="true"/>
        </w:rPr>
        <w:footnoteReference w:id="2"/>
      </w:r>
      <w:r>
        <w:rPr>
          <w:rtl w:val="true"/>
        </w:rPr>
        <w:t xml:space="preserve">. </w:t>
      </w:r>
      <w:r>
        <w:rPr>
          <w:rtl w:val="true"/>
        </w:rPr>
        <w:t>בכלל זה</w:t>
      </w:r>
      <w:r>
        <w:rPr>
          <w:rtl w:val="true"/>
        </w:rPr>
        <w:t xml:space="preserve">, </w:t>
      </w:r>
      <w:r>
        <w:rPr>
          <w:rtl w:val="true"/>
        </w:rPr>
        <w:t>יש כלאי הכרם</w:t>
      </w:r>
      <w:r>
        <w:rPr>
          <w:rtl w:val="true"/>
        </w:rPr>
        <w:t xml:space="preserve">. </w:t>
      </w:r>
      <w:r>
        <w:rPr>
          <w:rtl w:val="true"/>
        </w:rPr>
        <w:t xml:space="preserve">דן גמרא אם אף בשר בחלב הוא בכלל זה </w:t>
      </w:r>
      <w:r>
        <w:rPr>
          <w:rtl w:val="true"/>
        </w:rPr>
        <w:t>(</w:t>
      </w:r>
      <w:r>
        <w:rPr>
          <w:rtl w:val="true"/>
        </w:rPr>
        <w:t>כיון שאיסור אכילה שלו נלמד מנבילה</w:t>
      </w:r>
      <w:r>
        <w:rPr>
          <w:rtl w:val="true"/>
        </w:rPr>
        <w:t xml:space="preserve">, </w:t>
      </w:r>
      <w:r>
        <w:rPr>
          <w:rtl w:val="true"/>
        </w:rPr>
        <w:t>וכ’ בנבילה לשון אכילה</w:t>
      </w:r>
      <w:r>
        <w:rPr>
          <w:rtl w:val="true"/>
        </w:rPr>
        <w:t>).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פקוח נפש</w:t>
      </w:r>
      <w:r>
        <w:rPr>
          <w:rtl w:val="true"/>
        </w:rPr>
        <w:t xml:space="preserve">. </w:t>
      </w:r>
      <w:r>
        <w:rPr>
          <w:rtl w:val="true"/>
        </w:rPr>
        <w:t>גמרא מפרש שהכל מותר כדי להציל נפש ישראל חוץ משלש דברים</w:t>
      </w:r>
      <w:r>
        <w:rPr>
          <w:rtl w:val="true"/>
        </w:rPr>
        <w:t>:</w:t>
      </w:r>
    </w:p>
    <w:p>
      <w:pPr>
        <w:pStyle w:val="Normal"/>
        <w:numPr>
          <w:ilvl w:val="1"/>
          <w:numId w:val="2"/>
        </w:numPr>
        <w:bidi w:val="1"/>
        <w:jc w:val="left"/>
        <w:rPr/>
      </w:pPr>
      <w:r>
        <w:rPr>
          <w:rtl w:val="true"/>
        </w:rPr>
        <w:t>עבודה זרה</w:t>
      </w:r>
      <w:r>
        <w:rPr>
          <w:rStyle w:val="FootnoteAnchor"/>
          <w:rtl w:val="true"/>
        </w:rPr>
        <w:footnoteReference w:id="3"/>
      </w:r>
      <w:r>
        <w:rPr>
          <w:rtl w:val="true"/>
        </w:rPr>
        <w:t xml:space="preserve">. </w:t>
      </w:r>
      <w:r>
        <w:rPr>
          <w:rtl w:val="true"/>
        </w:rPr>
        <w:t>זה נדרש ממה שכ’</w:t>
      </w:r>
      <w:r>
        <w:rPr>
          <w:rtl w:val="true"/>
        </w:rPr>
        <w:t>, “</w:t>
      </w:r>
      <w:r>
        <w:rPr>
          <w:rtl w:val="true"/>
        </w:rPr>
        <w:t>ואהבת את ה’ אלקיך… בכל נפשך</w:t>
      </w:r>
      <w:r>
        <w:rPr>
          <w:rtl w:val="true"/>
        </w:rPr>
        <w:t xml:space="preserve">" </w:t>
      </w:r>
      <w:r>
        <w:rPr>
          <w:rtl w:val="true"/>
        </w:rPr>
        <w:t>שמזהיר אתה לאהוב</w:t>
      </w:r>
      <w:r>
        <w:rPr>
          <w:rStyle w:val="FootnoteAnchor"/>
          <w:rtl w:val="true"/>
        </w:rPr>
        <w:footnoteReference w:id="4"/>
      </w:r>
      <w:r>
        <w:rPr>
          <w:rtl w:val="true"/>
        </w:rPr>
        <w:t xml:space="preserve"> את ה’</w:t>
      </w:r>
      <w:r>
        <w:rPr>
          <w:rtl w:val="true"/>
        </w:rPr>
        <w:t xml:space="preserve">, </w:t>
      </w:r>
      <w:r>
        <w:rPr>
          <w:rtl w:val="true"/>
        </w:rPr>
        <w:t>אף אם יטול את נפשך</w:t>
      </w:r>
      <w:r>
        <w:rPr>
          <w:rtl w:val="true"/>
        </w:rPr>
        <w:t>.</w:t>
      </w:r>
    </w:p>
    <w:p>
      <w:pPr>
        <w:pStyle w:val="Normal"/>
        <w:numPr>
          <w:ilvl w:val="1"/>
          <w:numId w:val="2"/>
        </w:numPr>
        <w:bidi w:val="1"/>
        <w:jc w:val="left"/>
        <w:rPr/>
      </w:pPr>
      <w:r>
        <w:rPr>
          <w:rtl w:val="true"/>
        </w:rPr>
        <w:t>רציחה</w:t>
      </w:r>
      <w:r>
        <w:rPr>
          <w:rtl w:val="true"/>
        </w:rPr>
        <w:t xml:space="preserve">. </w:t>
      </w:r>
      <w:r>
        <w:rPr>
          <w:rtl w:val="true"/>
        </w:rPr>
        <w:t>זה נלמד מסברה</w:t>
      </w:r>
      <w:r>
        <w:rPr>
          <w:rtl w:val="true"/>
        </w:rPr>
        <w:t>; "</w:t>
      </w:r>
      <w:r>
        <w:rPr>
          <w:rtl w:val="true"/>
        </w:rPr>
        <w:t>מאי חזית דדם דידך סומק טפי</w:t>
      </w:r>
      <w:r>
        <w:rPr>
          <w:rtl w:val="true"/>
        </w:rPr>
        <w:t xml:space="preserve">.” </w:t>
      </w:r>
      <w:r>
        <w:rPr>
          <w:rtl w:val="true"/>
        </w:rPr>
        <w:t>זה אומר שלא הותר האיסור להרוג אחר בלי הצלת נפש</w:t>
      </w:r>
      <w:r>
        <w:rPr>
          <w:rtl w:val="true"/>
        </w:rPr>
        <w:t xml:space="preserve">, </w:t>
      </w:r>
      <w:r>
        <w:rPr>
          <w:rtl w:val="true"/>
        </w:rPr>
        <w:t>וכאן אין הוכחה שיציל את נפשו משיציל את נפש מי שנאמר לו ליהרג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 אפשר לעבור</w:t>
      </w:r>
      <w:r>
        <w:rPr>
          <w:rtl w:val="true"/>
        </w:rPr>
        <w:t>.</w:t>
      </w:r>
    </w:p>
    <w:p>
      <w:pPr>
        <w:pStyle w:val="Normal"/>
        <w:numPr>
          <w:ilvl w:val="1"/>
          <w:numId w:val="2"/>
        </w:numPr>
        <w:bidi w:val="1"/>
        <w:jc w:val="left"/>
        <w:rPr/>
      </w:pPr>
      <w:r>
        <w:rPr>
          <w:rtl w:val="true"/>
        </w:rPr>
        <w:t>גילוי עריות</w:t>
      </w:r>
      <w:r>
        <w:rPr>
          <w:rtl w:val="true"/>
        </w:rPr>
        <w:t xml:space="preserve">. </w:t>
      </w:r>
      <w:r>
        <w:rPr>
          <w:rtl w:val="true"/>
        </w:rPr>
        <w:t>זה נדרש ממה שהוקש רוצח לו</w:t>
      </w:r>
      <w:r>
        <w:rPr>
          <w:rtl w:val="true"/>
        </w:rPr>
        <w:t>.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אם אינו אפשר שלא לעבור</w:t>
      </w:r>
      <w:r>
        <w:rPr>
          <w:rStyle w:val="FootnoteAnchor"/>
          <w:rtl w:val="true"/>
        </w:rPr>
        <w:footnoteReference w:id="5"/>
      </w:r>
      <w:r>
        <w:rPr>
          <w:rtl w:val="true"/>
        </w:rPr>
        <w:t xml:space="preserve">, </w:t>
      </w:r>
      <w:r>
        <w:rPr>
          <w:rtl w:val="true"/>
        </w:rPr>
        <w:t>וגם לא מכוון לעבור</w:t>
      </w:r>
      <w:r>
        <w:rPr>
          <w:rtl w:val="true"/>
        </w:rPr>
        <w:t xml:space="preserve">, </w:t>
      </w:r>
      <w:r>
        <w:rPr>
          <w:rtl w:val="true"/>
        </w:rPr>
        <w:t>מותר לעבור</w:t>
      </w:r>
      <w:r>
        <w:rPr>
          <w:rStyle w:val="FootnoteAnchor"/>
          <w:rtl w:val="true"/>
        </w:rPr>
        <w:footnoteReference w:id="6"/>
      </w:r>
      <w:r>
        <w:rPr>
          <w:rtl w:val="true"/>
        </w:rPr>
        <w:t>.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אם אינו אפשר שלא לעבור</w:t>
      </w:r>
      <w:r>
        <w:rPr>
          <w:rtl w:val="true"/>
        </w:rPr>
        <w:t xml:space="preserve">, </w:t>
      </w:r>
      <w:r>
        <w:rPr>
          <w:rtl w:val="true"/>
        </w:rPr>
        <w:t>ומכוון לעבור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>:</w:t>
      </w:r>
    </w:p>
    <w:p>
      <w:pPr>
        <w:pStyle w:val="Normal"/>
        <w:numPr>
          <w:ilvl w:val="0"/>
          <w:numId w:val="0"/>
        </w:numPr>
        <w:bidi w:val="1"/>
        <w:ind w:left="1080" w:hanging="0"/>
        <w:jc w:val="left"/>
        <w:rPr/>
      </w:pPr>
      <w:r>
        <w:rPr>
          <w:rtl w:val="true"/>
        </w:rPr>
        <w:t>ללשון ראשון</w:t>
      </w:r>
      <w:r>
        <w:rPr>
          <w:rtl w:val="true"/>
        </w:rPr>
        <w:t xml:space="preserve">- </w:t>
      </w:r>
      <w:r>
        <w:rPr>
          <w:rtl w:val="true"/>
        </w:rPr>
        <w:t>אסור</w:t>
      </w:r>
      <w:r>
        <w:rPr>
          <w:rtl w:val="true"/>
        </w:rPr>
        <w:t>.</w:t>
      </w:r>
    </w:p>
    <w:p>
      <w:pPr>
        <w:pStyle w:val="Normal"/>
        <w:numPr>
          <w:ilvl w:val="1"/>
          <w:numId w:val="2"/>
        </w:numPr>
        <w:bidi w:val="1"/>
        <w:jc w:val="left"/>
        <w:rPr/>
      </w:pPr>
      <w:r>
        <w:rPr>
          <w:rtl w:val="true"/>
        </w:rPr>
        <w:t>לשון שני</w:t>
      </w:r>
      <w:r>
        <w:rPr>
          <w:rtl w:val="true"/>
        </w:rPr>
        <w:t>:</w:t>
      </w:r>
    </w:p>
    <w:p>
      <w:pPr>
        <w:pStyle w:val="Normal"/>
        <w:numPr>
          <w:ilvl w:val="2"/>
          <w:numId w:val="2"/>
        </w:numPr>
        <w:bidi w:val="1"/>
        <w:jc w:val="left"/>
        <w:rPr/>
      </w:pPr>
      <w:r>
        <w:rPr>
          <w:rtl w:val="true"/>
        </w:rPr>
        <w:t>אביי</w:t>
      </w:r>
    </w:p>
    <w:p>
      <w:pPr>
        <w:pStyle w:val="Normal"/>
        <w:numPr>
          <w:ilvl w:val="3"/>
          <w:numId w:val="2"/>
        </w:numPr>
        <w:bidi w:val="1"/>
        <w:jc w:val="left"/>
        <w:rPr/>
      </w:pPr>
      <w:r>
        <w:rPr>
          <w:rtl w:val="true"/>
        </w:rPr>
        <w:t>רבי שמעון</w:t>
      </w:r>
      <w:r>
        <w:rPr>
          <w:rtl w:val="true"/>
        </w:rPr>
        <w:t xml:space="preserve">- </w:t>
      </w:r>
      <w:r>
        <w:rPr>
          <w:rtl w:val="true"/>
        </w:rPr>
        <w:t>אסור</w:t>
      </w:r>
      <w:r>
        <w:rPr>
          <w:rStyle w:val="FootnoteAnchor"/>
          <w:rtl w:val="true"/>
        </w:rPr>
        <w:footnoteReference w:id="7"/>
      </w:r>
      <w:r>
        <w:rPr>
          <w:rtl w:val="true"/>
        </w:rPr>
        <w:t>.</w:t>
      </w:r>
    </w:p>
    <w:p>
      <w:pPr>
        <w:pStyle w:val="Normal"/>
        <w:numPr>
          <w:ilvl w:val="3"/>
          <w:numId w:val="2"/>
        </w:numPr>
        <w:bidi w:val="1"/>
        <w:jc w:val="left"/>
        <w:rPr/>
      </w:pPr>
      <w:r>
        <w:rPr>
          <w:rtl w:val="true"/>
        </w:rPr>
        <w:t>רבי יהודה</w:t>
      </w:r>
      <w:r>
        <w:rPr>
          <w:rtl w:val="true"/>
        </w:rPr>
        <w:t xml:space="preserve">- </w:t>
      </w:r>
      <w:r>
        <w:rPr>
          <w:rtl w:val="true"/>
        </w:rPr>
        <w:t>מותר</w:t>
      </w:r>
      <w:r>
        <w:rPr>
          <w:rStyle w:val="FootnoteAnchor"/>
          <w:rtl w:val="true"/>
        </w:rPr>
        <w:footnoteReference w:id="8"/>
      </w:r>
      <w:r>
        <w:rPr>
          <w:rtl w:val="true"/>
        </w:rPr>
        <w:t>.</w:t>
      </w:r>
    </w:p>
    <w:p>
      <w:pPr>
        <w:pStyle w:val="Normal"/>
        <w:numPr>
          <w:ilvl w:val="2"/>
          <w:numId w:val="2"/>
        </w:numPr>
        <w:bidi w:val="1"/>
        <w:jc w:val="left"/>
        <w:rPr/>
      </w:pPr>
      <w:r>
        <w:rPr>
          <w:rtl w:val="true"/>
        </w:rPr>
        <w:t>רבא</w:t>
      </w:r>
      <w:r>
        <w:rPr>
          <w:rtl w:val="true"/>
        </w:rPr>
        <w:t xml:space="preserve">- </w:t>
      </w:r>
      <w:r>
        <w:rPr>
          <w:rtl w:val="true"/>
        </w:rPr>
        <w:t>אסור</w:t>
      </w:r>
      <w:r>
        <w:rPr>
          <w:rStyle w:val="FootnoteAnchor"/>
          <w:rtl w:val="true"/>
        </w:rPr>
        <w:footnoteReference w:id="9"/>
      </w:r>
      <w:r>
        <w:rPr>
          <w:rtl w:val="true"/>
        </w:rPr>
        <w:t>.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אם אפשר שלא לעבור</w:t>
      </w:r>
      <w:r>
        <w:rPr>
          <w:rtl w:val="true"/>
        </w:rPr>
        <w:t xml:space="preserve">, </w:t>
      </w:r>
      <w:r>
        <w:rPr>
          <w:rtl w:val="true"/>
        </w:rPr>
        <w:t>ולא מכוון לעבור</w:t>
      </w:r>
      <w:r>
        <w:rPr>
          <w:rtl w:val="true"/>
        </w:rPr>
        <w:t>:</w:t>
      </w:r>
    </w:p>
    <w:p>
      <w:pPr>
        <w:pStyle w:val="Normal"/>
        <w:numPr>
          <w:ilvl w:val="1"/>
          <w:numId w:val="2"/>
        </w:numPr>
        <w:bidi w:val="1"/>
        <w:jc w:val="left"/>
        <w:rPr/>
      </w:pPr>
      <w:r>
        <w:rPr>
          <w:rtl w:val="true"/>
        </w:rPr>
        <w:t>לשון ראשון</w:t>
      </w:r>
      <w:r>
        <w:rPr>
          <w:rtl w:val="true"/>
        </w:rPr>
        <w:t xml:space="preserve">: </w:t>
      </w:r>
    </w:p>
    <w:p>
      <w:pPr>
        <w:pStyle w:val="Normal"/>
        <w:numPr>
          <w:ilvl w:val="2"/>
          <w:numId w:val="2"/>
        </w:numPr>
        <w:bidi w:val="1"/>
        <w:jc w:val="left"/>
        <w:rPr/>
      </w:pPr>
      <w:r>
        <w:rPr>
          <w:rtl w:val="true"/>
        </w:rPr>
        <w:t>אביי</w:t>
      </w:r>
      <w:r>
        <w:rPr>
          <w:rtl w:val="true"/>
        </w:rPr>
        <w:t>:</w:t>
      </w:r>
    </w:p>
    <w:p>
      <w:pPr>
        <w:pStyle w:val="Normal"/>
        <w:numPr>
          <w:ilvl w:val="3"/>
          <w:numId w:val="2"/>
        </w:numPr>
        <w:bidi w:val="1"/>
        <w:jc w:val="left"/>
        <w:rPr/>
      </w:pPr>
      <w:r>
        <w:rPr>
          <w:rtl w:val="true"/>
        </w:rPr>
        <w:t>רבי שמעון</w:t>
      </w:r>
      <w:r>
        <w:rPr>
          <w:rtl w:val="true"/>
        </w:rPr>
        <w:t xml:space="preserve">- </w:t>
      </w:r>
      <w:r>
        <w:rPr>
          <w:rtl w:val="true"/>
        </w:rPr>
        <w:t>מותר</w:t>
      </w:r>
      <w:r>
        <w:rPr>
          <w:rStyle w:val="FootnoteAnchor"/>
          <w:rtl w:val="true"/>
        </w:rPr>
        <w:footnoteReference w:id="10"/>
      </w:r>
      <w:r>
        <w:rPr>
          <w:rtl w:val="true"/>
        </w:rPr>
        <w:t>.</w:t>
      </w:r>
    </w:p>
    <w:p>
      <w:pPr>
        <w:pStyle w:val="Normal"/>
        <w:numPr>
          <w:ilvl w:val="3"/>
          <w:numId w:val="2"/>
        </w:numPr>
        <w:bidi w:val="1"/>
        <w:jc w:val="left"/>
        <w:rPr/>
      </w:pPr>
      <w:r>
        <w:rPr>
          <w:rtl w:val="true"/>
        </w:rPr>
        <w:t>רבי יהודה</w:t>
      </w:r>
      <w:r>
        <w:rPr>
          <w:rtl w:val="true"/>
        </w:rPr>
        <w:t xml:space="preserve">- </w:t>
      </w:r>
      <w:r>
        <w:rPr>
          <w:rtl w:val="true"/>
        </w:rPr>
        <w:t>אסור</w:t>
      </w:r>
      <w:r>
        <w:rPr>
          <w:rStyle w:val="FootnoteAnchor"/>
          <w:rtl w:val="true"/>
        </w:rPr>
        <w:footnoteReference w:id="11"/>
      </w:r>
      <w:r>
        <w:rPr>
          <w:rtl w:val="true"/>
        </w:rPr>
        <w:t>.</w:t>
      </w:r>
    </w:p>
    <w:p>
      <w:pPr>
        <w:pStyle w:val="Normal"/>
        <w:numPr>
          <w:ilvl w:val="2"/>
          <w:numId w:val="2"/>
        </w:numPr>
        <w:bidi w:val="1"/>
        <w:jc w:val="left"/>
        <w:rPr/>
      </w:pPr>
      <w:r>
        <w:rPr>
          <w:rtl w:val="true"/>
        </w:rPr>
        <w:t>רבא</w:t>
      </w:r>
      <w:r>
        <w:rPr>
          <w:rtl w:val="true"/>
        </w:rPr>
        <w:t xml:space="preserve">- </w:t>
      </w:r>
      <w:r>
        <w:rPr>
          <w:rtl w:val="true"/>
        </w:rPr>
        <w:t>אסור</w:t>
      </w:r>
      <w:r>
        <w:rPr>
          <w:rStyle w:val="FootnoteAnchor"/>
          <w:rtl w:val="true"/>
        </w:rPr>
        <w:footnoteReference w:id="12"/>
      </w:r>
      <w:r>
        <w:rPr>
          <w:rtl w:val="true"/>
        </w:rPr>
        <w:t xml:space="preserve">. </w:t>
      </w:r>
      <w:r>
        <w:rPr>
          <w:rtl w:val="true"/>
        </w:rPr>
        <w:t>שיטה זה נדחה מברייתא</w:t>
      </w:r>
      <w:r>
        <w:rPr>
          <w:rtl w:val="true"/>
        </w:rPr>
        <w:t>.</w:t>
      </w:r>
    </w:p>
    <w:p>
      <w:pPr>
        <w:pStyle w:val="Normal"/>
        <w:numPr>
          <w:ilvl w:val="1"/>
          <w:numId w:val="2"/>
        </w:numPr>
        <w:bidi w:val="1"/>
        <w:jc w:val="left"/>
        <w:rPr/>
      </w:pPr>
      <w:r>
        <w:rPr>
          <w:rtl w:val="true"/>
        </w:rPr>
        <w:t>לשון שני</w:t>
      </w:r>
      <w:r>
        <w:rPr>
          <w:rtl w:val="true"/>
        </w:rPr>
        <w:t>:</w:t>
      </w:r>
    </w:p>
    <w:p>
      <w:pPr>
        <w:pStyle w:val="Normal"/>
        <w:numPr>
          <w:ilvl w:val="2"/>
          <w:numId w:val="2"/>
        </w:numPr>
        <w:bidi w:val="1"/>
        <w:jc w:val="left"/>
        <w:rPr/>
      </w:pPr>
      <w:r>
        <w:rPr>
          <w:rtl w:val="true"/>
        </w:rPr>
        <w:t>רבי שמעון</w:t>
      </w:r>
      <w:r>
        <w:rPr>
          <w:rtl w:val="true"/>
        </w:rPr>
        <w:t xml:space="preserve">- </w:t>
      </w:r>
      <w:r>
        <w:rPr>
          <w:rtl w:val="true"/>
        </w:rPr>
        <w:t>מותר</w:t>
      </w:r>
      <w:r>
        <w:rPr>
          <w:rtl w:val="true"/>
        </w:rPr>
        <w:t>.</w:t>
      </w:r>
    </w:p>
    <w:p>
      <w:pPr>
        <w:pStyle w:val="Normal"/>
        <w:numPr>
          <w:ilvl w:val="2"/>
          <w:numId w:val="2"/>
        </w:numPr>
        <w:bidi w:val="1"/>
        <w:jc w:val="left"/>
        <w:rPr/>
      </w:pPr>
      <w:r>
        <w:rPr>
          <w:rtl w:val="true"/>
        </w:rPr>
        <w:t>רבי יהודה</w:t>
      </w:r>
      <w:r>
        <w:rPr>
          <w:rtl w:val="true"/>
        </w:rPr>
        <w:t xml:space="preserve">- </w:t>
      </w:r>
      <w:r>
        <w:rPr>
          <w:rtl w:val="true"/>
        </w:rPr>
        <w:t>אסור</w:t>
      </w:r>
      <w:r>
        <w:rPr>
          <w:rtl w:val="true"/>
        </w:rPr>
        <w:t>.</w:t>
      </w:r>
    </w:p>
    <w:sectPr>
      <w:headerReference w:type="default" r:id="rId2"/>
      <w:footnotePr>
        <w:numFmt w:val="decimal"/>
      </w:footnotePr>
      <w:type w:val="nextPage"/>
      <w:pgSz w:w="12240" w:h="15840"/>
      <w:pgMar w:left="1134" w:right="1134" w:gutter="0" w:header="1134" w:top="1679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לכאורה</w:t>
      </w:r>
      <w:r>
        <w:rPr>
          <w:rtl w:val="true"/>
        </w:rPr>
        <w:t xml:space="preserve">, </w:t>
      </w:r>
      <w:r>
        <w:rPr>
          <w:rtl w:val="true"/>
        </w:rPr>
        <w:t>זה אף לצד שני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צריך לומר שלשון אכילה הוא שמורה שצריך הנאה כדרכו</w:t>
      </w:r>
      <w:r>
        <w:rPr>
          <w:rtl w:val="true"/>
        </w:rPr>
        <w:t xml:space="preserve">. </w:t>
      </w:r>
      <w:r>
        <w:rPr>
          <w:rtl w:val="true"/>
        </w:rPr>
        <w:t>אולי הוא מפני שכמו שסתם אכילה הוא אכילה כדרכו</w:t>
      </w:r>
      <w:r>
        <w:rPr>
          <w:rtl w:val="true"/>
        </w:rPr>
        <w:t xml:space="preserve">, </w:t>
      </w:r>
      <w:r>
        <w:rPr>
          <w:rtl w:val="true"/>
        </w:rPr>
        <w:t>הרי הוא גם כן הנאה כדרכו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, </w:t>
      </w:r>
      <w:r>
        <w:rPr>
          <w:rtl w:val="true"/>
        </w:rPr>
        <w:t>שפשוט הוא</w:t>
      </w:r>
      <w:r>
        <w:rPr>
          <w:rtl w:val="true"/>
        </w:rPr>
        <w:t>.</w:t>
      </w:r>
    </w:p>
  </w:footnote>
  <w:footnote w:id="3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ואף מה שרק נראה כע</w:t>
      </w:r>
      <w:r>
        <w:rPr>
          <w:rtl w:val="true"/>
        </w:rPr>
        <w:t>"</w:t>
      </w:r>
      <w:r>
        <w:rPr>
          <w:rtl w:val="true"/>
        </w:rPr>
        <w:t>ז</w:t>
      </w:r>
      <w:r>
        <w:rPr>
          <w:rtl w:val="true"/>
        </w:rPr>
        <w:t xml:space="preserve">. </w:t>
      </w:r>
      <w:r>
        <w:rPr>
          <w:rtl w:val="true"/>
        </w:rPr>
        <w:t>כן יוצא מרש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>.</w:t>
      </w:r>
    </w:p>
  </w:footnote>
  <w:footnote w:id="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גמרא מניח ש</w:t>
      </w:r>
      <w:r>
        <w:rPr>
          <w:rtl w:val="true"/>
        </w:rPr>
        <w:t>"</w:t>
      </w:r>
      <w:r>
        <w:rPr>
          <w:rtl w:val="true"/>
        </w:rPr>
        <w:t>ואהבת</w:t>
      </w:r>
      <w:r>
        <w:rPr>
          <w:rtl w:val="true"/>
        </w:rPr>
        <w:t xml:space="preserve">" </w:t>
      </w:r>
      <w:r>
        <w:rPr>
          <w:rtl w:val="true"/>
        </w:rPr>
        <w:t>שייך לאיסור עבודה זרה</w:t>
      </w:r>
      <w:r>
        <w:rPr>
          <w:rtl w:val="true"/>
        </w:rPr>
        <w:t xml:space="preserve">. </w:t>
      </w:r>
      <w:r>
        <w:rPr>
          <w:rtl w:val="true"/>
        </w:rPr>
        <w:t>קצת צריך ביאור למה</w:t>
      </w:r>
      <w:r>
        <w:rPr>
          <w:rtl w:val="true"/>
        </w:rPr>
        <w:t>.</w:t>
      </w:r>
    </w:p>
  </w:footnote>
  <w:footnote w:id="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הגדרה של </w:t>
      </w:r>
      <w:r>
        <w:rPr>
          <w:rtl w:val="true"/>
        </w:rPr>
        <w:t>"</w:t>
      </w:r>
      <w:r>
        <w:rPr>
          <w:rtl w:val="true"/>
        </w:rPr>
        <w:t>אינו אפשר</w:t>
      </w:r>
      <w:r>
        <w:rPr>
          <w:rtl w:val="true"/>
        </w:rPr>
        <w:t xml:space="preserve">" </w:t>
      </w:r>
      <w:r>
        <w:rPr>
          <w:rtl w:val="true"/>
        </w:rPr>
        <w:t>אינו כל כך מובן</w:t>
      </w:r>
      <w:r>
        <w:rPr>
          <w:rtl w:val="true"/>
        </w:rPr>
        <w:t>.</w:t>
      </w:r>
    </w:p>
  </w:footnote>
  <w:footnote w:id="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לדון מי סובר כן</w:t>
      </w:r>
      <w:r>
        <w:rPr>
          <w:rtl w:val="true"/>
        </w:rPr>
        <w:t xml:space="preserve">. </w:t>
      </w:r>
      <w:r>
        <w:rPr>
          <w:rtl w:val="true"/>
        </w:rPr>
        <w:t>לרבא</w:t>
      </w:r>
      <w:r>
        <w:rPr>
          <w:rtl w:val="true"/>
        </w:rPr>
        <w:t xml:space="preserve">, </w:t>
      </w:r>
      <w:r>
        <w:rPr>
          <w:rtl w:val="true"/>
        </w:rPr>
        <w:t>רבי שמעון לא חולק אם אפשר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צריך לומר שחולק בציור זה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דין זה הוא רק לפי רבי שמעון</w:t>
      </w:r>
      <w:r>
        <w:rPr>
          <w:rtl w:val="true"/>
        </w:rPr>
        <w:t xml:space="preserve">. </w:t>
      </w:r>
      <w:r>
        <w:rPr>
          <w:rtl w:val="true"/>
        </w:rPr>
        <w:t xml:space="preserve">יש לדון אם אביי מודה לזה </w:t>
      </w:r>
      <w:r>
        <w:rPr>
          <w:rtl w:val="true"/>
        </w:rPr>
        <w:t>(</w:t>
      </w:r>
      <w:r>
        <w:rPr>
          <w:rtl w:val="true"/>
        </w:rPr>
        <w:t>שאין לו הוכחה לזה כרבא</w:t>
      </w:r>
      <w:r>
        <w:rPr>
          <w:rtl w:val="true"/>
        </w:rPr>
        <w:t xml:space="preserve">, </w:t>
      </w:r>
      <w:r>
        <w:rPr>
          <w:rtl w:val="true"/>
        </w:rPr>
        <w:t>כיון שסובר שחולקים באפשר ולא מכוון</w:t>
      </w:r>
      <w:r>
        <w:rPr>
          <w:rtl w:val="true"/>
        </w:rPr>
        <w:t xml:space="preserve">). </w:t>
      </w:r>
      <w:r>
        <w:rPr>
          <w:rtl w:val="true"/>
        </w:rPr>
        <w:t>כמו כן</w:t>
      </w:r>
      <w:r>
        <w:rPr>
          <w:rtl w:val="true"/>
        </w:rPr>
        <w:t xml:space="preserve">, </w:t>
      </w:r>
      <w:r>
        <w:rPr>
          <w:rtl w:val="true"/>
        </w:rPr>
        <w:t>יש לדון לפי לשון שני של גמרא</w:t>
      </w:r>
      <w:r>
        <w:rPr>
          <w:rtl w:val="true"/>
        </w:rPr>
        <w:t xml:space="preserve">. </w:t>
      </w:r>
      <w:r>
        <w:rPr>
          <w:rtl w:val="true"/>
        </w:rPr>
        <w:t>באותו לשון</w:t>
      </w:r>
      <w:r>
        <w:rPr>
          <w:rtl w:val="true"/>
        </w:rPr>
        <w:t xml:space="preserve">, </w:t>
      </w:r>
      <w:r>
        <w:rPr>
          <w:rtl w:val="true"/>
        </w:rPr>
        <w:t>נראה שלא חולקים רבי שמעון ורבי יהודה</w:t>
      </w:r>
      <w:r>
        <w:rPr>
          <w:rtl w:val="true"/>
        </w:rPr>
        <w:t xml:space="preserve">, </w:t>
      </w:r>
      <w:r>
        <w:rPr>
          <w:rtl w:val="true"/>
        </w:rPr>
        <w:t>שרק מזכיר מה שהם חולקים באפשר ולא מכוון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רק שם צריך להזכיר</w:t>
      </w:r>
      <w:r>
        <w:rPr>
          <w:rtl w:val="true"/>
        </w:rPr>
        <w:t xml:space="preserve">, </w:t>
      </w:r>
      <w:r>
        <w:rPr>
          <w:rtl w:val="true"/>
        </w:rPr>
        <w:t>שבזה חולק על לשון ראשון במה שיש מחלקת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שכיון שרבי שמעון מתיר דבר שאינו מתכוון</w:t>
      </w:r>
      <w:r>
        <w:rPr>
          <w:rtl w:val="true"/>
        </w:rPr>
        <w:t xml:space="preserve">, </w:t>
      </w:r>
      <w:r>
        <w:rPr>
          <w:rtl w:val="true"/>
        </w:rPr>
        <w:t>רואים שסובר שכוונה הוא עיקר של מעשה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כאן שמכוון</w:t>
      </w:r>
      <w:r>
        <w:rPr>
          <w:rtl w:val="true"/>
        </w:rPr>
        <w:t xml:space="preserve">, </w:t>
      </w:r>
      <w:r>
        <w:rPr>
          <w:rtl w:val="true"/>
        </w:rPr>
        <w:t>אסור</w:t>
      </w:r>
      <w:r>
        <w:rPr>
          <w:rtl w:val="true"/>
        </w:rPr>
        <w:t>.</w:t>
      </w:r>
    </w:p>
  </w:footnote>
  <w:footnote w:id="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שכיון שרבי יהודה אוסר דבר שאינו מתכוון</w:t>
      </w:r>
      <w:r>
        <w:rPr>
          <w:rtl w:val="true"/>
        </w:rPr>
        <w:t xml:space="preserve">, </w:t>
      </w:r>
      <w:r>
        <w:rPr>
          <w:rtl w:val="true"/>
        </w:rPr>
        <w:t>רואים שסובר שאין כוונה כל כך חשוב</w:t>
      </w:r>
      <w:r>
        <w:rPr>
          <w:rtl w:val="true"/>
        </w:rPr>
        <w:t>.</w:t>
      </w:r>
    </w:p>
  </w:footnote>
  <w:footnote w:id="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שכולי עלמא מודים שמחשב חשוב בפני עצמו לאסור</w:t>
      </w:r>
      <w:r>
        <w:rPr>
          <w:rtl w:val="true"/>
        </w:rPr>
        <w:t xml:space="preserve">; </w:t>
      </w:r>
      <w:r>
        <w:rPr>
          <w:rtl w:val="true"/>
        </w:rPr>
        <w:t>רק חולקים אם אף מעשה בלי מחשבה חשוב די לאסור</w:t>
      </w:r>
      <w:r>
        <w:rPr>
          <w:rtl w:val="true"/>
        </w:rPr>
        <w:t>.</w:t>
      </w:r>
    </w:p>
  </w:footnote>
  <w:footnote w:id="1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שסובר שדבר שאינו מתכוון מותר</w:t>
      </w:r>
      <w:r>
        <w:rPr>
          <w:rtl w:val="true"/>
        </w:rPr>
        <w:t>.</w:t>
      </w:r>
    </w:p>
  </w:footnote>
  <w:footnote w:id="1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שסובר שדבר שאינו מתכוון אסור</w:t>
      </w:r>
      <w:r>
        <w:rPr>
          <w:rtl w:val="true"/>
        </w:rPr>
        <w:t>.</w:t>
      </w:r>
    </w:p>
  </w:footnote>
  <w:footnote w:id="1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שרבי שמעון מתיר דבר שאינו מתכוון רק אם אינו אפשר שלא לעבור</w:t>
      </w:r>
      <w:r>
        <w:rPr>
          <w:rtl w:val="true"/>
        </w:rPr>
        <w:t>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1"/>
      <w:jc w:val="center"/>
      <w:rPr>
        <w:b/>
        <w:b/>
        <w:bCs/>
      </w:rPr>
    </w:pPr>
    <w:r>
      <w:rPr>
        <w:b/>
        <w:b/>
        <w:bCs/>
        <w:rtl w:val="true"/>
      </w:rPr>
      <w:t>ברוך מתיר איסורים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Shofar"/>
        <w:kern w:val="2"/>
        <w:sz w:val="24"/>
        <w:szCs w:val="24"/>
        <w:lang w:val="en-US" w:eastAsia="zh-CN" w:bidi="he-IL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Shofar"/>
      <w:color w:val="auto"/>
      <w:kern w:val="2"/>
      <w:sz w:val="24"/>
      <w:szCs w:val="24"/>
      <w:lang w:val="en-US" w:eastAsia="zh-CN" w:bidi="he-IL"/>
    </w:rPr>
  </w:style>
  <w:style w:type="character" w:styleId="NumberingSymbols">
    <w:name w:val="Numbering Symbols"/>
    <w:qFormat/>
    <w:rPr/>
  </w:style>
  <w:style w:type="character" w:styleId="FootnoteAnchor">
    <w:name w:val="Footnote Anchor"/>
    <w:rPr>
      <w:vertAlign w:val="superscript"/>
    </w:rPr>
  </w:style>
  <w:style w:type="character" w:styleId="FootnoteCharacters">
    <w:name w:val="Footnote Characters"/>
    <w:qFormat/>
    <w:rPr/>
  </w:style>
  <w:style w:type="character" w:styleId="EndnoteAnchor">
    <w:name w:val="Endnote Anchor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Shofar"/>
      <w:lang w:val="zxx" w:eastAsia="zxx" w:bidi="zxx"/>
    </w:rPr>
  </w:style>
  <w:style w:type="paragraph" w:styleId="Footnote">
    <w:name w:val="Footnote Text"/>
    <w:basedOn w:val="Normal"/>
    <w:pPr>
      <w:suppressLineNumbers/>
      <w:bidi w:val="1"/>
      <w:ind w:left="340" w:hanging="340"/>
      <w:jc w:val="left"/>
    </w:pPr>
    <w:rPr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notes" Target="footnotes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</TotalTime>
  <Application>LibreOffice/7.3.2.2$Windows_X86_64 LibreOffice_project/49f2b1bff42cfccbd8f788c8dc32c1c309559be0</Application>
  <AppVersion>15.0000</AppVersion>
  <Pages>1</Pages>
  <Words>482</Words>
  <Characters>1940</Characters>
  <CharactersWithSpaces>2362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2023-03-23T17:34:23Z</dcterms:created>
  <dc:creator/>
  <dc:description/>
  <dc:language>en-US</dc:language>
  <cp:lastModifiedBy/>
  <dcterms:modified xsi:type="dcterms:W3CDTF">2023-03-24T10:16:02Z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