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אם אכל אדם חמץ של הקדש</w:t>
      </w:r>
      <w:r>
        <w:rPr>
          <w:rtl w:val="true"/>
        </w:rPr>
        <w:t xml:space="preserve">, </w:t>
      </w:r>
      <w:r>
        <w:rPr>
          <w:rtl w:val="true"/>
        </w:rPr>
        <w:t>יש ארבע דרכים לומר שהוא פטור ממעילה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 xml:space="preserve">אולי דורשים </w:t>
      </w:r>
      <w:r>
        <w:rPr>
          <w:rtl w:val="true"/>
        </w:rPr>
        <w:t>"</w:t>
      </w:r>
      <w:r>
        <w:rPr>
          <w:rtl w:val="true"/>
        </w:rPr>
        <w:t>לך</w:t>
      </w:r>
      <w:r>
        <w:rPr>
          <w:rtl w:val="true"/>
        </w:rPr>
        <w:t xml:space="preserve">" </w:t>
      </w:r>
      <w:r>
        <w:rPr>
          <w:rtl w:val="true"/>
        </w:rPr>
        <w:t>של ראייה לפטור חמץ של אחרים</w:t>
      </w:r>
      <w:r>
        <w:rPr>
          <w:rtl w:val="true"/>
        </w:rPr>
        <w:t xml:space="preserve">. </w:t>
      </w:r>
      <w:r>
        <w:rPr>
          <w:rtl w:val="true"/>
        </w:rPr>
        <w:t>לומדים אכילה מראייה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אולי סבר כרנ</w:t>
      </w:r>
      <w:r>
        <w:rPr>
          <w:rtl w:val="true"/>
        </w:rPr>
        <w:t>"</w:t>
      </w:r>
      <w:r>
        <w:rPr>
          <w:rtl w:val="true"/>
        </w:rPr>
        <w:t>ב הקנה</w:t>
      </w:r>
      <w:r>
        <w:rPr>
          <w:rtl w:val="true"/>
        </w:rPr>
        <w:t xml:space="preserve">, </w:t>
      </w:r>
      <w:r>
        <w:rPr>
          <w:rtl w:val="true"/>
        </w:rPr>
        <w:t>שפוטר מתשלומים כשמתחייב כרת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אולי סבר שלא פודים שלא לאכילה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נפדה</w:t>
      </w:r>
      <w:r>
        <w:rPr>
          <w:rtl w:val="true"/>
        </w:rPr>
        <w:t xml:space="preserve">, </w:t>
      </w:r>
      <w:r>
        <w:rPr>
          <w:rtl w:val="true"/>
        </w:rPr>
        <w:t>ואינו בר דמים</w:t>
      </w:r>
      <w:r>
        <w:rPr>
          <w:rtl w:val="true"/>
        </w:rPr>
        <w:t xml:space="preserve">. </w:t>
      </w:r>
      <w:r>
        <w:rPr>
          <w:rtl w:val="true"/>
        </w:rPr>
        <w:t>צריך אף לסבור שאין יכולת לפדות לאחר זמן עושה לו דמים</w:t>
      </w:r>
      <w:r>
        <w:rPr>
          <w:rtl w:val="true"/>
        </w:rPr>
        <w:t xml:space="preserve">, </w:t>
      </w:r>
      <w:r>
        <w:rPr>
          <w:rtl w:val="true"/>
        </w:rPr>
        <w:t>שאין דבר הגורם לממון כממון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2"/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אולי סבר שאסור להנות אחר פסח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אם חייב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 xml:space="preserve">לדחות 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צריך לומר שסובר או שלא פוטרים שאור של ראייה או שלא לומדים אכילה מראייה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 xml:space="preserve">לדחות </w:t>
      </w:r>
      <w:r>
        <w:rPr/>
        <w:t>2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שלא סבר כרנ</w:t>
      </w:r>
      <w:r>
        <w:rPr>
          <w:rtl w:val="true"/>
        </w:rPr>
        <w:t>"</w:t>
      </w:r>
      <w:r>
        <w:rPr>
          <w:rtl w:val="true"/>
        </w:rPr>
        <w:t>ב הקנה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"/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 xml:space="preserve">לדחות </w:t>
      </w:r>
      <w:r>
        <w:rPr/>
        <w:t>3</w:t>
      </w:r>
      <w:r>
        <w:rPr>
          <w:rtl w:val="true"/>
        </w:rPr>
        <w:t xml:space="preserve">, </w:t>
      </w:r>
      <w:r>
        <w:rPr>
          <w:rtl w:val="true"/>
        </w:rPr>
        <w:t>יש לומר שסבר שפודים להאכיל לכלבים</w:t>
      </w:r>
      <w:r>
        <w:rPr>
          <w:rtl w:val="true"/>
        </w:rPr>
        <w:t xml:space="preserve">, </w:t>
      </w:r>
      <w:r>
        <w:rPr>
          <w:rtl w:val="true"/>
        </w:rPr>
        <w:t>או שדבר הגורם לממון כממון דמי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 xml:space="preserve">לדחות </w:t>
      </w:r>
      <w:r>
        <w:rPr/>
        <w:t>4</w:t>
      </w:r>
      <w:r>
        <w:rPr>
          <w:rtl w:val="true"/>
        </w:rPr>
        <w:t xml:space="preserve">, </w:t>
      </w:r>
      <w:r>
        <w:rPr>
          <w:rtl w:val="true"/>
        </w:rPr>
        <w:t>צריך לומר שמותר בהנאה</w:t>
      </w:r>
      <w:r>
        <w:rPr>
          <w:rtl w:val="true"/>
        </w:rPr>
        <w:t xml:space="preserve">, </w:t>
      </w:r>
      <w:r>
        <w:rPr>
          <w:rtl w:val="true"/>
        </w:rPr>
        <w:t xml:space="preserve">אחר פסח </w:t>
      </w:r>
      <w:r>
        <w:rPr>
          <w:rtl w:val="true"/>
        </w:rPr>
        <w:t>(</w:t>
      </w:r>
      <w:r>
        <w:rPr>
          <w:rtl w:val="true"/>
        </w:rPr>
        <w:t>ודבר הגורם לממון כממון</w:t>
      </w:r>
      <w:r>
        <w:rPr>
          <w:rtl w:val="true"/>
        </w:rPr>
        <w:t xml:space="preserve">) </w:t>
      </w:r>
      <w:r>
        <w:rPr>
          <w:rtl w:val="true"/>
        </w:rPr>
        <w:t xml:space="preserve">או אף בפסח </w:t>
      </w:r>
      <w:r>
        <w:rPr>
          <w:rtl w:val="true"/>
        </w:rPr>
        <w:t>(</w:t>
      </w:r>
      <w:r>
        <w:rPr>
          <w:rtl w:val="true"/>
        </w:rPr>
        <w:t>ופודים לכלבים</w:t>
      </w:r>
      <w:r>
        <w:rPr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פסחים כט</w:t>
      </w:r>
      <w:r>
        <w:rPr>
          <w:b/>
          <w:bCs/>
          <w:rtl w:val="true"/>
        </w:rPr>
        <w:t>)</w:t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שאם נאמר שסובר כרבי יוסי הגלילי</w:t>
      </w:r>
      <w:r>
        <w:rPr>
          <w:rtl w:val="true"/>
        </w:rPr>
        <w:t xml:space="preserve">, </w:t>
      </w:r>
      <w:r>
        <w:rPr>
          <w:rtl w:val="true"/>
        </w:rPr>
        <w:t>ונאמר שריה</w:t>
      </w:r>
      <w:r>
        <w:rPr>
          <w:rtl w:val="true"/>
        </w:rPr>
        <w:t>"</w:t>
      </w:r>
      <w:r>
        <w:rPr>
          <w:rtl w:val="true"/>
        </w:rPr>
        <w:t>ג סובר כר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שאין ראיה נגד זה</w:t>
      </w:r>
      <w:r>
        <w:rPr>
          <w:rtl w:val="true"/>
        </w:rPr>
        <w:t xml:space="preserve">), </w:t>
      </w:r>
      <w:r>
        <w:rPr>
          <w:rtl w:val="true"/>
        </w:rPr>
        <w:t>אז יש לומר שלא גורם לממון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יכול להיות חייב בשוגג</w:t>
      </w:r>
      <w:r>
        <w:rPr>
          <w:rtl w:val="true"/>
        </w:rPr>
        <w:t xml:space="preserve">, </w:t>
      </w:r>
      <w:r>
        <w:rPr>
          <w:rtl w:val="true"/>
        </w:rPr>
        <w:t>ואז תלוי במחלקת רבי יוחנן וריש לקיש בכתובות אם פטור אף בשוגג</w:t>
      </w:r>
      <w:r>
        <w:rPr>
          <w:rtl w:val="true"/>
        </w:rPr>
        <w:t>. (</w:t>
      </w:r>
      <w:r>
        <w:rPr>
          <w:rtl w:val="true"/>
        </w:rPr>
        <w:t>חושב אני שאף דן בזה תנאים ב</w:t>
      </w:r>
      <w:r>
        <w:rPr>
          <w:rtl w:val="true"/>
        </w:rPr>
        <w:t>"</w:t>
      </w:r>
      <w:r>
        <w:rPr>
          <w:rtl w:val="true"/>
        </w:rPr>
        <w:t>קרהו אסון</w:t>
      </w:r>
      <w:r>
        <w:rPr>
          <w:rtl w:val="true"/>
        </w:rPr>
        <w:t>.”)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b/>
        <w:b/>
        <w:bCs/>
      </w:rPr>
    </w:pPr>
    <w:r>
      <w:rPr>
        <w:b/>
        <w:b/>
        <w:bCs/>
        <w:rtl w:val="true"/>
      </w:rPr>
      <w:t>מעילה בחמץ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NumberingSymbols">
    <w:name w:val="Numbering Symbols"/>
    <w:qFormat/>
    <w:rPr/>
  </w:style>
  <w:style w:type="character" w:styleId="FootnoteAnchor">
    <w:name w:val="Footnote Anchor"/>
    <w:rPr>
      <w:vertAlign w:val="superscript"/>
    </w:rPr>
  </w:style>
  <w:style w:type="character" w:styleId="FootnoteCharacters">
    <w:name w:val="Footnote Characters"/>
    <w:qFormat/>
    <w:rPr/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LibreOffice/7.3.2.2$Windows_X86_64 LibreOffice_project/49f2b1bff42cfccbd8f788c8dc32c1c309559be0</Application>
  <AppVersion>15.0000</AppVersion>
  <Pages>1</Pages>
  <Words>182</Words>
  <Characters>750</Characters>
  <CharactersWithSpaces>910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2023-03-24T09:37:02Z</dcterms:created>
  <dc:creator/>
  <dc:description/>
  <dc:language>en-US</dc:language>
  <cp:lastModifiedBy/>
  <dcterms:modified xsi:type="dcterms:W3CDTF">2023-03-24T10:16:20Z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