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-</w:t>
        <w:tab/>
      </w:r>
      <w:r>
        <w:rPr>
          <w:rtl w:val="true"/>
        </w:rPr>
        <w:t>גמרא מביא מימרת רבי יוחנן שיכול אדם לדרוך ענבים טמאים פחות פחות מכביצה</w:t>
      </w:r>
      <w:r>
        <w:rPr>
          <w:rtl w:val="true"/>
        </w:rPr>
        <w:t xml:space="preserve">. </w:t>
      </w:r>
      <w:r>
        <w:rPr>
          <w:rtl w:val="true"/>
        </w:rPr>
        <w:t>סובר שלא נטמאו משקין</w:t>
      </w:r>
      <w:r>
        <w:rPr>
          <w:rtl w:val="true"/>
        </w:rPr>
        <w:t xml:space="preserve">, </w:t>
      </w:r>
      <w:r>
        <w:rPr>
          <w:rtl w:val="true"/>
        </w:rPr>
        <w:t>אלא ע</w:t>
      </w:r>
      <w:r>
        <w:rPr>
          <w:rtl w:val="true"/>
        </w:rPr>
        <w:t>"</w:t>
      </w:r>
      <w:r>
        <w:rPr>
          <w:rtl w:val="true"/>
        </w:rPr>
        <w:t>י נגיעתם בפרי אחר יציאתם</w:t>
      </w:r>
      <w:r>
        <w:rPr>
          <w:rtl w:val="true"/>
        </w:rPr>
        <w:t xml:space="preserve">. </w:t>
      </w:r>
      <w:r>
        <w:rPr>
          <w:rtl w:val="true"/>
        </w:rPr>
        <w:t>כיון שהפרי פחות מכביצה</w:t>
      </w:r>
      <w:r>
        <w:rPr>
          <w:rtl w:val="true"/>
        </w:rPr>
        <w:t xml:space="preserve">, </w:t>
      </w:r>
      <w:r>
        <w:rPr>
          <w:rtl w:val="true"/>
        </w:rPr>
        <w:t>לא מטמא</w:t>
      </w:r>
      <w:r>
        <w:rPr>
          <w:rStyle w:val="FootnoteAnchor"/>
          <w:rtl w:val="true"/>
        </w:rPr>
        <w:footnoteReference w:id="2"/>
      </w:r>
      <w:r>
        <w:rPr>
          <w:rtl w:val="true"/>
        </w:rPr>
        <w:t xml:space="preserve">. </w:t>
      </w:r>
      <w:r>
        <w:rPr>
          <w:rtl w:val="true"/>
        </w:rPr>
        <w:t>צריך להיות פחות מכביצה</w:t>
      </w:r>
      <w:r>
        <w:rPr>
          <w:rtl w:val="true"/>
        </w:rPr>
        <w:t xml:space="preserve">, </w:t>
      </w:r>
      <w:r>
        <w:rPr>
          <w:rtl w:val="true"/>
        </w:rPr>
        <w:t>אף שחשבון זה יתיר יותר מכך</w:t>
      </w:r>
      <w:r>
        <w:rPr>
          <w:rtl w:val="true"/>
        </w:rPr>
        <w:t xml:space="preserve">, </w:t>
      </w:r>
      <w:r>
        <w:rPr>
          <w:rtl w:val="true"/>
        </w:rPr>
        <w:t>כיון שיחסר ע</w:t>
      </w:r>
      <w:r>
        <w:rPr>
          <w:rtl w:val="true"/>
        </w:rPr>
        <w:t>"</w:t>
      </w:r>
      <w:r>
        <w:rPr>
          <w:rtl w:val="true"/>
        </w:rPr>
        <w:t>י סחיטה</w:t>
      </w:r>
      <w:r>
        <w:rPr>
          <w:rtl w:val="true"/>
        </w:rPr>
        <w:t xml:space="preserve">, </w:t>
      </w:r>
      <w:r>
        <w:rPr>
          <w:rtl w:val="true"/>
        </w:rPr>
        <w:t>מגזירה אגב יותר מכביצה</w:t>
      </w:r>
      <w:r>
        <w:rPr>
          <w:rtl w:val="true"/>
        </w:rPr>
        <w:t xml:space="preserve">. </w:t>
      </w:r>
      <w:r>
        <w:rPr>
          <w:rtl w:val="true"/>
        </w:rPr>
        <w:t>מוכיח כ</w:t>
      </w:r>
      <w:r>
        <w:rPr>
          <w:rtl w:val="true"/>
        </w:rPr>
        <w:t>"</w:t>
      </w:r>
      <w:r>
        <w:rPr>
          <w:rtl w:val="true"/>
        </w:rPr>
        <w:t>ז ממשנה שמטהר מה שדרך טמא מת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ח חולק</w:t>
      </w:r>
      <w:r>
        <w:rPr>
          <w:rtl w:val="true"/>
        </w:rPr>
        <w:t xml:space="preserve">, </w:t>
      </w:r>
      <w:r>
        <w:rPr>
          <w:rtl w:val="true"/>
        </w:rPr>
        <w:t>וסובר שמשקים בתוך פרי טמאים</w:t>
      </w:r>
      <w:r>
        <w:rPr>
          <w:rtl w:val="true"/>
        </w:rPr>
        <w:t xml:space="preserve">. </w:t>
      </w:r>
      <w:r>
        <w:rPr>
          <w:rtl w:val="true"/>
        </w:rPr>
        <w:t xml:space="preserve">דוחה המשנה </w:t>
      </w:r>
      <w:r>
        <w:rPr>
          <w:rtl w:val="true"/>
        </w:rPr>
        <w:t>(</w:t>
      </w:r>
      <w:r>
        <w:rPr>
          <w:rtl w:val="true"/>
        </w:rPr>
        <w:t>שמטהר מה שדרך ט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) </w:t>
      </w:r>
      <w:r>
        <w:rPr>
          <w:rtl w:val="true"/>
        </w:rPr>
        <w:t>לומר ששם לא הוכשר</w:t>
      </w:r>
      <w:r>
        <w:rPr>
          <w:rtl w:val="true"/>
        </w:rPr>
        <w:t xml:space="preserve">. </w:t>
      </w:r>
      <w:r>
        <w:rPr>
          <w:rtl w:val="true"/>
        </w:rPr>
        <w:t>הוכשרו רק אחר שחסרים מכביצה בסחיטה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עדיין אף ר</w:t>
      </w:r>
      <w:r>
        <w:rPr>
          <w:rtl w:val="true"/>
        </w:rPr>
        <w:t>"</w:t>
      </w:r>
      <w:r>
        <w:rPr>
          <w:rtl w:val="true"/>
        </w:rPr>
        <w:t>י מודה שלא יכולים להניח תרומה טמאה כדי לדרכו</w:t>
      </w:r>
      <w:r>
        <w:rPr>
          <w:rtl w:val="true"/>
        </w:rPr>
        <w:t xml:space="preserve">, </w:t>
      </w:r>
      <w:r>
        <w:rPr>
          <w:rtl w:val="true"/>
        </w:rPr>
        <w:t>שחוששים לתקלה</w:t>
      </w:r>
      <w:r>
        <w:rPr>
          <w:rtl w:val="true"/>
        </w:rPr>
        <w:t xml:space="preserve">. </w:t>
      </w:r>
      <w:r>
        <w:rPr>
          <w:rtl w:val="true"/>
        </w:rPr>
        <w:t>כן לומדים מברייתא מפורשת שאומר שאין דבר לעשות עם תרומת תותים טמאים</w:t>
      </w:r>
      <w:r>
        <w:rPr>
          <w:rtl w:val="true"/>
        </w:rPr>
        <w:t xml:space="preserve">. </w:t>
      </w:r>
      <w:r>
        <w:rPr>
          <w:rtl w:val="true"/>
        </w:rPr>
        <w:t>רק לא חיישינן לקלקול אם יכול לעשות שהוא מאוס</w:t>
      </w:r>
      <w:r>
        <w:rPr>
          <w:rtl w:val="true"/>
        </w:rPr>
        <w:t xml:space="preserve">, </w:t>
      </w:r>
      <w:r>
        <w:rPr>
          <w:rtl w:val="true"/>
        </w:rPr>
        <w:t>כמו שמן ופת</w:t>
      </w:r>
      <w:r>
        <w:rPr>
          <w:rtl w:val="true"/>
        </w:rPr>
        <w:t xml:space="preserve">. </w:t>
      </w:r>
      <w:r>
        <w:rPr>
          <w:rtl w:val="true"/>
        </w:rPr>
        <w:t>אם לא עושה כן</w:t>
      </w:r>
      <w:r>
        <w:rPr>
          <w:rtl w:val="true"/>
        </w:rPr>
        <w:t xml:space="preserve">, </w:t>
      </w:r>
      <w:r>
        <w:rPr>
          <w:rtl w:val="true"/>
        </w:rPr>
        <w:t>אסור</w:t>
      </w:r>
      <w:r>
        <w:rPr>
          <w:rtl w:val="true"/>
        </w:rPr>
        <w:t>. (</w:t>
      </w:r>
      <w:r>
        <w:rPr>
          <w:rtl w:val="true"/>
        </w:rPr>
        <w:t>חולקים אם חיטין מותר</w:t>
      </w:r>
      <w:r>
        <w:rPr>
          <w:rtl w:val="true"/>
        </w:rPr>
        <w:t xml:space="preserve">, </w:t>
      </w:r>
      <w:r>
        <w:rPr>
          <w:rtl w:val="true"/>
        </w:rPr>
        <w:t>שיכול לעשות שהם מאוסים</w:t>
      </w:r>
      <w:r>
        <w:rPr>
          <w:rtl w:val="true"/>
        </w:rPr>
        <w:t xml:space="preserve">, </w:t>
      </w:r>
      <w:r>
        <w:rPr>
          <w:rtl w:val="true"/>
        </w:rPr>
        <w:t>אבל צריך לשלק אותם קודם</w:t>
      </w:r>
      <w:r>
        <w:rPr>
          <w:rtl w:val="true"/>
        </w:rPr>
        <w:t xml:space="preserve">, </w:t>
      </w:r>
      <w:r>
        <w:rPr>
          <w:rtl w:val="true"/>
        </w:rPr>
        <w:t>וחולקים אם יש חשש בשליקה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-</w:t>
        <w:tab/>
      </w:r>
      <w:r>
        <w:rPr>
          <w:rtl w:val="true"/>
        </w:rPr>
        <w:t>מקשה רבה בר מתנה על משנה שאומר ששתילי תרומות שנטמאו ושתלן טהורים מלטמא ואסורים מלאכול</w:t>
      </w:r>
      <w:r>
        <w:rPr>
          <w:rtl w:val="true"/>
        </w:rPr>
        <w:t xml:space="preserve">. </w:t>
      </w:r>
      <w:r>
        <w:rPr>
          <w:rtl w:val="true"/>
        </w:rPr>
        <w:t>מקשה למה אסורים</w:t>
      </w:r>
      <w:r>
        <w:rPr>
          <w:rtl w:val="true"/>
        </w:rPr>
        <w:t xml:space="preserve">. </w:t>
      </w:r>
      <w:r>
        <w:rPr>
          <w:rtl w:val="true"/>
        </w:rPr>
        <w:t>מתרץ שאסורים לזרים</w:t>
      </w:r>
      <w:r>
        <w:rPr>
          <w:rtl w:val="true"/>
        </w:rPr>
        <w:t xml:space="preserve">. </w:t>
      </w:r>
      <w:r>
        <w:rPr>
          <w:rtl w:val="true"/>
        </w:rPr>
        <w:t>מקשה שכבר יודעים איסור גידולי תרומה</w:t>
      </w:r>
      <w:r>
        <w:rPr>
          <w:rtl w:val="true"/>
        </w:rPr>
        <w:t xml:space="preserve">, </w:t>
      </w:r>
      <w:r>
        <w:rPr>
          <w:rtl w:val="true"/>
        </w:rPr>
        <w:t>אף אם אין זרעו כלה</w:t>
      </w:r>
      <w:r>
        <w:rPr>
          <w:rtl w:val="true"/>
        </w:rPr>
        <w:t xml:space="preserve">, </w:t>
      </w:r>
      <w:r>
        <w:rPr>
          <w:rtl w:val="true"/>
        </w:rPr>
        <w:t>ואיסור גדולי גדולים אם לא כלה</w:t>
      </w:r>
      <w:r>
        <w:rPr>
          <w:rtl w:val="true"/>
        </w:rPr>
        <w:t xml:space="preserve">, </w:t>
      </w:r>
      <w:r>
        <w:rPr>
          <w:rtl w:val="true"/>
        </w:rPr>
        <w:t>והתיר גדולי גדולים אם כלה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אומר שאסור לכהנים</w:t>
      </w:r>
      <w:r>
        <w:rPr>
          <w:rtl w:val="true"/>
        </w:rPr>
        <w:t xml:space="preserve">, </w:t>
      </w:r>
      <w:r>
        <w:rPr>
          <w:rtl w:val="true"/>
        </w:rPr>
        <w:t>שנפסל בהיסח הדעת</w:t>
      </w:r>
      <w:r>
        <w:rPr>
          <w:rtl w:val="true"/>
        </w:rPr>
        <w:t xml:space="preserve">. </w:t>
      </w:r>
      <w:r>
        <w:rPr>
          <w:rtl w:val="true"/>
        </w:rPr>
        <w:t>מבאר שזה אפשר רק אם הוא פסול הגוף</w:t>
      </w:r>
      <w:r>
        <w:rPr>
          <w:rtl w:val="true"/>
        </w:rPr>
        <w:t xml:space="preserve">, </w:t>
      </w:r>
      <w:r>
        <w:rPr>
          <w:rtl w:val="true"/>
        </w:rPr>
        <w:t>ולא חשש טומאה</w:t>
      </w:r>
      <w:r>
        <w:rPr>
          <w:rtl w:val="true"/>
        </w:rPr>
        <w:t xml:space="preserve">. </w:t>
      </w:r>
      <w:r>
        <w:rPr>
          <w:rtl w:val="true"/>
        </w:rPr>
        <w:t>חולקים ר</w:t>
      </w:r>
      <w:r>
        <w:rPr>
          <w:rtl w:val="true"/>
        </w:rPr>
        <w:t>"</w:t>
      </w:r>
      <w:r>
        <w:rPr>
          <w:rtl w:val="true"/>
        </w:rPr>
        <w:t>י ור</w:t>
      </w:r>
      <w:r>
        <w:rPr>
          <w:rtl w:val="true"/>
        </w:rPr>
        <w:t>"</w:t>
      </w:r>
      <w:r>
        <w:rPr>
          <w:rtl w:val="true"/>
        </w:rPr>
        <w:t xml:space="preserve">ל בזה </w:t>
      </w:r>
      <w:r>
        <w:rPr>
          <w:rtl w:val="true"/>
        </w:rPr>
        <w:t>(</w:t>
      </w:r>
      <w:r>
        <w:rPr>
          <w:rtl w:val="true"/>
        </w:rPr>
        <w:t>שרק ר</w:t>
      </w:r>
      <w:r>
        <w:rPr>
          <w:rtl w:val="true"/>
        </w:rPr>
        <w:t>"</w:t>
      </w:r>
      <w:r>
        <w:rPr>
          <w:rtl w:val="true"/>
        </w:rPr>
        <w:t>ל אמר שהוא פסול גוף</w:t>
      </w:r>
      <w:r>
        <w:rPr>
          <w:rtl w:val="true"/>
        </w:rPr>
        <w:t xml:space="preserve">). </w:t>
      </w:r>
      <w:r>
        <w:rPr>
          <w:rtl w:val="true"/>
        </w:rPr>
        <w:t>מתרץ שאסורים לכהנים כיון שעשו מעלה שאין זריעה מטהר לאכילת קדשים</w:t>
      </w:r>
      <w:r>
        <w:rPr>
          <w:rtl w:val="true"/>
        </w:rPr>
        <w:t xml:space="preserve">, </w:t>
      </w:r>
      <w:r>
        <w:rPr>
          <w:rtl w:val="true"/>
        </w:rPr>
        <w:t>אם זורע אחר שכבר נעשה קשדים</w:t>
      </w:r>
      <w:r>
        <w:rPr>
          <w:rtl w:val="true"/>
        </w:rPr>
        <w:t xml:space="preserve">. </w:t>
      </w:r>
      <w:r>
        <w:rPr>
          <w:rtl w:val="true"/>
        </w:rPr>
        <w:t>מזכיר כמה עוד מעלות</w:t>
      </w:r>
      <w:r>
        <w:rPr>
          <w:rStyle w:val="FootnoteAnchor"/>
          <w:rtl w:val="true"/>
        </w:rPr>
        <w:footnoteReference w:id="3"/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לא יכולים לדרוך</w:t>
      </w:r>
      <w:r>
        <w:rPr>
          <w:rtl w:val="true"/>
        </w:rPr>
        <w:t xml:space="preserve">, </w:t>
      </w:r>
      <w:r>
        <w:rPr>
          <w:rtl w:val="true"/>
        </w:rPr>
        <w:t>אף בציור שבדרך כלל לא יטמא</w:t>
      </w:r>
      <w:r>
        <w:rPr>
          <w:rtl w:val="true"/>
        </w:rPr>
        <w:t xml:space="preserve">, </w:t>
      </w:r>
      <w:r>
        <w:rPr>
          <w:rtl w:val="true"/>
        </w:rPr>
        <w:t>אם דורך אחר שכבר הקדיש</w:t>
      </w:r>
      <w:r>
        <w:rPr>
          <w:rtl w:val="true"/>
        </w:rPr>
        <w:t xml:space="preserve">. </w:t>
      </w:r>
      <w:r>
        <w:rPr>
          <w:rtl w:val="true"/>
        </w:rPr>
        <w:t>גמ’ מבאר שציור זה הוא</w:t>
      </w:r>
      <w:r>
        <w:rPr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אם הוא פחות מכזית</w:t>
      </w:r>
      <w:r>
        <w:rPr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אם נטמא פרי בשני</w:t>
      </w:r>
      <w:r>
        <w:rPr>
          <w:rtl w:val="true"/>
        </w:rPr>
        <w:t xml:space="preserve">, </w:t>
      </w:r>
      <w:r>
        <w:rPr>
          <w:rtl w:val="true"/>
        </w:rPr>
        <w:t>שאז לא יטמא משקין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"/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צריך לקדש מי חטאת בכלי שבו לקח מים</w:t>
      </w:r>
      <w:r>
        <w:rPr>
          <w:rtl w:val="true"/>
        </w:rPr>
        <w:t xml:space="preserve">, </w:t>
      </w:r>
      <w:r>
        <w:rPr>
          <w:rtl w:val="true"/>
        </w:rPr>
        <w:t>ולא לתת לכלי אחר</w:t>
      </w:r>
      <w:r>
        <w:rPr>
          <w:rtl w:val="true"/>
        </w:rPr>
        <w:t xml:space="preserve">, </w:t>
      </w:r>
      <w:r>
        <w:rPr>
          <w:rtl w:val="true"/>
        </w:rPr>
        <w:t xml:space="preserve">אף שיכול מדאו’ </w:t>
      </w:r>
      <w:r>
        <w:rPr>
          <w:rtl w:val="true"/>
        </w:rPr>
        <w:t>(</w:t>
      </w:r>
      <w:r>
        <w:rPr>
          <w:rtl w:val="true"/>
        </w:rPr>
        <w:t>שנ’</w:t>
      </w:r>
      <w:r>
        <w:rPr>
          <w:rtl w:val="true"/>
        </w:rPr>
        <w:t>, “</w:t>
      </w:r>
      <w:r>
        <w:rPr>
          <w:rtl w:val="true"/>
        </w:rPr>
        <w:t>ונתן</w:t>
      </w:r>
      <w:r>
        <w:rPr>
          <w:rtl w:val="true"/>
        </w:rPr>
        <w:t>").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מחוסר כפורים אינו יכול לאכול קודש עד שמביא קרבן</w:t>
      </w:r>
      <w:r>
        <w:rPr>
          <w:rtl w:val="true"/>
        </w:rPr>
        <w:t xml:space="preserve">, </w:t>
      </w:r>
      <w:r>
        <w:rPr>
          <w:rtl w:val="true"/>
        </w:rPr>
        <w:t>אף שכבר העריב שמשו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לבונה ועצים נטמאים</w:t>
      </w:r>
      <w:r>
        <w:rPr>
          <w:rtl w:val="true"/>
        </w:rPr>
        <w:t>.</w:t>
      </w:r>
    </w:p>
    <w:sectPr>
      <w:headerReference w:type="default" r:id="rId2"/>
      <w:footnotePr>
        <w:numFmt w:val="decimal"/>
      </w:footnotePr>
      <w:type w:val="nextPage"/>
      <w:pgSz w:w="12240" w:h="15840"/>
      <w:pgMar w:left="1134" w:right="1134" w:gutter="0" w:header="1134" w:top="1679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הפשטות הוא שלא מטמא</w:t>
      </w:r>
      <w:r>
        <w:rPr>
          <w:rtl w:val="true"/>
        </w:rPr>
        <w:t xml:space="preserve">, </w:t>
      </w:r>
      <w:r>
        <w:rPr>
          <w:rtl w:val="true"/>
        </w:rPr>
        <w:t>אבל רש</w:t>
      </w:r>
      <w:r>
        <w:rPr>
          <w:rtl w:val="true"/>
        </w:rPr>
        <w:t>"</w:t>
      </w:r>
      <w:r>
        <w:rPr>
          <w:rtl w:val="true"/>
        </w:rPr>
        <w:t>י כ’ צד כאן שאף לא נטמא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ודן גמרא אם מעלות אלו הם אף בקדושת פה</w:t>
      </w:r>
      <w:r>
        <w:rPr>
          <w:rtl w:val="true"/>
        </w:rPr>
        <w:t xml:space="preserve">. </w:t>
      </w:r>
      <w:r>
        <w:rPr>
          <w:rtl w:val="true"/>
        </w:rPr>
        <w:t xml:space="preserve">פשוט שהם בקדושת פה כשאי אפשר להיות יותר מכך </w:t>
      </w:r>
      <w:r>
        <w:rPr>
          <w:rtl w:val="true"/>
        </w:rPr>
        <w:t>(</w:t>
      </w:r>
      <w:r>
        <w:rPr>
          <w:rtl w:val="true"/>
        </w:rPr>
        <w:t>כגון גבי תרומה</w:t>
      </w:r>
      <w:r>
        <w:rPr>
          <w:rtl w:val="true"/>
        </w:rPr>
        <w:t xml:space="preserve">), </w:t>
      </w:r>
      <w:r>
        <w:rPr>
          <w:rtl w:val="true"/>
        </w:rPr>
        <w:t>אבל דן כשיהיה יותר מכך</w:t>
      </w:r>
      <w:r>
        <w:rPr>
          <w:rtl w:val="true"/>
        </w:rPr>
        <w:t xml:space="preserve">, </w:t>
      </w:r>
      <w:r>
        <w:rPr>
          <w:rtl w:val="true"/>
        </w:rPr>
        <w:t>כמו מנחות</w:t>
      </w:r>
      <w:r>
        <w:rPr>
          <w:rtl w:val="true"/>
        </w:rPr>
        <w:t>.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אומר שני תירוצים אלו</w:t>
      </w:r>
      <w:r>
        <w:rPr>
          <w:rtl w:val="true"/>
        </w:rPr>
        <w:t xml:space="preserve">. </w:t>
      </w:r>
      <w:r>
        <w:rPr>
          <w:rtl w:val="true"/>
        </w:rPr>
        <w:t>יש לדון מה אחד סובר על חברו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b/>
        <w:b/>
        <w:bCs/>
      </w:rPr>
    </w:pPr>
    <w:r>
      <w:rPr>
        <w:b/>
        <w:b/>
        <w:bCs/>
        <w:rtl w:val="true"/>
      </w:rPr>
      <w:t>דף לג</w:t>
    </w:r>
    <w:r>
      <w:rPr>
        <w:b/>
        <w:bCs/>
        <w:rtl w:val="true"/>
      </w:rPr>
      <w:t xml:space="preserve">- </w:t>
    </w:r>
    <w:r>
      <w:rPr>
        <w:b/>
        <w:b/>
        <w:bCs/>
        <w:rtl w:val="true"/>
      </w:rPr>
      <w:t>לה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  <w:lang w:val="zxx" w:eastAsia="zxx" w:bidi="zxx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LibreOffice/7.3.2.2$Windows_X86_64 LibreOffice_project/49f2b1bff42cfccbd8f788c8dc32c1c309559be0</Application>
  <AppVersion>15.0000</AppVersion>
  <Pages>1</Pages>
  <Words>358</Words>
  <Characters>1483</Characters>
  <CharactersWithSpaces>1821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2023-03-28T06:47:22Z</dcterms:created>
  <dc:creator/>
  <dc:description/>
  <dc:language>en-US</dc:language>
  <cp:lastModifiedBy/>
  <dcterms:modified xsi:type="dcterms:W3CDTF">2023-03-28T07:07:06Z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