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1"/>
        <w:jc w:val="left"/>
        <w:rPr/>
      </w:pPr>
      <w:r>
        <w:rPr>
          <w:rtl w:val="true"/>
        </w:rPr>
        <w:t>בתערובת</w:t>
      </w:r>
      <w:r>
        <w:rPr>
          <w:rtl w:val="true"/>
        </w:rPr>
        <w:t xml:space="preserve">, </w:t>
      </w:r>
      <w:r>
        <w:rPr>
          <w:rtl w:val="true"/>
        </w:rPr>
        <w:t>יש שלש דרכים לאסור</w:t>
      </w:r>
      <w:r>
        <w:rPr>
          <w:rtl w:val="true"/>
        </w:rPr>
        <w:t>:</w:t>
      </w:r>
    </w:p>
    <w:p>
      <w:pPr>
        <w:pStyle w:val="Normal"/>
        <w:numPr>
          <w:ilvl w:val="0"/>
          <w:numId w:val="2"/>
        </w:numPr>
        <w:bidi w:val="1"/>
        <w:jc w:val="left"/>
        <w:rPr/>
      </w:pPr>
      <w:r>
        <w:rPr>
          <w:rtl w:val="true"/>
        </w:rPr>
        <w:t>אכילת כזית בכדי אכילת פרס</w:t>
      </w:r>
      <w:r>
        <w:rPr>
          <w:rtl w:val="true"/>
        </w:rPr>
        <w:t xml:space="preserve">. </w:t>
      </w:r>
      <w:r>
        <w:rPr>
          <w:rtl w:val="true"/>
        </w:rPr>
        <w:t>זה נוהג בכל איסורים</w:t>
      </w:r>
      <w:r>
        <w:rPr>
          <w:rtl w:val="true"/>
        </w:rPr>
        <w:t xml:space="preserve">, </w:t>
      </w:r>
      <w:r>
        <w:rPr>
          <w:rtl w:val="true"/>
        </w:rPr>
        <w:t>ונלמד מהלכה לשמה מסיני</w:t>
      </w:r>
      <w:r>
        <w:rPr>
          <w:rtl w:val="true"/>
        </w:rPr>
        <w:t>.</w:t>
      </w:r>
    </w:p>
    <w:p>
      <w:pPr>
        <w:pStyle w:val="Normal"/>
        <w:numPr>
          <w:ilvl w:val="0"/>
          <w:numId w:val="2"/>
        </w:numPr>
        <w:bidi w:val="1"/>
        <w:jc w:val="left"/>
        <w:rPr/>
      </w:pPr>
      <w:r>
        <w:rPr>
          <w:rtl w:val="true"/>
        </w:rPr>
        <w:t>היתר מצטרף לאיסור</w:t>
      </w:r>
      <w:r>
        <w:rPr>
          <w:rtl w:val="true"/>
        </w:rPr>
        <w:t xml:space="preserve">. </w:t>
      </w:r>
      <w:r>
        <w:rPr>
          <w:rtl w:val="true"/>
        </w:rPr>
        <w:t xml:space="preserve">כן הוא הדין באיסור חמץ לאוסרים תערובת </w:t>
      </w:r>
      <w:r>
        <w:rPr>
          <w:rtl w:val="true"/>
        </w:rPr>
        <w:t>(</w:t>
      </w:r>
      <w:r>
        <w:rPr>
          <w:rtl w:val="true"/>
        </w:rPr>
        <w:t>ר</w:t>
      </w:r>
      <w:r>
        <w:rPr>
          <w:rtl w:val="true"/>
        </w:rPr>
        <w:t>"</w:t>
      </w:r>
      <w:r>
        <w:rPr>
          <w:rtl w:val="true"/>
        </w:rPr>
        <w:t>א</w:t>
      </w:r>
      <w:r>
        <w:rPr>
          <w:rtl w:val="true"/>
        </w:rPr>
        <w:t xml:space="preserve">, </w:t>
      </w:r>
      <w:r>
        <w:rPr>
          <w:rtl w:val="true"/>
        </w:rPr>
        <w:t>ואולי אף ר</w:t>
      </w:r>
      <w:r>
        <w:rPr>
          <w:rtl w:val="true"/>
        </w:rPr>
        <w:t>"</w:t>
      </w:r>
      <w:r>
        <w:rPr>
          <w:rtl w:val="true"/>
        </w:rPr>
        <w:t>מ</w:t>
      </w:r>
      <w:r>
        <w:rPr>
          <w:rtl w:val="true"/>
        </w:rPr>
        <w:t xml:space="preserve">), </w:t>
      </w:r>
      <w:r>
        <w:rPr>
          <w:rtl w:val="true"/>
        </w:rPr>
        <w:t>שכ’</w:t>
      </w:r>
      <w:r>
        <w:rPr>
          <w:rtl w:val="true"/>
        </w:rPr>
        <w:t>, “</w:t>
      </w:r>
      <w:r>
        <w:rPr>
          <w:rtl w:val="true"/>
        </w:rPr>
        <w:t>כל מחמצת</w:t>
      </w:r>
      <w:r>
        <w:rPr>
          <w:rtl w:val="true"/>
        </w:rPr>
        <w:t xml:space="preserve">,” </w:t>
      </w:r>
      <w:r>
        <w:rPr>
          <w:rtl w:val="true"/>
        </w:rPr>
        <w:t>וכן הוא הדין באיסורי נזיר</w:t>
      </w:r>
      <w:r>
        <w:rPr>
          <w:rtl w:val="true"/>
        </w:rPr>
        <w:t xml:space="preserve">, </w:t>
      </w:r>
      <w:r>
        <w:rPr>
          <w:rtl w:val="true"/>
        </w:rPr>
        <w:t>שכ’</w:t>
      </w:r>
      <w:r>
        <w:rPr>
          <w:rtl w:val="true"/>
        </w:rPr>
        <w:t>, “</w:t>
      </w:r>
      <w:r>
        <w:rPr>
          <w:rtl w:val="true"/>
        </w:rPr>
        <w:t>משרת</w:t>
      </w:r>
      <w:r>
        <w:rPr>
          <w:rtl w:val="true"/>
        </w:rPr>
        <w:t xml:space="preserve">." </w:t>
      </w:r>
      <w:r>
        <w:rPr>
          <w:rtl w:val="true"/>
        </w:rPr>
        <w:t>חולקים אם הוא כן לר</w:t>
      </w:r>
      <w:r>
        <w:rPr>
          <w:rtl w:val="true"/>
        </w:rPr>
        <w:t>"</w:t>
      </w:r>
      <w:r>
        <w:rPr>
          <w:rtl w:val="true"/>
        </w:rPr>
        <w:t>א אף בהקטרת שאור</w:t>
      </w:r>
      <w:r>
        <w:rPr>
          <w:rtl w:val="true"/>
        </w:rPr>
        <w:t xml:space="preserve">, </w:t>
      </w:r>
      <w:r>
        <w:rPr>
          <w:rtl w:val="true"/>
        </w:rPr>
        <w:t>שכ’</w:t>
      </w:r>
      <w:r>
        <w:rPr>
          <w:rtl w:val="true"/>
        </w:rPr>
        <w:t>, “</w:t>
      </w:r>
      <w:r>
        <w:rPr>
          <w:rtl w:val="true"/>
        </w:rPr>
        <w:t>כל שאור לא תקטירו</w:t>
      </w:r>
      <w:r>
        <w:rPr>
          <w:rtl w:val="true"/>
        </w:rPr>
        <w:t xml:space="preserve">.” </w:t>
      </w:r>
      <w:r>
        <w:rPr>
          <w:rtl w:val="true"/>
        </w:rPr>
        <w:t>כן הוא הדין בחטאת לכולי עלמא</w:t>
      </w:r>
      <w:r>
        <w:rPr>
          <w:rtl w:val="true"/>
        </w:rPr>
        <w:t>.</w:t>
      </w:r>
    </w:p>
    <w:p>
      <w:pPr>
        <w:pStyle w:val="Normal"/>
        <w:numPr>
          <w:ilvl w:val="0"/>
          <w:numId w:val="0"/>
        </w:numPr>
        <w:bidi w:val="1"/>
        <w:ind w:left="720" w:hanging="0"/>
        <w:jc w:val="left"/>
        <w:rPr/>
      </w:pPr>
      <w:r>
        <w:rPr>
          <w:rtl w:val="true"/>
        </w:rPr>
        <w:t>דין ראשון ושלישי יהיו רק לר</w:t>
      </w:r>
      <w:r>
        <w:rPr>
          <w:rtl w:val="true"/>
        </w:rPr>
        <w:t>"</w:t>
      </w:r>
      <w:r>
        <w:rPr>
          <w:rtl w:val="true"/>
        </w:rPr>
        <w:t>א</w:t>
      </w:r>
      <w:r>
        <w:rPr>
          <w:rtl w:val="true"/>
        </w:rPr>
        <w:t xml:space="preserve">. </w:t>
      </w:r>
      <w:r>
        <w:rPr>
          <w:rtl w:val="true"/>
        </w:rPr>
        <w:t>דין שני הוא רק לר</w:t>
      </w:r>
      <w:r>
        <w:rPr>
          <w:rtl w:val="true"/>
        </w:rPr>
        <w:t>"</w:t>
      </w:r>
      <w:r>
        <w:rPr>
          <w:rtl w:val="true"/>
        </w:rPr>
        <w:t>ע</w:t>
      </w:r>
      <w:r>
        <w:rPr>
          <w:rtl w:val="true"/>
        </w:rPr>
        <w:t>.</w:t>
      </w:r>
    </w:p>
    <w:p>
      <w:pPr>
        <w:pStyle w:val="Normal"/>
        <w:numPr>
          <w:ilvl w:val="0"/>
          <w:numId w:val="0"/>
        </w:numPr>
        <w:bidi w:val="1"/>
        <w:ind w:left="720" w:hanging="0"/>
        <w:jc w:val="left"/>
        <w:rPr/>
      </w:pPr>
      <w:r>
        <w:rPr>
          <w:rtl w:val="true"/>
        </w:rPr>
        <w:t>לא לומדים מזה לשאר דינים</w:t>
      </w:r>
      <w:r>
        <w:rPr>
          <w:rtl w:val="true"/>
        </w:rPr>
        <w:t xml:space="preserve">. </w:t>
      </w:r>
      <w:r>
        <w:rPr>
          <w:rtl w:val="true"/>
        </w:rPr>
        <w:t>לרבנן לא לומדים</w:t>
      </w:r>
      <w:r>
        <w:rPr>
          <w:rtl w:val="true"/>
        </w:rPr>
        <w:t xml:space="preserve">, </w:t>
      </w:r>
      <w:r>
        <w:rPr>
          <w:rtl w:val="true"/>
        </w:rPr>
        <w:t>שנוהג רק בחטאת</w:t>
      </w:r>
      <w:r>
        <w:rPr>
          <w:rtl w:val="true"/>
        </w:rPr>
        <w:t xml:space="preserve">, </w:t>
      </w:r>
      <w:r>
        <w:rPr>
          <w:rtl w:val="true"/>
        </w:rPr>
        <w:t>שהוא קדשים</w:t>
      </w:r>
      <w:r>
        <w:rPr>
          <w:rtl w:val="true"/>
        </w:rPr>
        <w:t xml:space="preserve">. </w:t>
      </w:r>
      <w:r>
        <w:rPr>
          <w:rtl w:val="true"/>
        </w:rPr>
        <w:t>לר</w:t>
      </w:r>
      <w:r>
        <w:rPr>
          <w:rtl w:val="true"/>
        </w:rPr>
        <w:t>"</w:t>
      </w:r>
      <w:r>
        <w:rPr>
          <w:rtl w:val="true"/>
        </w:rPr>
        <w:t>ע לא לומדים</w:t>
      </w:r>
      <w:r>
        <w:rPr>
          <w:rtl w:val="true"/>
        </w:rPr>
        <w:t xml:space="preserve">, </w:t>
      </w:r>
      <w:r>
        <w:rPr>
          <w:rtl w:val="true"/>
        </w:rPr>
        <w:t>שהוא שני כ’ הבאים כאחד</w:t>
      </w:r>
      <w:r>
        <w:rPr>
          <w:rtl w:val="true"/>
        </w:rPr>
        <w:t xml:space="preserve">, </w:t>
      </w:r>
      <w:r>
        <w:rPr>
          <w:rtl w:val="true"/>
        </w:rPr>
        <w:t>שלא צ’ איסור בחטאת</w:t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2"/>
      </w:r>
    </w:p>
    <w:p>
      <w:pPr>
        <w:pStyle w:val="Normal"/>
        <w:numPr>
          <w:ilvl w:val="0"/>
          <w:numId w:val="0"/>
        </w:numPr>
        <w:bidi w:val="1"/>
        <w:ind w:left="720" w:hanging="0"/>
        <w:jc w:val="left"/>
        <w:rPr/>
      </w:pPr>
      <w:r>
        <w:rPr>
          <w:rtl w:val="true"/>
        </w:rPr>
        <w:t>אף כשאיסור והיתר מצטרפים</w:t>
      </w:r>
      <w:r>
        <w:rPr>
          <w:rtl w:val="true"/>
        </w:rPr>
        <w:t xml:space="preserve">, </w:t>
      </w:r>
      <w:r>
        <w:rPr>
          <w:rtl w:val="true"/>
        </w:rPr>
        <w:t>מצטרפים רק בבת אחת</w:t>
      </w:r>
      <w:r>
        <w:rPr>
          <w:rtl w:val="true"/>
        </w:rPr>
        <w:t xml:space="preserve">. </w:t>
      </w:r>
      <w:r>
        <w:rPr>
          <w:rtl w:val="true"/>
        </w:rPr>
        <w:t xml:space="preserve">יש דברים אחרים </w:t>
      </w:r>
      <w:r>
        <w:rPr>
          <w:rtl w:val="true"/>
        </w:rPr>
        <w:t>(</w:t>
      </w:r>
      <w:r>
        <w:rPr>
          <w:rtl w:val="true"/>
        </w:rPr>
        <w:t>כמו איסורי נזיר</w:t>
      </w:r>
      <w:r>
        <w:rPr>
          <w:rtl w:val="true"/>
        </w:rPr>
        <w:t xml:space="preserve">) </w:t>
      </w:r>
      <w:r>
        <w:rPr>
          <w:rtl w:val="true"/>
        </w:rPr>
        <w:t xml:space="preserve">שאף מצטרפים זה אחר זה </w:t>
      </w:r>
      <w:r>
        <w:rPr>
          <w:rtl w:val="true"/>
        </w:rPr>
        <w:t>(</w:t>
      </w:r>
      <w:r>
        <w:rPr>
          <w:rtl w:val="true"/>
        </w:rPr>
        <w:t>דכ’</w:t>
      </w:r>
      <w:r>
        <w:rPr>
          <w:rtl w:val="true"/>
        </w:rPr>
        <w:t>, “</w:t>
      </w:r>
      <w:r>
        <w:rPr>
          <w:rtl w:val="true"/>
        </w:rPr>
        <w:t>מחרצנים עד זג</w:t>
      </w:r>
      <w:r>
        <w:rPr>
          <w:rtl w:val="true"/>
        </w:rPr>
        <w:t>").</w:t>
      </w:r>
    </w:p>
    <w:p>
      <w:pPr>
        <w:pStyle w:val="Normal"/>
        <w:numPr>
          <w:ilvl w:val="0"/>
          <w:numId w:val="2"/>
        </w:numPr>
        <w:bidi w:val="1"/>
        <w:jc w:val="left"/>
        <w:rPr/>
      </w:pPr>
      <w:r>
        <w:rPr>
          <w:rtl w:val="true"/>
        </w:rPr>
        <w:t>טעם כעיקר</w:t>
      </w:r>
      <w:r>
        <w:rPr>
          <w:rtl w:val="true"/>
        </w:rPr>
        <w:t xml:space="preserve">. </w:t>
      </w:r>
      <w:r>
        <w:rPr>
          <w:rtl w:val="true"/>
        </w:rPr>
        <w:t>חולקים תנאים מהו המקור לזה</w:t>
      </w:r>
      <w:r>
        <w:rPr>
          <w:rtl w:val="true"/>
        </w:rPr>
        <w:t>:</w:t>
      </w:r>
    </w:p>
    <w:p>
      <w:pPr>
        <w:pStyle w:val="Normal"/>
        <w:numPr>
          <w:ilvl w:val="1"/>
          <w:numId w:val="2"/>
        </w:numPr>
        <w:bidi w:val="1"/>
        <w:jc w:val="left"/>
        <w:rPr/>
      </w:pPr>
      <w:r>
        <w:rPr>
          <w:rtl w:val="true"/>
        </w:rPr>
        <w:t>רבנן דורשים את זה מ</w:t>
      </w:r>
      <w:r>
        <w:rPr>
          <w:rtl w:val="true"/>
        </w:rPr>
        <w:t>"</w:t>
      </w:r>
      <w:r>
        <w:rPr>
          <w:rtl w:val="true"/>
        </w:rPr>
        <w:t>משרת</w:t>
      </w:r>
      <w:r>
        <w:rPr>
          <w:rtl w:val="true"/>
        </w:rPr>
        <w:t xml:space="preserve">,” </w:t>
      </w:r>
      <w:r>
        <w:rPr>
          <w:rtl w:val="true"/>
        </w:rPr>
        <w:t>ומלמדים לכל איסורי תורה</w:t>
      </w:r>
      <w:r>
        <w:rPr>
          <w:rtl w:val="true"/>
        </w:rPr>
        <w:t>.</w:t>
      </w:r>
    </w:p>
    <w:p>
      <w:pPr>
        <w:pStyle w:val="Normal"/>
        <w:numPr>
          <w:ilvl w:val="1"/>
          <w:numId w:val="2"/>
        </w:numPr>
        <w:bidi w:val="1"/>
        <w:jc w:val="left"/>
        <w:rPr/>
      </w:pPr>
      <w:r>
        <w:rPr>
          <w:rtl w:val="true"/>
        </w:rPr>
        <w:t>ר</w:t>
      </w:r>
      <w:r>
        <w:rPr>
          <w:rtl w:val="true"/>
        </w:rPr>
        <w:t>"</w:t>
      </w:r>
      <w:r>
        <w:rPr>
          <w:rtl w:val="true"/>
        </w:rPr>
        <w:t>ע לומד את זה מ</w:t>
      </w:r>
      <w:r>
        <w:rPr>
          <w:rtl w:val="true"/>
        </w:rPr>
        <w:t>:</w:t>
      </w:r>
    </w:p>
    <w:p>
      <w:pPr>
        <w:pStyle w:val="Normal"/>
        <w:numPr>
          <w:ilvl w:val="2"/>
          <w:numId w:val="2"/>
        </w:numPr>
        <w:bidi w:val="1"/>
        <w:jc w:val="left"/>
        <w:rPr/>
      </w:pPr>
      <w:r>
        <w:rPr>
          <w:rtl w:val="true"/>
        </w:rPr>
        <w:t>בשר בחלב</w:t>
      </w:r>
      <w:r>
        <w:rPr>
          <w:rtl w:val="true"/>
        </w:rPr>
        <w:t xml:space="preserve">. </w:t>
      </w:r>
      <w:r>
        <w:rPr>
          <w:rtl w:val="true"/>
        </w:rPr>
        <w:t>גמ’ דוחה שחידוש הוא</w:t>
      </w:r>
      <w:r>
        <w:rPr>
          <w:rtl w:val="true"/>
        </w:rPr>
        <w:t xml:space="preserve">, </w:t>
      </w:r>
      <w:r>
        <w:rPr>
          <w:rtl w:val="true"/>
        </w:rPr>
        <w:t>שלא נאסר בשרייה</w:t>
      </w:r>
      <w:r>
        <w:rPr>
          <w:rtl w:val="true"/>
        </w:rPr>
        <w:t xml:space="preserve">, </w:t>
      </w:r>
      <w:r>
        <w:rPr>
          <w:rtl w:val="true"/>
        </w:rPr>
        <w:t>אלא בבישטל</w:t>
      </w:r>
      <w:r>
        <w:rPr>
          <w:rtl w:val="true"/>
        </w:rPr>
        <w:t>.</w:t>
      </w:r>
    </w:p>
    <w:p>
      <w:pPr>
        <w:pStyle w:val="Normal"/>
        <w:numPr>
          <w:ilvl w:val="2"/>
          <w:numId w:val="2"/>
        </w:numPr>
        <w:bidi w:val="1"/>
        <w:jc w:val="left"/>
        <w:rPr/>
      </w:pPr>
      <w:r>
        <w:rPr>
          <w:rtl w:val="true"/>
        </w:rPr>
        <w:t>גיעולי נכרים</w:t>
      </w:r>
      <w:r>
        <w:rPr>
          <w:rtl w:val="true"/>
        </w:rPr>
        <w:t xml:space="preserve">. </w:t>
      </w:r>
      <w:r>
        <w:rPr>
          <w:rtl w:val="true"/>
        </w:rPr>
        <w:t>גמ’ דוחה שחידוש הוא</w:t>
      </w:r>
      <w:r>
        <w:rPr>
          <w:rtl w:val="true"/>
        </w:rPr>
        <w:t xml:space="preserve">, </w:t>
      </w:r>
      <w:r>
        <w:rPr>
          <w:rtl w:val="true"/>
        </w:rPr>
        <w:t>שאוסר נ</w:t>
      </w:r>
      <w:r>
        <w:rPr>
          <w:rtl w:val="true"/>
        </w:rPr>
        <w:t>"</w:t>
      </w:r>
      <w:r>
        <w:rPr>
          <w:rtl w:val="true"/>
        </w:rPr>
        <w:t>ט לפגם</w:t>
      </w:r>
      <w:r>
        <w:rPr>
          <w:rtl w:val="true"/>
        </w:rPr>
        <w:t xml:space="preserve">. </w:t>
      </w:r>
      <w:r>
        <w:rPr>
          <w:rtl w:val="true"/>
        </w:rPr>
        <w:t>ר</w:t>
      </w:r>
      <w:r>
        <w:rPr>
          <w:rtl w:val="true"/>
        </w:rPr>
        <w:t>"</w:t>
      </w:r>
      <w:r>
        <w:rPr>
          <w:rtl w:val="true"/>
        </w:rPr>
        <w:t>ע דוחה שנאסרו אלו שהיו בני יומם</w:t>
      </w:r>
      <w:r>
        <w:rPr>
          <w:rtl w:val="true"/>
        </w:rPr>
        <w:t xml:space="preserve">, </w:t>
      </w:r>
      <w:r>
        <w:rPr>
          <w:rtl w:val="true"/>
        </w:rPr>
        <w:t>ונ</w:t>
      </w:r>
      <w:r>
        <w:rPr>
          <w:rtl w:val="true"/>
        </w:rPr>
        <w:t>"</w:t>
      </w:r>
      <w:r>
        <w:rPr>
          <w:rtl w:val="true"/>
        </w:rPr>
        <w:t>ט לשבח</w:t>
      </w:r>
      <w:r>
        <w:rPr>
          <w:rtl w:val="true"/>
        </w:rPr>
        <w:t xml:space="preserve">. </w:t>
      </w:r>
      <w:r>
        <w:rPr>
          <w:rtl w:val="true"/>
        </w:rPr>
        <w:t>רבנן דוחים שבהכרח נתנו טעם לפגם</w:t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3"/>
      </w:r>
    </w:p>
    <w:p>
      <w:pPr>
        <w:pStyle w:val="Normal"/>
        <w:numPr>
          <w:ilvl w:val="0"/>
          <w:numId w:val="0"/>
        </w:numPr>
        <w:bidi w:val="1"/>
        <w:ind w:left="1080" w:hanging="0"/>
        <w:jc w:val="left"/>
        <w:rPr/>
      </w:pPr>
      <w:r>
        <w:rPr>
          <w:rtl w:val="true"/>
        </w:rPr>
        <w:t>לומדים מכאן לכל התורה</w:t>
      </w:r>
      <w:r>
        <w:rPr>
          <w:rtl w:val="true"/>
        </w:rPr>
        <w:t>.</w:t>
      </w:r>
    </w:p>
    <w:sectPr>
      <w:headerReference w:type="default" r:id="rId2"/>
      <w:footnotePr>
        <w:numFmt w:val="decimal"/>
      </w:footnotePr>
      <w:type w:val="nextPage"/>
      <w:pgSz w:w="12240" w:h="15840"/>
      <w:pgMar w:left="1134" w:right="1134" w:gutter="0" w:header="1134" w:top="1679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>
        <w:separator/>
      </w:r>
    </w:p>
  </w:footnote>
  <w:footnote w:id="1" w:type="continuationSeparator">
    <w:p>
      <w:pPr>
        <w:rPr>
          <w:sz w:val="12"/>
        </w:rPr>
      </w:pPr>
      <w:r>
        <w:continuationSeparator/>
      </w:r>
    </w:p>
  </w:footnote>
  <w:footnote w:id="2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גמרא מפרש שמחמת זה הוא שני כ’ הבאים כאחד</w:t>
      </w:r>
      <w:r>
        <w:rPr>
          <w:rtl w:val="true"/>
        </w:rPr>
        <w:t xml:space="preserve">. </w:t>
      </w:r>
      <w:r>
        <w:rPr>
          <w:rtl w:val="true"/>
        </w:rPr>
        <w:t>אין צ’ כן</w:t>
      </w:r>
      <w:r>
        <w:rPr>
          <w:rtl w:val="true"/>
        </w:rPr>
        <w:t xml:space="preserve">, </w:t>
      </w:r>
      <w:r>
        <w:rPr>
          <w:rtl w:val="true"/>
        </w:rPr>
        <w:t>אלא היה יכול להיות שהוא כן מחמת חמץ ונזיר או כדומה</w:t>
      </w:r>
      <w:r>
        <w:rPr>
          <w:rtl w:val="true"/>
        </w:rPr>
        <w:t xml:space="preserve">, </w:t>
      </w:r>
      <w:r>
        <w:rPr>
          <w:rtl w:val="true"/>
        </w:rPr>
        <w:t>אלא שאין לנו הכרח שסובר כר</w:t>
      </w:r>
      <w:r>
        <w:rPr>
          <w:rtl w:val="true"/>
        </w:rPr>
        <w:t>"</w:t>
      </w:r>
      <w:r>
        <w:rPr>
          <w:rtl w:val="true"/>
        </w:rPr>
        <w:t>א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</w:footnote>
  <w:footnote w:id="3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אגב</w:t>
      </w:r>
      <w:r>
        <w:rPr>
          <w:rtl w:val="true"/>
        </w:rPr>
        <w:t xml:space="preserve">, </w:t>
      </w:r>
      <w:r>
        <w:rPr>
          <w:rtl w:val="true"/>
        </w:rPr>
        <w:t>קצת צריך ביאור שבסוף ע</w:t>
      </w:r>
      <w:r>
        <w:rPr>
          <w:rtl w:val="true"/>
        </w:rPr>
        <w:t>"</w:t>
      </w:r>
      <w:r>
        <w:rPr>
          <w:rtl w:val="true"/>
        </w:rPr>
        <w:t>ז משמע שמי שאוסר נ</w:t>
      </w:r>
      <w:r>
        <w:rPr>
          <w:rtl w:val="true"/>
        </w:rPr>
        <w:t>"</w:t>
      </w:r>
      <w:r>
        <w:rPr>
          <w:rtl w:val="true"/>
        </w:rPr>
        <w:t>ט לפגם לומד מזה לאסור</w:t>
      </w:r>
      <w:r>
        <w:rPr>
          <w:rtl w:val="true"/>
        </w:rPr>
        <w:t xml:space="preserve">.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צריך לומר שרבנן לא אומרים כן</w:t>
      </w:r>
      <w:r>
        <w:rPr>
          <w:rtl w:val="true"/>
        </w:rPr>
        <w:t xml:space="preserve">, </w:t>
      </w:r>
      <w:r>
        <w:rPr>
          <w:rtl w:val="true"/>
        </w:rPr>
        <w:t>שהרי אם כן אין חידוש בו</w:t>
      </w:r>
      <w:r>
        <w:rPr>
          <w:rtl w:val="true"/>
        </w:rPr>
        <w:t xml:space="preserve">, </w:t>
      </w:r>
      <w:r>
        <w:rPr>
          <w:rtl w:val="true"/>
        </w:rPr>
        <w:t>שכל התורה כן</w:t>
      </w:r>
      <w:r>
        <w:rPr>
          <w:rtl w:val="true"/>
        </w:rPr>
        <w:t xml:space="preserve">. </w:t>
      </w:r>
      <w:r>
        <w:rPr>
          <w:rtl w:val="true"/>
        </w:rPr>
        <w:t>ויש לדון ל</w:t>
      </w:r>
      <w:r>
        <w:rPr>
          <w:rtl w:val="true"/>
        </w:rPr>
        <w:t>"</w:t>
      </w:r>
      <w:r>
        <w:rPr>
          <w:rtl w:val="true"/>
        </w:rPr>
        <w:t>ל אומרים שכן סובר ר</w:t>
      </w:r>
      <w:r>
        <w:rPr>
          <w:rtl w:val="true"/>
        </w:rPr>
        <w:t>"</w:t>
      </w:r>
      <w:r>
        <w:rPr>
          <w:rtl w:val="true"/>
        </w:rPr>
        <w:t>ע</w:t>
      </w:r>
      <w:r>
        <w:rPr>
          <w:rtl w:val="true"/>
        </w:rPr>
        <w:t xml:space="preserve">. </w:t>
      </w:r>
      <w:r>
        <w:rPr>
          <w:rtl w:val="true"/>
        </w:rPr>
        <w:t>ותו</w:t>
      </w:r>
      <w:r>
        <w:rPr>
          <w:rtl w:val="true"/>
        </w:rPr>
        <w:t>"</w:t>
      </w:r>
      <w:r>
        <w:rPr>
          <w:rtl w:val="true"/>
        </w:rPr>
        <w:t>ת</w:t>
      </w:r>
      <w:r>
        <w:rPr>
          <w:rtl w:val="true"/>
        </w:rPr>
        <w:t xml:space="preserve">. </w:t>
      </w:r>
      <w:r>
        <w:rPr>
          <w:rtl w:val="true"/>
        </w:rPr>
        <w:t xml:space="preserve">אולי רוצים שיהיה כהלכה </w:t>
      </w:r>
      <w:r>
        <w:rPr>
          <w:rtl w:val="true"/>
        </w:rPr>
        <w:t>(</w:t>
      </w:r>
      <w:r>
        <w:rPr>
          <w:rtl w:val="true"/>
        </w:rPr>
        <w:t>שמותר</w:t>
      </w:r>
      <w:r>
        <w:rPr>
          <w:rtl w:val="true"/>
        </w:rPr>
        <w:t>).</w:t>
      </w:r>
    </w:p>
  </w:footnote>
</w:footnote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bidi w:val="1"/>
      <w:jc w:val="center"/>
      <w:rPr>
        <w:b/>
        <w:b/>
        <w:bCs/>
      </w:rPr>
    </w:pPr>
    <w:r>
      <w:rPr>
        <w:b/>
        <w:b/>
        <w:bCs/>
        <w:rtl w:val="true"/>
      </w:rPr>
      <w:t>איסור תערובת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footnotePr>
    <w:numFmt w:val="decimal"/>
    <w:footnote w:id="0"/>
    <w:footnote w:id="1"/>
  </w:foot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Shofar"/>
        <w:kern w:val="2"/>
        <w:sz w:val="24"/>
        <w:szCs w:val="24"/>
        <w:lang w:val="en-US" w:eastAsia="zh-CN" w:bidi="he-IL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Shofar"/>
      <w:color w:val="auto"/>
      <w:kern w:val="2"/>
      <w:sz w:val="24"/>
      <w:szCs w:val="24"/>
      <w:lang w:val="en-US" w:eastAsia="zh-CN" w:bidi="he-IL"/>
    </w:rPr>
  </w:style>
  <w:style w:type="character" w:styleId="NumberingSymbols">
    <w:name w:val="Numbering Symbols"/>
    <w:qFormat/>
    <w:rPr/>
  </w:style>
  <w:style w:type="character" w:styleId="FootnoteCharacters">
    <w:name w:val="Footnote Characters"/>
    <w:qFormat/>
    <w:rPr/>
  </w:style>
  <w:style w:type="character" w:styleId="FootnoteAnchor">
    <w:name w:val="Footnote Anchor"/>
    <w:rPr>
      <w:vertAlign w:val="superscript"/>
    </w:rPr>
  </w:style>
  <w:style w:type="character" w:styleId="EndnoteAnchor">
    <w:name w:val="Endnote Anchor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Shofar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Shofar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Shofar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Shofar"/>
      <w:lang w:val="zxx" w:eastAsia="zxx" w:bidi="zxx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Footnote">
    <w:name w:val="Footnote Text"/>
    <w:basedOn w:val="Normal"/>
    <w:pPr>
      <w:suppressLineNumbers/>
      <w:ind w:left="340" w:hanging="34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notes" Target="footnotes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21</TotalTime>
  <Application>LibreOffice/7.3.2.2$Windows_X86_64 LibreOffice_project/49f2b1bff42cfccbd8f788c8dc32c1c309559be0</Application>
  <AppVersion>15.0000</AppVersion>
  <Pages>1</Pages>
  <Words>262</Words>
  <Characters>1094</Characters>
  <CharactersWithSpaces>1334</CharactersWithSpaces>
  <Paragraphs>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2023-03-29T07:13:37Z</dcterms:created>
  <dc:creator/>
  <dc:description/>
  <dc:language>en-US</dc:language>
  <cp:lastModifiedBy/>
  <dcterms:modified xsi:type="dcterms:W3CDTF">2023-03-29T07:35:35Z</dcterms:modified>
  <cp:revision>17</cp:revision>
  <dc:subject/>
  <dc:title/>
</cp:coreProperties>
</file>