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1"/>
        <w:jc w:val="left"/>
        <w:rPr/>
      </w:pPr>
      <w:r>
        <w:rPr>
          <w:rtl w:val="true"/>
        </w:rPr>
        <w:t>גמרא מזכיר ששאל ר</w:t>
      </w:r>
      <w:r>
        <w:rPr>
          <w:rtl w:val="true"/>
        </w:rPr>
        <w:t>"</w:t>
      </w:r>
      <w:r>
        <w:rPr>
          <w:rtl w:val="true"/>
        </w:rPr>
        <w:t>ס לר</w:t>
      </w:r>
      <w:r>
        <w:rPr>
          <w:rtl w:val="true"/>
        </w:rPr>
        <w:t>"</w:t>
      </w:r>
      <w:r>
        <w:rPr>
          <w:rtl w:val="true"/>
        </w:rPr>
        <w:t>א מהו הדין במי שיודע בקביעת החדש שבא לבבל</w:t>
      </w:r>
      <w:r>
        <w:rPr>
          <w:rtl w:val="true"/>
        </w:rPr>
        <w:t xml:space="preserve">. </w:t>
      </w:r>
      <w:r>
        <w:rPr>
          <w:rtl w:val="true"/>
        </w:rPr>
        <w:t>אמר לו שצריך לנהוג כבני בבל</w:t>
      </w:r>
      <w:r>
        <w:rPr>
          <w:rtl w:val="true"/>
        </w:rPr>
        <w:t xml:space="preserve">, </w:t>
      </w:r>
      <w:r>
        <w:rPr>
          <w:rtl w:val="true"/>
        </w:rPr>
        <w:t>אבל רק ביישוב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תחילה</w:t>
      </w:r>
      <w:r>
        <w:rPr>
          <w:rtl w:val="true"/>
        </w:rPr>
        <w:t xml:space="preserve">, </w:t>
      </w:r>
      <w:r>
        <w:rPr>
          <w:rtl w:val="true"/>
        </w:rPr>
        <w:t>נדון בשיטת אביי</w:t>
      </w:r>
      <w:r>
        <w:rPr>
          <w:rtl w:val="true"/>
        </w:rPr>
        <w:t xml:space="preserve">. </w:t>
      </w:r>
      <w:r>
        <w:rPr>
          <w:rtl w:val="true"/>
        </w:rPr>
        <w:t>לאביי</w:t>
      </w:r>
      <w:r>
        <w:rPr>
          <w:rtl w:val="true"/>
        </w:rPr>
        <w:t xml:space="preserve">, </w:t>
      </w:r>
      <w:r>
        <w:rPr>
          <w:rtl w:val="true"/>
        </w:rPr>
        <w:t>יש רק דין ראשון</w:t>
      </w:r>
      <w:r>
        <w:rPr>
          <w:rtl w:val="true"/>
        </w:rPr>
        <w:t xml:space="preserve">. </w:t>
      </w:r>
      <w:r>
        <w:rPr>
          <w:rtl w:val="true"/>
        </w:rPr>
        <w:t>אז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צריך לומר שמה שהיה נוהג איסור היה כדי שלא לגרום מחלקת</w:t>
      </w:r>
      <w:r>
        <w:rPr>
          <w:rtl w:val="true"/>
        </w:rPr>
        <w:t xml:space="preserve">. </w:t>
      </w:r>
      <w:r>
        <w:rPr>
          <w:rtl w:val="true"/>
        </w:rPr>
        <w:t>יודעים שלאביי הדין הוא שבני ארץ ישראל חלוקים מבני בבל</w:t>
      </w:r>
      <w:r>
        <w:rPr>
          <w:rtl w:val="true"/>
        </w:rPr>
        <w:t xml:space="preserve">. </w:t>
      </w:r>
      <w:r>
        <w:rPr>
          <w:rtl w:val="true"/>
        </w:rPr>
        <w:t>בני בבל לא יכולים להקל אף בצנעה</w:t>
      </w:r>
      <w:r>
        <w:rPr>
          <w:rtl w:val="true"/>
        </w:rPr>
        <w:t xml:space="preserve">, </w:t>
      </w:r>
      <w:r>
        <w:rPr>
          <w:rtl w:val="true"/>
        </w:rPr>
        <w:t>אבל בני ארץ ישראל יכולים</w:t>
      </w:r>
      <w:r>
        <w:rPr>
          <w:rtl w:val="true"/>
        </w:rPr>
        <w:t xml:space="preserve">. </w:t>
      </w:r>
      <w:r>
        <w:rPr>
          <w:rtl w:val="true"/>
        </w:rPr>
        <w:t>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נמצא מגמרא לעיל</w:t>
      </w:r>
      <w:r>
        <w:rPr>
          <w:rtl w:val="true"/>
        </w:rPr>
        <w:t xml:space="preserve">, </w:t>
      </w:r>
      <w:r>
        <w:rPr>
          <w:rtl w:val="true"/>
        </w:rPr>
        <w:t>שאביי פירש שהיה מותר כיון שהיה מבני ארץ ישראל</w:t>
      </w:r>
      <w:r>
        <w:rPr>
          <w:rtl w:val="true"/>
        </w:rPr>
        <w:t xml:space="preserve">, </w:t>
      </w:r>
      <w:r>
        <w:rPr>
          <w:rtl w:val="true"/>
        </w:rPr>
        <w:t>אף שהיה עושה בצנעא</w:t>
      </w:r>
      <w:r>
        <w:rPr>
          <w:rtl w:val="true"/>
        </w:rPr>
        <w:t xml:space="preserve">. </w:t>
      </w:r>
      <w:r>
        <w:rPr>
          <w:rtl w:val="true"/>
        </w:rPr>
        <w:t>אם כן</w:t>
      </w:r>
      <w:r>
        <w:rPr>
          <w:rtl w:val="true"/>
        </w:rPr>
        <w:t xml:space="preserve">, </w:t>
      </w:r>
      <w:r>
        <w:rPr>
          <w:rtl w:val="true"/>
        </w:rPr>
        <w:t>לכאורה</w:t>
      </w:r>
      <w:r>
        <w:rPr>
          <w:rtl w:val="true"/>
        </w:rPr>
        <w:t xml:space="preserve">, </w:t>
      </w:r>
      <w:r>
        <w:rPr>
          <w:rtl w:val="true"/>
        </w:rPr>
        <w:t>לפי אביי</w:t>
      </w:r>
      <w:r>
        <w:rPr>
          <w:rtl w:val="true"/>
        </w:rPr>
        <w:t xml:space="preserve">, </w:t>
      </w:r>
      <w:r>
        <w:rPr>
          <w:rtl w:val="true"/>
        </w:rPr>
        <w:t>יוצא הדין כאן כמו המסקנא שם</w:t>
      </w:r>
      <w:r>
        <w:rPr>
          <w:rtl w:val="true"/>
        </w:rPr>
        <w:t xml:space="preserve">, </w:t>
      </w:r>
      <w:r>
        <w:rPr>
          <w:rtl w:val="true"/>
        </w:rPr>
        <w:t>אם נניח שאלו שידעו את קביעות הירח היו מא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יש להעיר שנמצא לאביי שחוששים מחמת מחלקת אף בצנעה</w:t>
      </w:r>
      <w:r>
        <w:rPr>
          <w:rtl w:val="true"/>
        </w:rPr>
        <w:t xml:space="preserve">. </w:t>
      </w:r>
      <w:r>
        <w:rPr>
          <w:rtl w:val="true"/>
        </w:rPr>
        <w:t>אולי חוששים שמא יימצא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 xml:space="preserve">. </w:t>
      </w:r>
      <w:r>
        <w:rPr>
          <w:rtl w:val="true"/>
        </w:rPr>
        <w:t>גם יש לומר שחוששים שמה שהדין הוא כן יגרום מחלקת</w:t>
      </w:r>
      <w:r>
        <w:rPr>
          <w:rtl w:val="true"/>
        </w:rPr>
        <w:t>.</w:t>
      </w:r>
    </w:p>
    <w:p>
      <w:pPr>
        <w:pStyle w:val="Normal"/>
        <w:bidi w:val="1"/>
        <w:jc w:val="left"/>
        <w:rPr/>
      </w:pPr>
      <w:r>
        <w:rPr>
          <w:rtl w:val="true"/>
        </w:rPr>
        <w:t>עכשיו</w:t>
      </w:r>
      <w:r>
        <w:rPr>
          <w:rtl w:val="true"/>
        </w:rPr>
        <w:t xml:space="preserve">, </w:t>
      </w:r>
      <w:r>
        <w:rPr>
          <w:rtl w:val="true"/>
        </w:rPr>
        <w:t>נדון לפי רבא</w:t>
      </w:r>
      <w:r>
        <w:rPr>
          <w:rtl w:val="true"/>
        </w:rPr>
        <w:t xml:space="preserve">. </w:t>
      </w:r>
      <w:r>
        <w:rPr>
          <w:rtl w:val="true"/>
        </w:rPr>
        <w:t>לרבא</w:t>
      </w:r>
      <w:r>
        <w:rPr>
          <w:rtl w:val="true"/>
        </w:rPr>
        <w:t xml:space="preserve">, </w:t>
      </w:r>
      <w:r>
        <w:rPr>
          <w:rtl w:val="true"/>
        </w:rPr>
        <w:t>יש שני דברים שיכולים לדון בהם</w:t>
      </w:r>
      <w:r>
        <w:rPr>
          <w:rtl w:val="true"/>
        </w:rPr>
        <w:t xml:space="preserve">. </w:t>
      </w:r>
      <w:r>
        <w:rPr>
          <w:rtl w:val="true"/>
        </w:rPr>
        <w:t>לרבא</w:t>
      </w:r>
      <w:r>
        <w:rPr>
          <w:rtl w:val="true"/>
        </w:rPr>
        <w:t xml:space="preserve">, </w:t>
      </w:r>
      <w:r>
        <w:rPr>
          <w:rtl w:val="true"/>
        </w:rPr>
        <w:t>מה שמותר במדבר יהיה אולי מפני שהוא מבני א</w:t>
      </w:r>
      <w:r>
        <w:rPr>
          <w:rtl w:val="true"/>
        </w:rPr>
        <w:t>"</w:t>
      </w:r>
      <w:r>
        <w:rPr>
          <w:rtl w:val="true"/>
        </w:rPr>
        <w:t>י או אולי מפני שדעתו לחזור</w:t>
      </w:r>
      <w:r>
        <w:rPr>
          <w:rtl w:val="true"/>
        </w:rPr>
        <w:t xml:space="preserve">. </w:t>
      </w:r>
      <w:r>
        <w:rPr>
          <w:rtl w:val="true"/>
        </w:rPr>
        <w:t>מה שאסור ביישוב היה אפשר לדון אם הוא מפני שגורם מחלקת</w:t>
      </w:r>
      <w:r>
        <w:rPr>
          <w:rtl w:val="true"/>
        </w:rPr>
        <w:t xml:space="preserve">, </w:t>
      </w:r>
      <w:r>
        <w:rPr>
          <w:rtl w:val="true"/>
        </w:rPr>
        <w:t>ואולי מפני סיבה אחרת</w:t>
      </w:r>
      <w:r>
        <w:rPr>
          <w:rtl w:val="true"/>
        </w:rPr>
        <w:t xml:space="preserve">. </w:t>
      </w:r>
      <w:r>
        <w:rPr>
          <w:rtl w:val="true"/>
        </w:rPr>
        <w:t>גמרא אומר בפירוש שחוששים מחמת המחלקת</w:t>
      </w:r>
      <w:r>
        <w:rPr>
          <w:rtl w:val="true"/>
        </w:rPr>
        <w:t xml:space="preserve">. </w:t>
      </w:r>
      <w:r>
        <w:rPr>
          <w:rtl w:val="true"/>
        </w:rPr>
        <w:t>נמצא שאין חשש מחמת סיבה אחרת</w:t>
      </w:r>
      <w:r>
        <w:rPr>
          <w:rtl w:val="true"/>
        </w:rPr>
        <w:t xml:space="preserve">. </w:t>
      </w:r>
      <w:r>
        <w:rPr>
          <w:rtl w:val="true"/>
        </w:rPr>
        <w:t>אולי זה מפני שבדרך כלל</w:t>
      </w:r>
      <w:r>
        <w:rPr>
          <w:rtl w:val="true"/>
        </w:rPr>
        <w:t xml:space="preserve">, </w:t>
      </w:r>
      <w:r>
        <w:rPr>
          <w:rtl w:val="true"/>
        </w:rPr>
        <w:t>אין סיבה אחרת</w:t>
      </w:r>
      <w:r>
        <w:rPr>
          <w:rtl w:val="true"/>
        </w:rPr>
        <w:t xml:space="preserve">, </w:t>
      </w:r>
      <w:r>
        <w:rPr>
          <w:rtl w:val="true"/>
        </w:rPr>
        <w:t>או הוא מפני שאותו סיבה לא ינהוג כלל</w:t>
      </w:r>
      <w:r>
        <w:rPr>
          <w:rtl w:val="true"/>
        </w:rPr>
        <w:t xml:space="preserve">. </w:t>
      </w:r>
      <w:r>
        <w:rPr>
          <w:rtl w:val="true"/>
        </w:rPr>
        <w:t>אולי לא ינהוג כיון שהוא מבני 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tl w:val="true"/>
        </w:rPr>
        <w:t xml:space="preserve">, </w:t>
      </w:r>
      <w:r>
        <w:rPr>
          <w:rtl w:val="true"/>
        </w:rPr>
        <w:t>ואולי לא ינהוג אם דעתו לחזור</w:t>
      </w:r>
      <w:r>
        <w:rPr>
          <w:rtl w:val="true"/>
        </w:rPr>
        <w:t xml:space="preserve">, </w:t>
      </w:r>
      <w:r>
        <w:rPr>
          <w:rtl w:val="true"/>
        </w:rPr>
        <w:t>ואולי לא ינהוג כיון שכאן לא תלוי במנהג</w:t>
      </w:r>
      <w:r>
        <w:rPr>
          <w:rtl w:val="true"/>
        </w:rPr>
        <w:t xml:space="preserve">, </w:t>
      </w:r>
      <w:r>
        <w:rPr>
          <w:rtl w:val="true"/>
        </w:rPr>
        <w:t xml:space="preserve">אלא בידיעה </w:t>
      </w:r>
      <w:r>
        <w:rPr>
          <w:rtl w:val="true"/>
        </w:rPr>
        <w:t>(</w:t>
      </w:r>
      <w:r>
        <w:rPr>
          <w:rtl w:val="true"/>
        </w:rPr>
        <w:t>ואף מייסדי מנהג בבל היו נוהגים כן בא</w:t>
      </w:r>
      <w:r>
        <w:rPr>
          <w:rtl w:val="true"/>
        </w:rPr>
        <w:t>"</w:t>
      </w:r>
      <w:r>
        <w:rPr>
          <w:rtl w:val="true"/>
        </w:rPr>
        <w:t>י</w:t>
      </w:r>
      <w:r>
        <w:rPr>
          <w:rStyle w:val="FootnoteAnchor"/>
          <w:rtl w:val="true"/>
        </w:rPr>
        <w:footnoteReference w:id="2"/>
      </w:r>
      <w:r>
        <w:rPr>
          <w:rtl w:val="true"/>
        </w:rPr>
        <w:t xml:space="preserve">). </w:t>
      </w:r>
      <w:r>
        <w:rPr>
          <w:rtl w:val="true"/>
        </w:rPr>
        <w:t>ותחשב</w:t>
      </w:r>
      <w:r>
        <w:rPr>
          <w:rtl w:val="true"/>
        </w:rPr>
        <w:t>.</w:t>
      </w:r>
    </w:p>
    <w:p>
      <w:pPr>
        <w:pStyle w:val="Normal"/>
        <w:bidi w:val="1"/>
        <w:jc w:val="left"/>
        <w:rPr>
          <w:b/>
          <w:b/>
          <w:bCs/>
        </w:rPr>
      </w:pPr>
      <w:r>
        <w:rPr>
          <w:rtl w:val="true"/>
        </w:rPr>
      </w:r>
    </w:p>
    <w:sectPr>
      <w:headerReference w:type="default" r:id="rId2"/>
      <w:footnotePr>
        <w:numFmt w:val="decimal"/>
      </w:footnotePr>
      <w:type w:val="nextPage"/>
      <w:pgSz w:w="12240" w:h="15840"/>
      <w:pgMar w:left="1134" w:right="1134" w:gutter="0" w:header="1134" w:top="1679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footnotes.xml><?xml version="1.0" encoding="utf-8"?>
<w:footnotes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footnote w:id="0" w:type="separator">
    <w:p>
      <w:pPr>
        <w:rPr>
          <w:sz w:val="12"/>
        </w:rPr>
      </w:pPr>
      <w:r>
        <w:separator/>
      </w:r>
    </w:p>
  </w:footnote>
  <w:footnote w:id="1" w:type="continuationSeparator">
    <w:p>
      <w:pPr>
        <w:rPr>
          <w:sz w:val="12"/>
        </w:rPr>
      </w:pPr>
      <w:r>
        <w:continuationSeparator/>
      </w:r>
    </w:p>
  </w:footnote>
  <w:footnote w:id="2">
    <w:p>
      <w:pPr>
        <w:pStyle w:val="Footnote"/>
        <w:bidi w:val="1"/>
        <w:jc w:val="left"/>
        <w:rPr/>
      </w:pPr>
      <w:r>
        <w:rPr>
          <w:rStyle w:val="FootnoteCharacters"/>
        </w:rPr>
        <w:footnoteRef/>
      </w:r>
      <w:r>
        <w:rPr>
          <w:rtl w:val="true"/>
        </w:rPr>
        <w:tab/>
        <w:t>לכאורה</w:t>
      </w:r>
      <w:r>
        <w:rPr>
          <w:rtl w:val="true"/>
        </w:rPr>
        <w:t xml:space="preserve">, </w:t>
      </w:r>
      <w:r>
        <w:rPr>
          <w:rtl w:val="true"/>
        </w:rPr>
        <w:t xml:space="preserve">זה תלוי במחלקת רבי יהודה ורבנן בפירות שביעית </w:t>
      </w:r>
      <w:r>
        <w:rPr>
          <w:rtl w:val="true"/>
        </w:rPr>
        <w:t>(</w:t>
      </w:r>
      <w:r>
        <w:rPr>
          <w:rtl w:val="true"/>
        </w:rPr>
        <w:t>אם נאמר כר</w:t>
      </w:r>
      <w:r>
        <w:rPr>
          <w:rtl w:val="true"/>
        </w:rPr>
        <w:t>"</w:t>
      </w:r>
      <w:r>
        <w:rPr>
          <w:rtl w:val="true"/>
        </w:rPr>
        <w:t>ש בדר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). </w:t>
      </w:r>
      <w:r>
        <w:rPr>
          <w:rtl w:val="true"/>
        </w:rPr>
        <w:t>אם אינו כרשבדר</w:t>
      </w:r>
      <w:r>
        <w:rPr>
          <w:rtl w:val="true"/>
        </w:rPr>
        <w:t>"</w:t>
      </w:r>
      <w:r>
        <w:rPr>
          <w:rtl w:val="true"/>
        </w:rPr>
        <w:t>א</w:t>
      </w:r>
      <w:r>
        <w:rPr>
          <w:rtl w:val="true"/>
        </w:rPr>
        <w:t xml:space="preserve">, </w:t>
      </w:r>
      <w:r>
        <w:rPr>
          <w:rtl w:val="true"/>
        </w:rPr>
        <w:t>אז אינו כשום שיטה</w:t>
      </w:r>
      <w:r>
        <w:rPr>
          <w:rtl w:val="true"/>
        </w:rPr>
        <w:t xml:space="preserve">. </w:t>
      </w:r>
      <w:r>
        <w:rPr>
          <w:rtl w:val="true"/>
        </w:rPr>
        <w:t>ותחשב</w:t>
      </w:r>
      <w:r>
        <w:rPr>
          <w:rtl w:val="true"/>
        </w:rPr>
        <w:t>.</w:t>
      </w:r>
    </w:p>
  </w:footnote>
</w:footnotes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bidi w:val="1"/>
      <w:jc w:val="center"/>
      <w:rPr>
        <w:b/>
        <w:b/>
        <w:bCs/>
      </w:rPr>
    </w:pPr>
    <w:r>
      <w:rPr>
        <w:b/>
        <w:b/>
        <w:bCs/>
        <w:rtl w:val="true"/>
      </w:rPr>
      <w:t>יום טוב שני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footnotePr>
    <w:numFmt w:val="decimal"/>
    <w:footnote w:id="0"/>
    <w:footnote w:id="1"/>
  </w:footnotePr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Shofar"/>
        <w:kern w:val="2"/>
        <w:sz w:val="24"/>
        <w:szCs w:val="24"/>
        <w:lang w:val="en-US" w:eastAsia="zh-CN" w:bidi="he-IL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Shofar"/>
      <w:color w:val="auto"/>
      <w:kern w:val="2"/>
      <w:sz w:val="24"/>
      <w:szCs w:val="24"/>
      <w:lang w:val="en-US" w:eastAsia="zh-CN" w:bidi="he-IL"/>
    </w:rPr>
  </w:style>
  <w:style w:type="character" w:styleId="FootnoteCharacters">
    <w:name w:val="Footnote Characters"/>
    <w:qFormat/>
    <w:rPr/>
  </w:style>
  <w:style w:type="character" w:styleId="FootnoteAnchor">
    <w:name w:val="Footnote Anchor"/>
    <w:rPr>
      <w:vertAlign w:val="superscript"/>
    </w:rPr>
  </w:style>
  <w:style w:type="character" w:styleId="EndnoteAnchor">
    <w:name w:val="Endnote Anchor"/>
    <w:rPr>
      <w:vertAlign w:val="superscript"/>
    </w:rPr>
  </w:style>
  <w:style w:type="character" w:styleId="EndnoteCharacters">
    <w:name w:val="Endnote Character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Shofar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Shofar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Shofar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Shofar"/>
      <w:lang w:val="zxx" w:eastAsia="zxx" w:bidi="zxx"/>
    </w:rPr>
  </w:style>
  <w:style w:type="paragraph" w:styleId="Footnote">
    <w:name w:val="Footnote Text"/>
    <w:basedOn w:val="Normal"/>
    <w:pPr>
      <w:suppressLineNumbers/>
      <w:ind w:left="340" w:hanging="340"/>
    </w:pPr>
    <w:rPr>
      <w:sz w:val="20"/>
      <w:szCs w:val="20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notes" Target="footnotes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904</TotalTime>
  <Application>LibreOffice/7.3.2.2$Windows_X86_64 LibreOffice_project/49f2b1bff42cfccbd8f788c8dc32c1c309559be0</Application>
  <AppVersion>15.0000</AppVersion>
  <Pages>1</Pages>
  <Words>252</Words>
  <Characters>1054</Characters>
  <CharactersWithSpaces>1300</CharactersWithSpaces>
  <Paragraphs>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2023-03-29T18:32:17Z</dcterms:created>
  <dc:creator/>
  <dc:description/>
  <dc:language>en-US</dc:language>
  <cp:lastModifiedBy/>
  <dcterms:modified xsi:type="dcterms:W3CDTF">2023-03-30T09:39:58Z</dcterms:modified>
  <cp:revision>16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