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מצאנו כמה דברים שחוששים שנחמצו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אם לש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 עיסה ביין ושמן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ג סובר שצריך לשרוף מיד</w:t>
      </w:r>
      <w:r>
        <w:rPr>
          <w:rtl w:val="true"/>
        </w:rPr>
        <w:t xml:space="preserve">. </w:t>
      </w:r>
      <w:r>
        <w:rPr>
          <w:rtl w:val="true"/>
        </w:rPr>
        <w:t>חכמים חולקים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לשין בפושרים</w:t>
      </w:r>
      <w:r>
        <w:rPr>
          <w:rStyle w:val="FootnoteAnchor"/>
          <w:b w:val="false"/>
          <w:b w:val="false"/>
          <w:bCs w:val="false"/>
          <w:rtl w:val="true"/>
        </w:rPr>
        <w:footnoteReference w:id="3"/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לא מבאר גמרא דין בדיעבד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אין לותתים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שורים שעורים</w:t>
      </w:r>
      <w:r>
        <w:rPr>
          <w:rStyle w:val="FootnoteAnchor"/>
          <w:b w:val="false"/>
          <w:b w:val="false"/>
          <w:bCs w:val="false"/>
          <w:rtl w:val="true"/>
        </w:rPr>
        <w:footnoteReference w:id="4"/>
      </w:r>
      <w:r>
        <w:rPr>
          <w:b w:val="false"/>
          <w:b w:val="false"/>
          <w:bCs w:val="false"/>
          <w:rtl w:val="true"/>
        </w:rPr>
        <w:t xml:space="preserve"> במים</w:t>
      </w:r>
      <w:r>
        <w:rPr>
          <w:b w:val="false"/>
          <w:bCs w:val="false"/>
          <w:rtl w:val="true"/>
        </w:rPr>
        <w:t>)</w:t>
      </w:r>
      <w:r>
        <w:rPr>
          <w:rStyle w:val="FootnoteAnchor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 xml:space="preserve">., 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אם לתת ונתבקעו</w:t>
      </w:r>
      <w:r>
        <w:rPr>
          <w:rStyle w:val="FootnoteAnchor"/>
          <w:b w:val="false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אסורים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אם יכולים להתירם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נתנתם בחומץ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להלכה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מתיר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וב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ש חלקו אם מותר לאפות פת עבה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מפ’ שהוא פת שיותר מטפח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בפסח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חושב שחולקים אם חוששים שיחמיץ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גמרא לא מבאר דין בדיעבד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דוחה גמ’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נחוש אף לפחות מכך</w:t>
      </w:r>
      <w:r>
        <w:rPr>
          <w:b w:val="false"/>
          <w:bCs w:val="false"/>
          <w:rtl w:val="true"/>
        </w:rPr>
        <w:t>)</w:t>
      </w:r>
      <w:r>
        <w:rPr>
          <w:rStyle w:val="FootnoteAnchor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מבאר שהמחלקת שם הוא אם יכול לאפות הרבה פת ביום טוב או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טירחא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עושים סריקים המצויירים בפסח כיון ששוהים אדם בהם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גמרא מזכיר על זה שלש דברים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זה אף למי שעושה בדפוס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שוהה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שאל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יתמהו בנ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על שרק של זה מותר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מחדש שרק של נחתום 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ששוהה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אומ’ שאמר שרק של נחתום 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שרובם יש להם דפוס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ויש לדון אם חולקים עליו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מחדש שמותר אם נעשה כרקיק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אינו גבוה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יש לדון באיזה ציור דן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הוא בציור שמודים שמותר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אם הוא מתיר בכעין זה כל הציורים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ויש לדון אם חולקים עליו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בדיעבד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חוששים לחיטים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שקלויים כבר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שנתן במים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חוששים שלא נאפו טוב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בדיעבד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מותר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נותנים שני חיטים ברותחים ביחד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שמשא ישב אחד בסדק חברו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יבא מים רותחים מארבע צדדיו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9"/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לא מבאר דין בדיעבד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חריכת שני קליות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שמא יצא מים מאחד לחברו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גמרא דוחה זה בשני דרכים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אביי אומר שחוששים לזה רק אם לא יוצא ונופל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נשאר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רבא אומר שלא דוחים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שמי פירות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מחמיץ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0"/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לא מבאר דין בדיעבד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rtl w:val="true"/>
        </w:rPr>
        <w:t>לא תלוש אשה בחמה</w:t>
      </w:r>
      <w:r>
        <w:rPr>
          <w:rtl w:val="true"/>
        </w:rPr>
        <w:t xml:space="preserve">, </w:t>
      </w:r>
      <w:r>
        <w:rPr>
          <w:rtl w:val="true"/>
        </w:rPr>
        <w:t>שהחום יחמיץ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תלוש אשה במים חמים</w:t>
      </w:r>
      <w:r>
        <w:rPr>
          <w:rStyle w:val="FootnoteAnchor"/>
          <w:b w:val="false"/>
          <w:b w:val="false"/>
          <w:bCs w:val="false"/>
          <w:rtl w:val="true"/>
        </w:rPr>
        <w:footnoteReference w:id="11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שהחום יחמיץ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  <w:r>
        <w:rPr>
          <w:rStyle w:val="FootnoteAnchor"/>
          <w:b/>
          <w:bCs/>
          <w:rtl w:val="true"/>
        </w:rPr>
        <w:footnoteReference w:id="12"/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אשה תעסוק בפת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עד שנתבשל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מבאר שכוע</w:t>
      </w:r>
      <w:r>
        <w:rPr>
          <w:rtl w:val="true"/>
        </w:rPr>
        <w:t>"</w:t>
      </w:r>
      <w:r>
        <w:rPr>
          <w:rtl w:val="true"/>
        </w:rPr>
        <w:t xml:space="preserve">מ שאין בעיה אם רק מקטף </w:t>
      </w:r>
      <w:r>
        <w:rPr>
          <w:rtl w:val="true"/>
        </w:rPr>
        <w:t>(</w:t>
      </w:r>
      <w:r>
        <w:rPr>
          <w:rtl w:val="true"/>
        </w:rPr>
        <w:t>נותן על פניה</w:t>
      </w:r>
      <w:r>
        <w:rPr>
          <w:rtl w:val="true"/>
        </w:rPr>
        <w:t xml:space="preserve">). </w:t>
      </w:r>
      <w:r>
        <w:rPr>
          <w:rtl w:val="true"/>
        </w:rPr>
        <w:t>חכמים אומרים שלעולם אין חילוק בין לישה לקטיפה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חוששים לזה גבי חמץ</w:t>
      </w:r>
      <w:r>
        <w:rPr>
          <w:rtl w:val="true"/>
        </w:rPr>
        <w:t xml:space="preserve">, </w:t>
      </w:r>
      <w:r>
        <w:rPr>
          <w:rtl w:val="true"/>
        </w:rPr>
        <w:t>ולא גבי מנחות</w:t>
      </w:r>
      <w:r>
        <w:rPr>
          <w:rtl w:val="true"/>
        </w:rPr>
        <w:t xml:space="preserve">, </w:t>
      </w:r>
      <w:r>
        <w:rPr>
          <w:rtl w:val="true"/>
        </w:rPr>
        <w:t>שבמקום זריזים עושים מנחות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זה אף בחיטין</w:t>
      </w:r>
      <w:r>
        <w:rPr>
          <w:rtl w:val="true"/>
        </w:rPr>
        <w:t xml:space="preserve">: </w:t>
      </w:r>
      <w:r>
        <w:rPr>
          <w:rtl w:val="true"/>
        </w:rPr>
        <w:t>יש ארבע שיטות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אסור ללתות חיטין</w:t>
      </w:r>
      <w:r>
        <w:rPr>
          <w:rtl w:val="true"/>
        </w:rPr>
        <w:t xml:space="preserve">. </w:t>
      </w:r>
      <w:r>
        <w:rPr>
          <w:rtl w:val="true"/>
        </w:rPr>
        <w:t>כן אמר רבא בהוה אמינא ראשון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בעל נפש לא ילתות חיטין</w:t>
      </w:r>
      <w:r>
        <w:rPr>
          <w:rtl w:val="true"/>
        </w:rPr>
        <w:t xml:space="preserve">, </w:t>
      </w:r>
      <w:r>
        <w:rPr>
          <w:rtl w:val="true"/>
        </w:rPr>
        <w:t>אבל אינו אסור</w:t>
      </w:r>
      <w:r>
        <w:rPr>
          <w:rtl w:val="true"/>
        </w:rPr>
        <w:t xml:space="preserve">. </w:t>
      </w:r>
      <w:r>
        <w:rPr>
          <w:rtl w:val="true"/>
        </w:rPr>
        <w:t>כן אמר רבה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מותר ללתות</w:t>
      </w:r>
      <w:r>
        <w:rPr>
          <w:rtl w:val="true"/>
        </w:rPr>
        <w:t xml:space="preserve">. </w:t>
      </w:r>
      <w:r>
        <w:rPr>
          <w:rtl w:val="true"/>
        </w:rPr>
        <w:t>כן אומר רב נחמן וכן אומר רבא בהוה אמינא שני שלו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מצווה ללתות</w:t>
      </w:r>
      <w:r>
        <w:rPr>
          <w:rtl w:val="true"/>
        </w:rPr>
        <w:t xml:space="preserve">. </w:t>
      </w:r>
      <w:r>
        <w:rPr>
          <w:rtl w:val="true"/>
        </w:rPr>
        <w:t>כן מסיק רבא</w:t>
      </w:r>
      <w:r>
        <w:rPr>
          <w:rtl w:val="true"/>
        </w:rPr>
        <w:t xml:space="preserve">. </w:t>
      </w:r>
      <w:r>
        <w:rPr>
          <w:rtl w:val="true"/>
        </w:rPr>
        <w:t>מביא ראיה</w:t>
      </w:r>
      <w:r>
        <w:rPr>
          <w:rtl w:val="true"/>
        </w:rPr>
        <w:t xml:space="preserve">, </w:t>
      </w:r>
      <w:r>
        <w:rPr>
          <w:rtl w:val="true"/>
        </w:rPr>
        <w:t>אבל לא מבאר למה מצווה</w:t>
      </w:r>
      <w:r>
        <w:rPr>
          <w:rtl w:val="true"/>
        </w:rPr>
        <w:t>. (</w:t>
      </w:r>
      <w:r>
        <w:rPr>
          <w:rtl w:val="true"/>
        </w:rPr>
        <w:t>מ</w:t>
      </w:r>
      <w:r>
        <w:rPr>
          <w:rtl w:val="true"/>
        </w:rPr>
        <w:t>.)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חוששים לזה אף במנחות כיון שאינו במקום זריזים</w:t>
      </w:r>
      <w:r>
        <w:rPr>
          <w:rtl w:val="true"/>
        </w:rPr>
        <w:t xml:space="preserve">. </w:t>
      </w:r>
      <w:r>
        <w:rPr>
          <w:rtl w:val="true"/>
        </w:rPr>
        <w:t>לא חוששים לזה במנחת העומר</w:t>
      </w:r>
      <w:r>
        <w:rPr>
          <w:rtl w:val="true"/>
        </w:rPr>
        <w:t xml:space="preserve">; </w:t>
      </w:r>
      <w:r>
        <w:rPr>
          <w:rtl w:val="true"/>
        </w:rPr>
        <w:t>שם הוא לציבור</w:t>
      </w:r>
      <w:r>
        <w:rPr>
          <w:rtl w:val="true"/>
        </w:rPr>
        <w:t xml:space="preserve">, </w:t>
      </w:r>
      <w:r>
        <w:rPr>
          <w:rtl w:val="true"/>
        </w:rPr>
        <w:t>ואז נעשה על פי בית דין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צ</w:t>
      </w:r>
      <w:r>
        <w:rPr>
          <w:rtl w:val="true"/>
        </w:rPr>
        <w:t>"</w:t>
      </w:r>
      <w:r>
        <w:rPr>
          <w:rtl w:val="true"/>
        </w:rPr>
        <w:t>ל נתבקעים ממש</w:t>
      </w:r>
      <w:r>
        <w:rPr>
          <w:rtl w:val="true"/>
        </w:rPr>
        <w:t xml:space="preserve">, </w:t>
      </w:r>
      <w:r>
        <w:rPr>
          <w:rtl w:val="true"/>
        </w:rPr>
        <w:t>או שרק נשתנים עד שיתבקעו אם נותנם על פי חבית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לגמרא לומר כן</w:t>
      </w:r>
      <w:r>
        <w:rPr>
          <w:rtl w:val="true"/>
        </w:rPr>
        <w:t xml:space="preserve">, </w:t>
      </w:r>
      <w:r>
        <w:rPr>
          <w:rtl w:val="true"/>
        </w:rPr>
        <w:t>ולומר שעבה ר</w:t>
      </w:r>
      <w:r>
        <w:rPr>
          <w:rtl w:val="true"/>
        </w:rPr>
        <w:t>"</w:t>
      </w:r>
      <w:r>
        <w:rPr>
          <w:rtl w:val="true"/>
        </w:rPr>
        <w:t>ל אף פחות מטפחה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ואין לחוש להעיר ב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כיון שידוע שיש להם דפוס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שאפשר לומר שחולק על </w:t>
      </w:r>
      <w:r>
        <w:rPr/>
        <w:t>1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מניח גמרא שאם לא בא המים מכל רוחותיו</w:t>
      </w:r>
      <w:r>
        <w:rPr>
          <w:rtl w:val="true"/>
        </w:rPr>
        <w:t xml:space="preserve">, </w:t>
      </w:r>
      <w:r>
        <w:rPr>
          <w:rtl w:val="true"/>
        </w:rPr>
        <w:t>יחמיץ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אביי יאמר שאינו מי חיטין</w:t>
      </w:r>
      <w:r>
        <w:rPr>
          <w:rtl w:val="true"/>
        </w:rPr>
        <w:t xml:space="preserve">, </w:t>
      </w:r>
      <w:r>
        <w:rPr>
          <w:rtl w:val="true"/>
        </w:rPr>
        <w:t>אלא מים שבלועים בחיטים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</w:t>
      </w:r>
      <w:r>
        <w:rPr>
          <w:rtl w:val="true"/>
        </w:rPr>
        <w:t xml:space="preserve">, </w:t>
      </w:r>
      <w:r>
        <w:rPr>
          <w:rtl w:val="true"/>
        </w:rPr>
        <w:t xml:space="preserve">שגמרא </w:t>
      </w:r>
      <w:r>
        <w:rPr>
          <w:rtl w:val="true"/>
        </w:rPr>
        <w:t>(</w:t>
      </w:r>
      <w:r>
        <w:rPr>
          <w:rtl w:val="true"/>
        </w:rPr>
        <w:t>לט</w:t>
      </w:r>
      <w:r>
        <w:rPr>
          <w:rtl w:val="true"/>
        </w:rPr>
        <w:t xml:space="preserve">:) </w:t>
      </w:r>
      <w:r>
        <w:rPr>
          <w:rtl w:val="true"/>
        </w:rPr>
        <w:t>משמע שיותר קשה להחמיץ דבר חם</w:t>
      </w:r>
      <w:r>
        <w:rPr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שואל אם עברה על שנים אלו </w:t>
      </w:r>
      <w:r>
        <w:rPr>
          <w:rtl w:val="true"/>
        </w:rPr>
        <w:t>(</w:t>
      </w:r>
      <w:r>
        <w:rPr>
          <w:rtl w:val="true"/>
        </w:rPr>
        <w:t>יש לדון אם השאלה הוא אף על השלישי</w:t>
      </w:r>
      <w:r>
        <w:rPr>
          <w:rtl w:val="true"/>
        </w:rPr>
        <w:t>).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מגמרא לא מוכרח שאף שואל על ראשון</w:t>
      </w:r>
      <w:r>
        <w:rPr>
          <w:rtl w:val="true"/>
        </w:rPr>
        <w:t xml:space="preserve">, </w:t>
      </w:r>
      <w:r>
        <w:rPr>
          <w:rtl w:val="true"/>
        </w:rPr>
        <w:t>שרק שואל מהו הדין אם עברה ולשה</w:t>
      </w:r>
      <w:r>
        <w:rPr>
          <w:rtl w:val="true"/>
        </w:rPr>
        <w:t xml:space="preserve">. </w:t>
      </w:r>
      <w:r>
        <w:rPr>
          <w:rtl w:val="true"/>
        </w:rPr>
        <w:t>מסתבר שקאי על שני</w:t>
      </w:r>
      <w:r>
        <w:rPr>
          <w:rtl w:val="true"/>
        </w:rPr>
        <w:t xml:space="preserve">, </w:t>
      </w:r>
      <w:r>
        <w:rPr>
          <w:rtl w:val="true"/>
        </w:rPr>
        <w:t>שהיה הכי קרוב לו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סתימות שלו משמע שהוא קאי על הכל</w:t>
      </w:r>
      <w:r>
        <w:rPr>
          <w:rtl w:val="true"/>
        </w:rPr>
        <w:t xml:space="preserve">.)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שמסיק שקונסים</w:t>
      </w:r>
      <w:r>
        <w:rPr>
          <w:rtl w:val="true"/>
        </w:rPr>
        <w:t xml:space="preserve">, </w:t>
      </w:r>
      <w:r>
        <w:rPr>
          <w:rtl w:val="true"/>
        </w:rPr>
        <w:t>ואסור בדיעבד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דברים שחוששים שנעשו חמץ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Anchor">
    <w:name w:val="Foot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681</TotalTime>
  <Application>LibreOffice/7.3.2.2$Windows_X86_64 LibreOffice_project/49f2b1bff42cfccbd8f788c8dc32c1c309559be0</Application>
  <AppVersion>15.0000</AppVersion>
  <Pages>1</Pages>
  <Words>549</Words>
  <Characters>2250</Characters>
  <CharactersWithSpaces>2750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2023-03-28T07:08:07Z</dcterms:created>
  <dc:creator/>
  <dc:description/>
  <dc:language>en-US</dc:language>
  <cp:lastModifiedBy/>
  <dcterms:modified xsi:type="dcterms:W3CDTF">2023-03-28T22:02:45Z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