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>
          <w:rtl w:val="true"/>
        </w:rPr>
        <w:t>הוצאת הדשן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הוצאת הדשן הוא הוצאת התפוח מעל המזבח אל מקום שריפה</w:t>
      </w:r>
      <w:r>
        <w:rPr>
          <w:rtl w:val="true"/>
        </w:rPr>
        <w:t xml:space="preserve">, </w:t>
      </w:r>
      <w:r>
        <w:rPr>
          <w:rtl w:val="true"/>
        </w:rPr>
        <w:t>שהוא חוץ מן העזרה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גבי הוצאת הדשן</w:t>
      </w:r>
      <w:r>
        <w:rPr>
          <w:rtl w:val="true"/>
        </w:rPr>
        <w:t xml:space="preserve">, </w:t>
      </w:r>
      <w:r>
        <w:rPr>
          <w:rtl w:val="true"/>
        </w:rPr>
        <w:t xml:space="preserve">קרא אומר שילבש הכהן שעושה אותו </w:t>
      </w:r>
      <w:r>
        <w:rPr>
          <w:rtl w:val="true"/>
        </w:rPr>
        <w:t>"</w:t>
      </w:r>
      <w:r>
        <w:rPr>
          <w:rtl w:val="true"/>
        </w:rPr>
        <w:t>בגדים אחרים</w:t>
      </w:r>
      <w:r>
        <w:rPr>
          <w:rtl w:val="true"/>
        </w:rPr>
        <w:t xml:space="preserve">.” </w:t>
      </w:r>
      <w:r>
        <w:rPr>
          <w:rtl w:val="true"/>
        </w:rPr>
        <w:t>מסברה חיצונה</w:t>
      </w:r>
      <w:r>
        <w:rPr>
          <w:rtl w:val="true"/>
        </w:rPr>
        <w:t xml:space="preserve">, </w:t>
      </w:r>
      <w:r>
        <w:rPr>
          <w:rtl w:val="true"/>
        </w:rPr>
        <w:t>היינו אומרים שמחייב אותו ללבוש מין בגדים חלוקים ממין בגדי כהונה</w:t>
      </w:r>
      <w:r>
        <w:rPr>
          <w:rtl w:val="true"/>
        </w:rPr>
        <w:t xml:space="preserve">, </w:t>
      </w:r>
      <w:r>
        <w:rPr>
          <w:rtl w:val="true"/>
        </w:rPr>
        <w:t>כמו שחייב לעשות במקצת עבודות ביוה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rtl w:val="true"/>
        </w:rPr>
        <w:t>זה יעשה שצריך ללבוש בגדי חול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כ’</w:t>
      </w:r>
      <w:r>
        <w:rPr>
          <w:rtl w:val="true"/>
        </w:rPr>
        <w:t>,”</w:t>
      </w:r>
      <w:r>
        <w:rPr>
          <w:rtl w:val="true"/>
        </w:rPr>
        <w:t>ופשט… ולבש</w:t>
      </w:r>
      <w:r>
        <w:rPr>
          <w:rtl w:val="true"/>
        </w:rPr>
        <w:t xml:space="preserve">,” </w:t>
      </w:r>
      <w:r>
        <w:rPr>
          <w:rtl w:val="true"/>
        </w:rPr>
        <w:t>שמקיש בגדים שפשט לבגדים שלבש</w:t>
      </w:r>
      <w:r>
        <w:rPr>
          <w:rtl w:val="true"/>
        </w:rPr>
        <w:t xml:space="preserve">. </w:t>
      </w:r>
      <w:r>
        <w:rPr>
          <w:rtl w:val="true"/>
        </w:rPr>
        <w:t>זה מוכיח ששניהם הם ממין אחד של בגדים</w:t>
      </w:r>
      <w:r>
        <w:rPr>
          <w:rtl w:val="true"/>
        </w:rPr>
        <w:t xml:space="preserve">, </w:t>
      </w:r>
      <w:r>
        <w:rPr>
          <w:rtl w:val="true"/>
        </w:rPr>
        <w:t>ושניהם הם בגדי כהונה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צריכים לפרש מה שאומר קרא</w:t>
      </w:r>
      <w:r>
        <w:rPr>
          <w:rtl w:val="true"/>
        </w:rPr>
        <w:t xml:space="preserve">, </w:t>
      </w:r>
      <w:r>
        <w:rPr>
          <w:rtl w:val="true"/>
        </w:rPr>
        <w:t>ומה הם ה</w:t>
      </w:r>
      <w:r>
        <w:rPr>
          <w:rtl w:val="true"/>
        </w:rPr>
        <w:t>"</w:t>
      </w:r>
      <w:r>
        <w:rPr>
          <w:rtl w:val="true"/>
        </w:rPr>
        <w:t>בגדים אחרים</w:t>
      </w:r>
      <w:r>
        <w:rPr>
          <w:rtl w:val="true"/>
        </w:rPr>
        <w:t xml:space="preserve">.” </w:t>
      </w:r>
      <w:r>
        <w:rPr>
          <w:rtl w:val="true"/>
        </w:rPr>
        <w:t>יש שני פירושים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תנא קמא אומר ש</w:t>
      </w:r>
      <w:r>
        <w:rPr>
          <w:rtl w:val="true"/>
        </w:rPr>
        <w:t>"</w:t>
      </w:r>
      <w:r>
        <w:rPr>
          <w:rtl w:val="true"/>
        </w:rPr>
        <w:t>אחרים</w:t>
      </w:r>
      <w:r>
        <w:rPr>
          <w:rtl w:val="true"/>
        </w:rPr>
        <w:t xml:space="preserve">"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בגדים פחותים</w:t>
      </w:r>
      <w:r>
        <w:rPr>
          <w:rtl w:val="true"/>
        </w:rPr>
        <w:t xml:space="preserve">. </w:t>
      </w:r>
      <w:r>
        <w:rPr>
          <w:rtl w:val="true"/>
        </w:rPr>
        <w:t>מבאר גמרא שדרך כבוד הוא שילבש בגדים יותר נאים למלאכות יותר נאות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ילבש בגדים פחותים להוציא את הדשן</w:t>
      </w:r>
      <w:r>
        <w:rPr>
          <w:rtl w:val="true"/>
        </w:rPr>
        <w:t xml:space="preserve">, </w:t>
      </w:r>
      <w:r>
        <w:rPr>
          <w:rtl w:val="true"/>
        </w:rPr>
        <w:t>וילבש בגדים רגילים</w:t>
      </w:r>
      <w:r>
        <w:rPr>
          <w:rtl w:val="true"/>
        </w:rPr>
        <w:t xml:space="preserve">, </w:t>
      </w:r>
      <w:r>
        <w:rPr>
          <w:rtl w:val="true"/>
        </w:rPr>
        <w:t>שהם יותר נאים</w:t>
      </w:r>
      <w:r>
        <w:rPr>
          <w:rtl w:val="true"/>
        </w:rPr>
        <w:t xml:space="preserve">, </w:t>
      </w:r>
      <w:r>
        <w:rPr>
          <w:rtl w:val="true"/>
        </w:rPr>
        <w:t>לעבודה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רבי אליעזר אומר ש</w:t>
      </w:r>
      <w:r>
        <w:rPr>
          <w:rtl w:val="true"/>
        </w:rPr>
        <w:t>"</w:t>
      </w:r>
      <w:r>
        <w:rPr>
          <w:rtl w:val="true"/>
        </w:rPr>
        <w:t>אחרים</w:t>
      </w:r>
      <w:r>
        <w:rPr>
          <w:rtl w:val="true"/>
        </w:rPr>
        <w:t xml:space="preserve">" </w:t>
      </w:r>
      <w:r>
        <w:rPr>
          <w:rtl w:val="true"/>
        </w:rPr>
        <w:t>לא קאי על הבגדים</w:t>
      </w:r>
      <w:r>
        <w:rPr>
          <w:rtl w:val="true"/>
        </w:rPr>
        <w:t xml:space="preserve">, </w:t>
      </w:r>
      <w:r>
        <w:rPr>
          <w:rtl w:val="true"/>
        </w:rPr>
        <w:t>אלא נדרש על הכהנים</w:t>
      </w:r>
      <w:r>
        <w:rPr>
          <w:rtl w:val="true"/>
        </w:rPr>
        <w:t xml:space="preserve">. </w:t>
      </w:r>
      <w:r>
        <w:rPr>
          <w:rtl w:val="true"/>
        </w:rPr>
        <w:t>מתיר כהנים אחרים להוציא את הדשן</w:t>
      </w:r>
      <w:r>
        <w:rPr>
          <w:rtl w:val="true"/>
        </w:rPr>
        <w:t xml:space="preserve">. </w:t>
      </w:r>
      <w:r>
        <w:rPr>
          <w:rtl w:val="true"/>
        </w:rPr>
        <w:t>מפרש שכהנים בעלי מומים כשרים להוצאת הדשן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"/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Heading1"/>
        <w:rPr/>
      </w:pPr>
      <w:r>
        <w:rPr>
          <w:rtl w:val="true"/>
        </w:rPr>
        <w:t>הרמת הדשן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ריש לקיש סובר שאף בהרמה חולקים רבי אליעזר ורבנן אם בעלי מומים כשרים או פסולים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"/>
      </w:r>
      <w:r>
        <w:rPr>
          <w:rtl w:val="true"/>
        </w:rPr>
        <w:t xml:space="preserve"> </w:t>
      </w:r>
      <w:r>
        <w:rPr>
          <w:rtl w:val="true"/>
        </w:rPr>
        <w:t>מוכיח שאינו עבודה</w:t>
      </w:r>
      <w:r>
        <w:rPr>
          <w:rtl w:val="true"/>
        </w:rPr>
        <w:t xml:space="preserve">, </w:t>
      </w:r>
      <w:r>
        <w:rPr>
          <w:rtl w:val="true"/>
        </w:rPr>
        <w:t>כיון שרק מחייב הקרא שילבש כתונת ומכנסים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"/>
      </w:r>
    </w:p>
    <w:p>
      <w:pPr>
        <w:pStyle w:val="Normal"/>
        <w:bidi w:val="1"/>
        <w:jc w:val="left"/>
        <w:rPr/>
      </w:pPr>
      <w:r>
        <w:rPr>
          <w:rtl w:val="true"/>
        </w:rPr>
        <w:t>רבי יוחנן סובר שבהרמה אף רבי אליעזר מודה שאין בעל מום כשר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6"/>
      </w:r>
      <w:r>
        <w:rPr>
          <w:rtl w:val="true"/>
        </w:rPr>
        <w:t xml:space="preserve"> </w:t>
      </w:r>
      <w:r>
        <w:rPr>
          <w:rtl w:val="true"/>
        </w:rPr>
        <w:t xml:space="preserve">סובר שצריך ללבוש כל ארבע הבגדים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, </w:t>
      </w:r>
      <w:r>
        <w:rPr>
          <w:rtl w:val="true"/>
        </w:rPr>
        <w:t>שנבאר שני מקורות לזה</w:t>
      </w:r>
      <w:r>
        <w:rPr>
          <w:rtl w:val="true"/>
        </w:rPr>
        <w:t xml:space="preserve">), </w:t>
      </w:r>
      <w:r>
        <w:rPr>
          <w:rtl w:val="true"/>
        </w:rPr>
        <w:t>והשנים שנכתבים מגלים על השאר</w:t>
      </w:r>
      <w:r>
        <w:rPr>
          <w:rtl w:val="true"/>
        </w:rPr>
        <w:t xml:space="preserve">. </w:t>
      </w:r>
      <w:r>
        <w:rPr>
          <w:rtl w:val="true"/>
        </w:rPr>
        <w:t>כתב אותם שנים</w:t>
      </w:r>
      <w:r>
        <w:rPr>
          <w:rStyle w:val="FootnoteAnchor"/>
          <w:rtl w:val="true"/>
        </w:rPr>
        <w:footnoteReference w:id="7"/>
      </w:r>
      <w:r>
        <w:rPr>
          <w:rtl w:val="true"/>
        </w:rPr>
        <w:t xml:space="preserve"> לדרשות מיוחדות </w:t>
      </w:r>
      <w:r>
        <w:rPr>
          <w:rtl w:val="true"/>
        </w:rPr>
        <w:t>(</w:t>
      </w:r>
      <w:r>
        <w:rPr>
          <w:rtl w:val="true"/>
        </w:rPr>
        <w:t xml:space="preserve">כתב כתונת כדי לכ’ </w:t>
      </w:r>
      <w:r>
        <w:rPr>
          <w:rtl w:val="true"/>
        </w:rPr>
        <w:t>"</w:t>
      </w:r>
      <w:r>
        <w:rPr>
          <w:rtl w:val="true"/>
        </w:rPr>
        <w:t>מדו בד</w:t>
      </w:r>
      <w:r>
        <w:rPr>
          <w:rtl w:val="true"/>
        </w:rPr>
        <w:t xml:space="preserve">,” </w:t>
      </w:r>
      <w:r>
        <w:rPr>
          <w:rtl w:val="true"/>
        </w:rPr>
        <w:t>לגלות שצריך להיות כמדתו</w:t>
      </w:r>
      <w:r>
        <w:rPr>
          <w:rtl w:val="true"/>
        </w:rPr>
        <w:t xml:space="preserve">, </w:t>
      </w:r>
      <w:r>
        <w:rPr>
          <w:rtl w:val="true"/>
        </w:rPr>
        <w:t>כמו שמפרש גמרא בתחילת פרק שני של זבחים</w:t>
      </w:r>
      <w:r>
        <w:rPr>
          <w:rtl w:val="true"/>
        </w:rPr>
        <w:t xml:space="preserve">, </w:t>
      </w:r>
      <w:r>
        <w:rPr>
          <w:rtl w:val="true"/>
        </w:rPr>
        <w:t>וכתב מכנסים כדי לכ’</w:t>
      </w:r>
      <w:r>
        <w:rPr>
          <w:rtl w:val="true"/>
        </w:rPr>
        <w:t>, “</w:t>
      </w:r>
      <w:r>
        <w:rPr>
          <w:rtl w:val="true"/>
        </w:rPr>
        <w:t>על בשרו</w:t>
      </w:r>
      <w:r>
        <w:rPr>
          <w:rtl w:val="true"/>
        </w:rPr>
        <w:t xml:space="preserve">,” </w:t>
      </w:r>
      <w:r>
        <w:rPr>
          <w:rtl w:val="true"/>
        </w:rPr>
        <w:t>לגלות שלובש אותו ראשון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Heading1"/>
        <w:rPr/>
      </w:pPr>
      <w:r>
        <w:rPr>
          <w:rtl w:val="true"/>
        </w:rPr>
        <w:t>מחלקת תנאים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גבי הרמת הדשן</w:t>
      </w:r>
      <w:r>
        <w:rPr>
          <w:rtl w:val="true"/>
        </w:rPr>
        <w:t xml:space="preserve">, </w:t>
      </w:r>
      <w:r>
        <w:rPr>
          <w:rtl w:val="true"/>
        </w:rPr>
        <w:t>כתיב</w:t>
      </w:r>
      <w:r>
        <w:rPr>
          <w:rtl w:val="true"/>
        </w:rPr>
        <w:t>, “</w:t>
      </w:r>
      <w:r>
        <w:rPr>
          <w:rtl w:val="true"/>
        </w:rPr>
        <w:t>ילבש</w:t>
      </w:r>
      <w:r>
        <w:rPr>
          <w:rtl w:val="true"/>
        </w:rPr>
        <w:t xml:space="preserve">" </w:t>
      </w:r>
      <w:r>
        <w:rPr>
          <w:rtl w:val="true"/>
        </w:rPr>
        <w:t>מיותר</w:t>
      </w:r>
      <w:r>
        <w:rPr>
          <w:rtl w:val="true"/>
        </w:rPr>
        <w:t xml:space="preserve">. </w:t>
      </w:r>
      <w:r>
        <w:rPr>
          <w:rtl w:val="true"/>
        </w:rPr>
        <w:t>חלקו חכמים מה לדרוש ממנו</w:t>
      </w:r>
      <w:r>
        <w:rPr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 xml:space="preserve">רבי יהודה דרש ממנו שצריך ללבוש שאר בגדים </w:t>
      </w:r>
      <w:r>
        <w:rPr>
          <w:rtl w:val="true"/>
        </w:rPr>
        <w:t>(</w:t>
      </w:r>
      <w:r>
        <w:rPr>
          <w:rtl w:val="true"/>
        </w:rPr>
        <w:t>ולא רק כתונת ומכנסים</w:t>
      </w:r>
      <w:r>
        <w:rPr>
          <w:rtl w:val="true"/>
        </w:rPr>
        <w:t xml:space="preserve">) </w:t>
      </w:r>
      <w:r>
        <w:rPr>
          <w:rtl w:val="true"/>
        </w:rPr>
        <w:t>כשמרים את הדשן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8"/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>רבי דוסא דורש מכאן שבגדי כה</w:t>
      </w:r>
      <w:r>
        <w:rPr>
          <w:rtl w:val="true"/>
        </w:rPr>
        <w:t>"</w:t>
      </w:r>
      <w:r>
        <w:rPr>
          <w:rtl w:val="true"/>
        </w:rPr>
        <w:t>ג ביוה</w:t>
      </w:r>
      <w:r>
        <w:rPr>
          <w:rtl w:val="true"/>
        </w:rPr>
        <w:t>"</w:t>
      </w:r>
      <w:r>
        <w:rPr>
          <w:rtl w:val="true"/>
        </w:rPr>
        <w:t>כ כשרים לכה</w:t>
      </w:r>
      <w:r>
        <w:rPr>
          <w:rtl w:val="true"/>
        </w:rPr>
        <w:t>"</w:t>
      </w:r>
      <w:r>
        <w:rPr>
          <w:rtl w:val="true"/>
        </w:rPr>
        <w:t>ה בכל יום</w:t>
      </w:r>
      <w:r>
        <w:rPr>
          <w:rtl w:val="true"/>
        </w:rPr>
        <w:t xml:space="preserve">. </w:t>
      </w:r>
      <w:r>
        <w:rPr>
          <w:rtl w:val="true"/>
        </w:rPr>
        <w:t>החידוש כאן הוא שאבנט של כ</w:t>
      </w:r>
      <w:r>
        <w:rPr>
          <w:rtl w:val="true"/>
        </w:rPr>
        <w:t>"</w:t>
      </w:r>
      <w:r>
        <w:rPr>
          <w:rtl w:val="true"/>
        </w:rPr>
        <w:t>ה היה של בוץ</w:t>
      </w:r>
      <w:r>
        <w:rPr>
          <w:rtl w:val="true"/>
        </w:rPr>
        <w:t xml:space="preserve">, </w:t>
      </w:r>
      <w:r>
        <w:rPr>
          <w:rtl w:val="true"/>
        </w:rPr>
        <w:t>ולא של כלאים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>רבי דוחה את זה לשני טעמים</w:t>
      </w:r>
      <w:r>
        <w:rPr>
          <w:rtl w:val="true"/>
        </w:rPr>
        <w:t>:</w:t>
      </w:r>
    </w:p>
    <w:p>
      <w:pPr>
        <w:pStyle w:val="Normal"/>
        <w:numPr>
          <w:ilvl w:val="2"/>
          <w:numId w:val="3"/>
        </w:numPr>
        <w:bidi w:val="1"/>
        <w:jc w:val="left"/>
        <w:rPr/>
      </w:pPr>
      <w:r>
        <w:rPr>
          <w:rtl w:val="true"/>
        </w:rPr>
        <w:t>סובר שאבנט של כ</w:t>
      </w:r>
      <w:r>
        <w:rPr>
          <w:rtl w:val="true"/>
        </w:rPr>
        <w:t>"</w:t>
      </w:r>
      <w:r>
        <w:rPr>
          <w:rtl w:val="true"/>
        </w:rPr>
        <w:t>ה היה של כלאים</w:t>
      </w:r>
      <w:r>
        <w:rPr>
          <w:rtl w:val="true"/>
        </w:rPr>
        <w:t xml:space="preserve">, </w:t>
      </w:r>
      <w:r>
        <w:rPr>
          <w:rtl w:val="true"/>
        </w:rPr>
        <w:t>ולא של בוץ</w:t>
      </w:r>
      <w:r>
        <w:rPr>
          <w:rtl w:val="true"/>
        </w:rPr>
        <w:t>.</w:t>
      </w:r>
    </w:p>
    <w:p>
      <w:pPr>
        <w:pStyle w:val="Normal"/>
        <w:numPr>
          <w:ilvl w:val="2"/>
          <w:numId w:val="3"/>
        </w:numPr>
        <w:bidi w:val="1"/>
        <w:jc w:val="left"/>
        <w:rPr/>
      </w:pPr>
      <w:r>
        <w:rPr>
          <w:rtl w:val="true"/>
        </w:rPr>
        <w:t>סובר שכיון שכהן גדול שמש בבגדים אלו</w:t>
      </w:r>
      <w:r>
        <w:rPr>
          <w:rtl w:val="true"/>
        </w:rPr>
        <w:t xml:space="preserve">, </w:t>
      </w:r>
      <w:r>
        <w:rPr>
          <w:rtl w:val="true"/>
        </w:rPr>
        <w:t>לא יכול כ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שאינו כ</w:t>
      </w:r>
      <w:r>
        <w:rPr>
          <w:rtl w:val="true"/>
        </w:rPr>
        <w:t>"</w:t>
      </w:r>
      <w:r>
        <w:rPr>
          <w:rtl w:val="true"/>
        </w:rPr>
        <w:t>כ קדוש</w:t>
      </w:r>
      <w:r>
        <w:rPr>
          <w:rtl w:val="true"/>
        </w:rPr>
        <w:t xml:space="preserve">, </w:t>
      </w:r>
      <w:r>
        <w:rPr>
          <w:rtl w:val="true"/>
        </w:rPr>
        <w:t>לשמש בהם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440" w:hanging="0"/>
        <w:jc w:val="left"/>
        <w:rPr/>
      </w:pPr>
      <w:r>
        <w:rPr>
          <w:rtl w:val="true"/>
        </w:rPr>
        <w:t>גמרא גם דורש את זה מ</w:t>
      </w:r>
      <w:r>
        <w:rPr>
          <w:rtl w:val="true"/>
        </w:rPr>
        <w:t>"</w:t>
      </w:r>
      <w:r>
        <w:rPr>
          <w:rtl w:val="true"/>
        </w:rPr>
        <w:t>והניחם שם</w:t>
      </w:r>
      <w:r>
        <w:rPr>
          <w:rtl w:val="true"/>
        </w:rPr>
        <w:t>.”</w:t>
      </w:r>
      <w:r>
        <w:rPr>
          <w:rStyle w:val="FootnoteAnchor"/>
          <w:rtl w:val="true"/>
        </w:rPr>
        <w:footnoteReference w:id="9"/>
      </w:r>
      <w:r>
        <w:rPr>
          <w:rtl w:val="true"/>
        </w:rPr>
        <w:t xml:space="preserve"> </w:t>
      </w:r>
      <w:r>
        <w:rPr>
          <w:rtl w:val="true"/>
        </w:rPr>
        <w:t>רבי דוסא דורש מ</w:t>
      </w:r>
      <w:r>
        <w:rPr>
          <w:rtl w:val="true"/>
        </w:rPr>
        <w:t>"</w:t>
      </w:r>
      <w:r>
        <w:rPr>
          <w:rtl w:val="true"/>
        </w:rPr>
        <w:t>והניחם שם</w:t>
      </w:r>
      <w:r>
        <w:rPr>
          <w:rtl w:val="true"/>
        </w:rPr>
        <w:t xml:space="preserve">" </w:t>
      </w:r>
      <w:r>
        <w:rPr>
          <w:rtl w:val="true"/>
        </w:rPr>
        <w:t>שלא יכול לשמש בהם ליוה</w:t>
      </w:r>
      <w:r>
        <w:rPr>
          <w:rtl w:val="true"/>
        </w:rPr>
        <w:t>"</w:t>
      </w:r>
      <w:r>
        <w:rPr>
          <w:rtl w:val="true"/>
        </w:rPr>
        <w:t>כ אחר</w:t>
      </w:r>
      <w:r>
        <w:rPr>
          <w:rtl w:val="true"/>
        </w:rPr>
        <w:t xml:space="preserve">, </w:t>
      </w:r>
      <w:r>
        <w:rPr>
          <w:rtl w:val="true"/>
        </w:rPr>
        <w:t>אבל כ</w:t>
      </w:r>
      <w:r>
        <w:rPr>
          <w:rtl w:val="true"/>
        </w:rPr>
        <w:t>"</w:t>
      </w:r>
      <w:r>
        <w:rPr>
          <w:rtl w:val="true"/>
        </w:rPr>
        <w:t>ה יכול לשמש בהם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רבי דורש מזה שבגדים שחקים כשרים לכל עבודה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לפי ריש לקיש</w:t>
      </w:r>
      <w:r>
        <w:rPr>
          <w:rtl w:val="true"/>
        </w:rPr>
        <w:t xml:space="preserve">, </w:t>
      </w:r>
      <w:r>
        <w:rPr>
          <w:rtl w:val="true"/>
        </w:rPr>
        <w:t>צריך לבאר שחלקו תנאים כמה בגדים צריכים</w:t>
      </w:r>
      <w:r>
        <w:rPr>
          <w:rtl w:val="true"/>
        </w:rPr>
        <w:t xml:space="preserve">. </w:t>
      </w:r>
      <w:r>
        <w:rPr>
          <w:rtl w:val="true"/>
        </w:rPr>
        <w:t>רבי יהודה סובר שצריך ארבע בגדים</w:t>
      </w:r>
      <w:r>
        <w:rPr>
          <w:rtl w:val="true"/>
        </w:rPr>
        <w:t xml:space="preserve">, </w:t>
      </w:r>
      <w:r>
        <w:rPr>
          <w:rtl w:val="true"/>
        </w:rPr>
        <w:t>וריש לקיש לא אמר את דינו אליבא דרבי יהודה</w:t>
      </w:r>
      <w:r>
        <w:rPr>
          <w:rtl w:val="true"/>
        </w:rPr>
        <w:t xml:space="preserve">, </w:t>
      </w:r>
      <w:r>
        <w:rPr>
          <w:rtl w:val="true"/>
        </w:rPr>
        <w:t>והחול’ אומרים שצריך רק שני בגדים</w:t>
      </w:r>
      <w:r>
        <w:rPr>
          <w:rtl w:val="true"/>
        </w:rPr>
        <w:t xml:space="preserve">, </w:t>
      </w:r>
      <w:r>
        <w:rPr>
          <w:rtl w:val="true"/>
        </w:rPr>
        <w:t>שאין להם קרא מיותר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לפי רבי יוחנן</w:t>
      </w:r>
      <w:r>
        <w:rPr>
          <w:rtl w:val="true"/>
        </w:rPr>
        <w:t xml:space="preserve">, </w:t>
      </w:r>
      <w:r>
        <w:rPr>
          <w:rtl w:val="true"/>
        </w:rPr>
        <w:t>אפשר לפרש כריש לקיש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חולק עם ר</w:t>
      </w:r>
      <w:r>
        <w:rPr>
          <w:rtl w:val="true"/>
        </w:rPr>
        <w:t>"</w:t>
      </w:r>
      <w:r>
        <w:rPr>
          <w:rtl w:val="true"/>
        </w:rPr>
        <w:t>ל אלא כמי ההלכה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גם יכול לפרש שיטתו לחול’ על רבי יהודה</w:t>
      </w:r>
      <w:r>
        <w:rPr>
          <w:rtl w:val="true"/>
        </w:rPr>
        <w:t xml:space="preserve">, </w:t>
      </w:r>
      <w:r>
        <w:rPr>
          <w:rtl w:val="true"/>
        </w:rPr>
        <w:t>ולומר שלא סוברים שאין הדין נכון כיון שאין קרא</w:t>
      </w:r>
      <w:r>
        <w:rPr>
          <w:rtl w:val="true"/>
        </w:rPr>
        <w:t xml:space="preserve">, </w:t>
      </w:r>
      <w:r>
        <w:rPr>
          <w:rtl w:val="true"/>
        </w:rPr>
        <w:t>אלא סוברים שלא צריכים קרא לאותו הדין</w:t>
      </w:r>
      <w:r>
        <w:rPr>
          <w:rtl w:val="true"/>
        </w:rPr>
        <w:t xml:space="preserve">, </w:t>
      </w:r>
      <w:r>
        <w:rPr>
          <w:rtl w:val="true"/>
        </w:rPr>
        <w:t>שכיון שגילתה תורה שצריך שני בגדים</w:t>
      </w:r>
      <w:r>
        <w:rPr>
          <w:rtl w:val="true"/>
        </w:rPr>
        <w:t xml:space="preserve">, </w:t>
      </w:r>
      <w:r>
        <w:rPr>
          <w:rtl w:val="true"/>
        </w:rPr>
        <w:t>פשוט שצריך שנים הנותרים גם כן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מפרש גמרא מהיכי תיתי שבא להכשיר כהנים בעלי מומים</w:t>
      </w:r>
      <w:r>
        <w:rPr>
          <w:rtl w:val="true"/>
        </w:rPr>
        <w:t xml:space="preserve">, </w:t>
      </w:r>
      <w:r>
        <w:rPr>
          <w:rtl w:val="true"/>
        </w:rPr>
        <w:t>אבל מצאנו במק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שכחתי איפה</w:t>
      </w:r>
      <w:r>
        <w:rPr>
          <w:rtl w:val="true"/>
        </w:rPr>
        <w:t xml:space="preserve">, </w:t>
      </w:r>
      <w:r>
        <w:rPr>
          <w:rtl w:val="true"/>
        </w:rPr>
        <w:t>ולא מצאתי</w:t>
      </w:r>
      <w:r>
        <w:rPr>
          <w:rtl w:val="true"/>
        </w:rPr>
        <w:t xml:space="preserve">) </w:t>
      </w:r>
      <w:r>
        <w:rPr>
          <w:rtl w:val="true"/>
        </w:rPr>
        <w:t>שמרבים בעלי מומים כיון שיכולים לאכול קדשים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 כן</w:t>
      </w:r>
      <w:r>
        <w:rPr>
          <w:rtl w:val="true"/>
        </w:rPr>
        <w:t xml:space="preserve">, </w:t>
      </w:r>
      <w:r>
        <w:rPr>
          <w:rtl w:val="true"/>
        </w:rPr>
        <w:t>סובר שרבנן מחייבים אותו ללבוש בגדים פחותים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מפרש גמרא מה יהיה מקור לשיטת רבי אליעזר ללמוד מהוצאה להרמה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זה מפרש כל כך כוונתו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סובר שמוכרח שאינו עבודה</w:t>
      </w:r>
      <w:r>
        <w:rPr>
          <w:rtl w:val="true"/>
        </w:rPr>
        <w:t xml:space="preserve">, </w:t>
      </w:r>
      <w:r>
        <w:rPr>
          <w:rtl w:val="true"/>
        </w:rPr>
        <w:t>ולומד אותו מקרא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שסובר שרבנן סוברים שאף שאינו עבודה</w:t>
      </w:r>
      <w:r>
        <w:rPr>
          <w:rtl w:val="true"/>
        </w:rPr>
        <w:t xml:space="preserve">, </w:t>
      </w:r>
      <w:r>
        <w:rPr>
          <w:rtl w:val="true"/>
        </w:rPr>
        <w:t xml:space="preserve">צריך בגדי כהונה </w:t>
      </w:r>
      <w:r>
        <w:rPr>
          <w:rtl w:val="true"/>
        </w:rPr>
        <w:t>(</w:t>
      </w:r>
      <w:r>
        <w:rPr>
          <w:rtl w:val="true"/>
        </w:rPr>
        <w:t>כמו ששחיטה</w:t>
      </w:r>
      <w:r>
        <w:rPr>
          <w:rtl w:val="true"/>
        </w:rPr>
        <w:t xml:space="preserve">, </w:t>
      </w:r>
      <w:r>
        <w:rPr>
          <w:rtl w:val="true"/>
        </w:rPr>
        <w:t>שכשרה בזר כיון שאינה עבודה</w:t>
      </w:r>
      <w:r>
        <w:rPr>
          <w:rtl w:val="true"/>
        </w:rPr>
        <w:t xml:space="preserve">, </w:t>
      </w:r>
      <w:r>
        <w:rPr>
          <w:rtl w:val="true"/>
        </w:rPr>
        <w:t>צריך להיות בבגדי כהונה</w:t>
      </w:r>
      <w:r>
        <w:rPr>
          <w:rtl w:val="true"/>
        </w:rPr>
        <w:t xml:space="preserve">, </w:t>
      </w:r>
      <w:r>
        <w:rPr>
          <w:rtl w:val="true"/>
        </w:rPr>
        <w:t>וצריך להיות במקום מסויים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רק בא לפרש איך היה אפשר לרבי אליעזר לומר כן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אין זה קושיה על רבי יוחנן שחולק</w:t>
      </w:r>
      <w:r>
        <w:rPr>
          <w:rtl w:val="true"/>
        </w:rPr>
        <w:t xml:space="preserve">, </w:t>
      </w:r>
      <w:r>
        <w:rPr>
          <w:rtl w:val="true"/>
        </w:rPr>
        <w:t>שהיה אפשר לרבי אליעזר לומר כרבנן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מקשה שאז הרמה שווה להוצאה</w:t>
      </w:r>
      <w:r>
        <w:rPr>
          <w:rtl w:val="true"/>
        </w:rPr>
        <w:t xml:space="preserve">, </w:t>
      </w:r>
      <w:r>
        <w:rPr>
          <w:rtl w:val="true"/>
        </w:rPr>
        <w:t>וכמו שמכשיר ר</w:t>
      </w:r>
      <w:r>
        <w:rPr>
          <w:rtl w:val="true"/>
        </w:rPr>
        <w:t>"</w:t>
      </w:r>
      <w:r>
        <w:rPr>
          <w:rtl w:val="true"/>
        </w:rPr>
        <w:t>א בהוצאה</w:t>
      </w:r>
      <w:r>
        <w:rPr>
          <w:rtl w:val="true"/>
        </w:rPr>
        <w:t xml:space="preserve">, </w:t>
      </w:r>
      <w:r>
        <w:rPr>
          <w:rtl w:val="true"/>
        </w:rPr>
        <w:t>אף יכשיר בהרמה</w:t>
      </w:r>
      <w:r>
        <w:rPr>
          <w:rtl w:val="true"/>
        </w:rPr>
        <w:t>.</w:t>
      </w:r>
    </w:p>
  </w:footnote>
  <w:footnote w:id="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מבאר מקור לזה</w:t>
      </w:r>
      <w:r>
        <w:rPr>
          <w:rtl w:val="true"/>
        </w:rPr>
        <w:t xml:space="preserve">. </w:t>
      </w:r>
      <w:r>
        <w:rPr>
          <w:rtl w:val="true"/>
        </w:rPr>
        <w:t>אין אני יודע מהו המקור לדמות אותם</w:t>
      </w:r>
      <w:r>
        <w:rPr>
          <w:rtl w:val="true"/>
        </w:rPr>
        <w:t xml:space="preserve">, </w:t>
      </w:r>
      <w:r>
        <w:rPr>
          <w:rtl w:val="true"/>
        </w:rPr>
        <w:t>ואז אין אני יודע למה לא מדמה אותם</w:t>
      </w:r>
      <w:r>
        <w:rPr>
          <w:rtl w:val="true"/>
        </w:rPr>
        <w:t xml:space="preserve">. </w:t>
      </w:r>
      <w:r>
        <w:rPr>
          <w:rtl w:val="true"/>
        </w:rPr>
        <w:t>יהיה קל אם נאמר שנלמד ממה מצאנו</w:t>
      </w:r>
      <w:r>
        <w:rPr>
          <w:rtl w:val="true"/>
        </w:rPr>
        <w:t xml:space="preserve">, </w:t>
      </w:r>
      <w:r>
        <w:rPr>
          <w:rtl w:val="true"/>
        </w:rPr>
        <w:t>והפירכא יכול להיות שזה עבודה וזה לא עבודה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מה שזה צריך רק שני בגדים יגלה שאין זה פירכא</w:t>
      </w:r>
      <w:r>
        <w:rPr>
          <w:rtl w:val="true"/>
        </w:rPr>
        <w:t xml:space="preserve">, </w:t>
      </w:r>
      <w:r>
        <w:rPr>
          <w:rtl w:val="true"/>
        </w:rPr>
        <w:t>ובזה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חולקים רבי יוחנן וריש לקיש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הבנתי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חשבון הגמרא</w:t>
      </w:r>
      <w:r>
        <w:rPr>
          <w:rtl w:val="true"/>
        </w:rPr>
        <w:t xml:space="preserve">, </w:t>
      </w:r>
      <w:r>
        <w:rPr>
          <w:rtl w:val="true"/>
        </w:rPr>
        <w:t>שמתחיל לומר שגילה רחמנא בשנים אלו</w:t>
      </w:r>
      <w:r>
        <w:rPr>
          <w:rtl w:val="true"/>
        </w:rPr>
        <w:t xml:space="preserve">, </w:t>
      </w:r>
      <w:r>
        <w:rPr>
          <w:rtl w:val="true"/>
        </w:rPr>
        <w:t>והוא הדין לשאר</w:t>
      </w:r>
      <w:r>
        <w:rPr>
          <w:rtl w:val="true"/>
        </w:rPr>
        <w:t xml:space="preserve">, </w:t>
      </w:r>
      <w:r>
        <w:rPr>
          <w:rtl w:val="true"/>
        </w:rPr>
        <w:t>ושוב מפרש למה כתב שניהם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היה לו לפרש רק למה כתב אחד מהם</w:t>
      </w:r>
      <w:r>
        <w:rPr>
          <w:rtl w:val="true"/>
        </w:rPr>
        <w:t xml:space="preserve">, </w:t>
      </w:r>
      <w:r>
        <w:rPr>
          <w:rtl w:val="true"/>
        </w:rPr>
        <w:t>שחברו יכול להיות כדי לגלות</w:t>
      </w:r>
      <w:r>
        <w:rPr>
          <w:rtl w:val="true"/>
        </w:rPr>
        <w:t xml:space="preserve">. </w:t>
      </w:r>
      <w:r>
        <w:rPr>
          <w:rtl w:val="true"/>
        </w:rPr>
        <w:t>אם נאמר שאין הדרשות שידרוש דרשות של ייתור</w:t>
      </w:r>
      <w:r>
        <w:rPr>
          <w:rtl w:val="true"/>
        </w:rPr>
        <w:t xml:space="preserve">, </w:t>
      </w:r>
      <w:r>
        <w:rPr>
          <w:rtl w:val="true"/>
        </w:rPr>
        <w:t>אז יכולים לומר שהיה אפשר לקיים שני הדרשות באחד</w:t>
      </w:r>
      <w:r>
        <w:rPr>
          <w:rtl w:val="true"/>
        </w:rPr>
        <w:t xml:space="preserve">, </w:t>
      </w:r>
      <w:r>
        <w:rPr>
          <w:rtl w:val="true"/>
        </w:rPr>
        <w:t>ולכן צריך דרשה לכל אחד</w:t>
      </w:r>
      <w:r>
        <w:rPr>
          <w:rtl w:val="true"/>
        </w:rPr>
        <w:t>.</w:t>
      </w:r>
    </w:p>
  </w:footnote>
  <w:footnote w:id="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מהיכי תיתי לרבות שני הבגדים</w:t>
      </w:r>
      <w:r>
        <w:rPr>
          <w:rtl w:val="true"/>
        </w:rPr>
        <w:t xml:space="preserve">, </w:t>
      </w:r>
      <w:r>
        <w:rPr>
          <w:rtl w:val="true"/>
        </w:rPr>
        <w:t>ולא רק אחד</w:t>
      </w:r>
      <w:r>
        <w:rPr>
          <w:rtl w:val="true"/>
        </w:rPr>
        <w:t xml:space="preserve">. </w:t>
      </w:r>
      <w:r>
        <w:rPr>
          <w:rtl w:val="true"/>
        </w:rPr>
        <w:t>אולי לא יודעים איזה אחד לרבות</w:t>
      </w:r>
      <w:r>
        <w:rPr>
          <w:rtl w:val="true"/>
        </w:rPr>
        <w:t>.</w:t>
      </w:r>
    </w:p>
  </w:footnote>
  <w:footnote w:id="9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לשון רבי משמע שלא דורש משם</w:t>
      </w:r>
      <w:r>
        <w:rPr>
          <w:rtl w:val="true"/>
        </w:rPr>
        <w:t xml:space="preserve">, </w:t>
      </w:r>
      <w:r>
        <w:rPr>
          <w:rtl w:val="true"/>
        </w:rPr>
        <w:t>אלא יודע אותו מסברה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bidi w:val="1"/>
      <w:spacing w:before="0" w:after="0"/>
      <w:jc w:val="left"/>
      <w:outlineLvl w:val="0"/>
    </w:pPr>
    <w:rPr>
      <w:b/>
      <w:bCs/>
      <w:sz w:val="36"/>
      <w:szCs w:val="24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bidi w:val="1"/>
      <w:spacing w:before="0" w:after="0"/>
      <w:jc w:val="left"/>
      <w:outlineLvl w:val="1"/>
    </w:pPr>
    <w:rPr>
      <w:b/>
      <w:bCs/>
      <w:sz w:val="32"/>
      <w:szCs w:val="24"/>
    </w:rPr>
  </w:style>
  <w:style w:type="character" w:styleId="LineNumbering">
    <w:name w:val="Line Number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1390</TotalTime>
  <Application>LibreOffice/7.5.3.2$Windows_X86_64 LibreOffice_project/9f56dff12ba03b9acd7730a5a481eea045e468f3</Application>
  <AppVersion>15.0000</AppVersion>
  <Pages>1</Pages>
  <Words>701</Words>
  <Characters>2989</Characters>
  <CharactersWithSpaces>3652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2023-06-06T18:18:34Z</dcterms:created>
  <dc:creator>ש"י הכהן חייט</dc:creator>
  <dc:description/>
  <dc:language>en-US</dc:language>
  <cp:lastModifiedBy>ש"י הכהן חייט</cp:lastModifiedBy>
  <dcterms:modified xsi:type="dcterms:W3CDTF">2023-06-07T17:29:08Z</dcterms:modified>
  <cp:revision>34</cp:revision>
  <dc:subject/>
  <dc:title/>
</cp:coreProperties>
</file>