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bidiVisual w:val="true"/>
        <w:tblW w:w="99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35"/>
        <w:gridCol w:w="817"/>
        <w:gridCol w:w="898"/>
        <w:gridCol w:w="2786"/>
        <w:gridCol w:w="4739"/>
      </w:tblGrid>
      <w:tr>
        <w:trPr/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17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עבודה</w:t>
            </w:r>
          </w:p>
        </w:tc>
        <w:tc>
          <w:tcPr>
            <w:tcW w:w="7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טעם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מערכה גדולה</w:t>
            </w:r>
            <w:r>
              <w:rPr>
                <w:rStyle w:val="FootnoteAnchor"/>
                <w:rtl w:val="true"/>
              </w:rPr>
              <w:footnoteReference w:id="2"/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למערכה של קטורת כיון שנותנים בו כל הקרבנות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ואז כפרתה מרובה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ואם תאמר הרי מכניסים ממערכה של קטרת לפנים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ואז יקדים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יש שני דיחויים</w:t>
            </w:r>
            <w:r>
              <w:rPr>
                <w:rtl w:val="true"/>
              </w:rPr>
              <w:t>:</w:t>
            </w:r>
          </w:p>
          <w:p>
            <w:pPr>
              <w:pStyle w:val="TableContents"/>
              <w:widowControl w:val="false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rtl w:val="true"/>
              </w:rPr>
              <w:t>מה שכפרתו מרובה הוא מעלה יותר גדולה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rtl w:val="true"/>
              </w:rPr>
              <w:t>אף ממערכה גדולה יכולים להכניס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אם אין מערכה של קטורת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>מה שמערכה של קטרת הוא לכתחלה אינו מעלה כ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 גדולה כמה שמ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 מרובה כפרתה</w:t>
            </w:r>
            <w:r>
              <w:rPr>
                <w:rtl w:val="true"/>
              </w:rPr>
              <w:t>.)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מערכה של קטרת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לסידור שני גזירים כיון 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ובער עליה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מיותרת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ודורשים ממנו שצריך לתת שני הגזירים על מערכה גדולה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ולא על מערכה של קטורת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משמע שכבר ניתן מערכה של קטורת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סידור שני גזירי עצים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הוא לדישון מזבח הפנימי לאחד משני טעמים</w:t>
            </w:r>
            <w:r>
              <w:rPr>
                <w:rtl w:val="true"/>
              </w:rPr>
              <w:t>: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>מכשיר את מזבח הפנימי לקטורת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3"/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bidi w:val="1"/>
              <w:ind w:left="720" w:hanging="0"/>
              <w:jc w:val="left"/>
              <w:rPr/>
            </w:pPr>
            <w:r>
              <w:rPr>
                <w:rtl w:val="true"/>
              </w:rPr>
              <w:t>(</w:t>
            </w:r>
            <w:r>
              <w:rPr>
                <w:rtl w:val="true"/>
              </w:rPr>
              <w:t>ואם תאמר כיון שניתנים על מערכה גדולה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באים לקטרת</w:t>
            </w:r>
            <w:r>
              <w:rPr>
                <w:rtl w:val="true"/>
              </w:rPr>
              <w:t xml:space="preserve">. 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bidi w:val="1"/>
              <w:ind w:left="720" w:hanging="0"/>
              <w:jc w:val="left"/>
              <w:rPr/>
            </w:pPr>
            <w:r>
              <w:rPr>
                <w:rtl w:val="true"/>
              </w:rPr>
              <w:t>יש שני ת’</w:t>
            </w:r>
            <w:r>
              <w:rPr>
                <w:rtl w:val="true"/>
              </w:rPr>
              <w:t>: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 xml:space="preserve">הם מין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עצים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שמכשירים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>אם אין מערכה של קטרת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יכול לבוא מהם</w:t>
            </w:r>
            <w:r>
              <w:rPr>
                <w:rtl w:val="true"/>
              </w:rPr>
              <w:t>.)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bidi w:val="1"/>
              <w:jc w:val="left"/>
              <w:rPr/>
            </w:pPr>
            <w:r>
              <w:rPr>
                <w:rtl w:val="true"/>
              </w:rPr>
              <w:t>כיון שמתחיל בסידור מערכות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גמור אותו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דישון מזבח הפנימי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הוא להטבת חמש נרות כיון שבהכנסה להיכל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פגע בו ראשון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שהוא משוך כלפי חוץ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כדי שלא יפסק בין מנורה לשלחן</w:t>
            </w:r>
            <w:r>
              <w:rPr>
                <w:rtl w:val="true"/>
              </w:rPr>
              <w:t>)</w:t>
            </w:r>
            <w:r>
              <w:rPr>
                <w:rStyle w:val="FootnoteAnchor"/>
                <w:rtl w:val="true"/>
              </w:rPr>
              <w:footnoteReference w:id="4"/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ואין מעבירים על המצוות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הטבת חמש נרות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כ’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בבקר בבקר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בסידור שני גזירים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לא צ’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שאף בל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ז מקדים כיון שמכשיר הוא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5"/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אז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נותנים אחד על הטבת חמש נרות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אז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קודם הוא לדם התמיד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כיון שעכשיו יש בו שלש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בבקר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ים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6"/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דם התמיד</w:t>
            </w:r>
            <w:r>
              <w:rPr>
                <w:rStyle w:val="FootnoteAnchor"/>
                <w:rtl w:val="true"/>
              </w:rPr>
              <w:footnoteReference w:id="7"/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נותנים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בבקר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אחד של שני גזירי עצים על דם התמיד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אז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קודם הוא להטבת שני נרות כיון ששווה לו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במה שיש לו שני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בבקר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והוא מכפר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8"/>
            </w:r>
          </w:p>
        </w:tc>
      </w:tr>
      <w:tr>
        <w:trPr/>
        <w:tc>
          <w:tcPr>
            <w:tcW w:w="7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אבא שאול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rStyle w:val="FootnoteAnchor"/>
                <w:b/>
                <w:b/>
                <w:bCs/>
                <w:rtl w:val="true"/>
              </w:rPr>
              <w:footnoteReference w:id="9"/>
            </w:r>
          </w:p>
        </w:tc>
        <w:tc>
          <w:tcPr>
            <w:tcW w:w="27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לקטורת כיון 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בהיטיבו את הנרות</w:t>
            </w:r>
            <w:r>
              <w:rPr>
                <w:rtl w:val="true"/>
              </w:rPr>
              <w:t xml:space="preserve">,” </w:t>
            </w:r>
            <w:r>
              <w:rPr>
                <w:rtl w:val="true"/>
              </w:rPr>
              <w:t>ושוב 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יקטירנה</w:t>
            </w:r>
            <w:r>
              <w:rPr>
                <w:rtl w:val="true"/>
              </w:rPr>
              <w:t>.”</w:t>
            </w:r>
          </w:p>
        </w:tc>
        <w:tc>
          <w:tcPr>
            <w:tcW w:w="473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הטבה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כיון 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בהטיבו את הנרות יקטירנה</w:t>
            </w:r>
            <w:r>
              <w:rPr>
                <w:rtl w:val="true"/>
              </w:rPr>
              <w:t xml:space="preserve">,” </w:t>
            </w:r>
            <w:r>
              <w:rPr>
                <w:rtl w:val="true"/>
              </w:rPr>
              <w:t>שאומר שבתוך ההטבה יקטיר אותו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10"/>
            </w:r>
          </w:p>
        </w:tc>
      </w:tr>
      <w:tr>
        <w:trPr/>
        <w:tc>
          <w:tcPr>
            <w:tcW w:w="7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הטבת שני נרות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קטורת</w:t>
            </w:r>
          </w:p>
        </w:tc>
        <w:tc>
          <w:tcPr>
            <w:tcW w:w="278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73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קטורת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הטבת שני נרות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קודם לאברים כיון שכ’ בו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בקר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שני פעמים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ובאברים רק כ’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בקר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פעם אחת</w:t>
            </w:r>
            <w:r>
              <w:rPr>
                <w:rtl w:val="true"/>
              </w:rPr>
              <w:t>.</w:t>
            </w:r>
          </w:p>
        </w:tc>
        <w:tc>
          <w:tcPr>
            <w:tcW w:w="4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 xml:space="preserve">קודם לאברים כיון שכ’ בו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בקר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שני פעמים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ובאברים רק כ’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בקר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פעם אחת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אברים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למנחה כיון שאין דבר הוקרב על מזבח החיצון קודם תמיד של שחר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העולה</w:t>
            </w:r>
            <w:r>
              <w:rPr>
                <w:rtl w:val="true"/>
              </w:rPr>
              <w:t>.”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מנחה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לחביתין כיון 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עולה ומנחה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שמלמד שהוא מיד אחר העולה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11"/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חביתין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לנסכים כיון שהוא מין מנחה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והרי 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עולה ומנחה</w:t>
            </w:r>
            <w:r>
              <w:rPr>
                <w:rtl w:val="true"/>
              </w:rPr>
              <w:t>.”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נסכים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קודם למוספים כיון 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זבח ונסכים</w:t>
            </w:r>
            <w:r>
              <w:rPr>
                <w:rtl w:val="true"/>
              </w:rPr>
              <w:t xml:space="preserve">,” </w:t>
            </w:r>
            <w:r>
              <w:rPr>
                <w:rtl w:val="true"/>
              </w:rPr>
              <w:t>לומר שהוקרב מיד אחר הזבח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12"/>
            </w:r>
          </w:p>
        </w:tc>
      </w:tr>
      <w:tr>
        <w:trPr/>
        <w:tc>
          <w:tcPr>
            <w:tcW w:w="7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שיטה ראשונה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שיטה שניה</w:t>
            </w:r>
          </w:p>
        </w:tc>
        <w:tc>
          <w:tcPr>
            <w:tcW w:w="27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קודמים לבזיכים כיון שכ’ ביום שני פעמים בבזיכים</w:t>
            </w:r>
            <w:r>
              <w:rPr>
                <w:rtl w:val="true"/>
              </w:rPr>
              <w:t>.</w:t>
            </w:r>
          </w:p>
        </w:tc>
        <w:tc>
          <w:tcPr>
            <w:tcW w:w="473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קודמים למוספים כיון שנלמדים בג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ש מחביתין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עדיין הוא אחר נסכים כיון שכ’ בו ביום שני פעמים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מוספים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בזיכים</w:t>
            </w:r>
          </w:p>
        </w:tc>
        <w:tc>
          <w:tcPr>
            <w:tcW w:w="278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473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בזיכים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מוספים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הוא סוף עבודות שחייב לעשות עד תמיד של בין הערבים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אחריו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מביאים כל קרבן רשות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ואחר כל זה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מביאים תמיד של בה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</w:t>
            </w:r>
            <w:r>
              <w:rPr>
                <w:rStyle w:val="FootnoteAnchor"/>
                <w:b/>
                <w:bCs/>
                <w:rtl w:val="true"/>
              </w:rPr>
              <w:footnoteReference w:id="13"/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הקרבת כל שאר קרבנות</w:t>
            </w:r>
            <w:r>
              <w:rPr>
                <w:rStyle w:val="FootnoteAnchor"/>
                <w:rtl w:val="true"/>
              </w:rPr>
              <w:footnoteReference w:id="14"/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צריך להיות אחר תמיד של שחר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העולה</w:t>
            </w:r>
            <w:r>
              <w:rPr>
                <w:rtl w:val="true"/>
              </w:rPr>
              <w:t xml:space="preserve">,” </w:t>
            </w:r>
            <w:r>
              <w:rPr>
                <w:rtl w:val="true"/>
              </w:rPr>
              <w:t>שואמר שצ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 ראשון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>ויש לדון אם צריך להיות אחר ג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 שאר חלקי תמיד</w:t>
            </w:r>
            <w:r>
              <w:rPr>
                <w:rtl w:val="true"/>
              </w:rPr>
              <w:t xml:space="preserve">). </w:t>
            </w:r>
            <w:r>
              <w:rPr>
                <w:rtl w:val="true"/>
              </w:rPr>
              <w:t>צריך להיות לפני תמיד של בין הערבים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שכ’</w:t>
            </w:r>
            <w:r>
              <w:rPr>
                <w:rtl w:val="true"/>
              </w:rPr>
              <w:t>, “</w:t>
            </w:r>
            <w:r>
              <w:rPr>
                <w:rtl w:val="true"/>
              </w:rPr>
              <w:t>עליה השלם</w:t>
            </w:r>
            <w:r>
              <w:rPr>
                <w:rtl w:val="true"/>
              </w:rPr>
              <w:t xml:space="preserve">,” </w:t>
            </w:r>
            <w:r>
              <w:rPr>
                <w:rtl w:val="true"/>
              </w:rPr>
              <w:t>שאומר שבו משלימים הקרבנות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זריקת דם התמיד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צריך לזרוק קודם הקרבת האברים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אברים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לא מבאר גמ’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אבל כן אומר משנה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קטורת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הוקש תמיד של בין הערבים לשל שחר לומר שאף כאן קטורת קודם למנחה ונסכים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באותו היקש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כ’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מנחה</w:t>
            </w:r>
            <w:r>
              <w:rPr>
                <w:rtl w:val="true"/>
              </w:rPr>
              <w:t xml:space="preserve">,” </w:t>
            </w:r>
            <w:r>
              <w:rPr>
                <w:rtl w:val="true"/>
              </w:rPr>
              <w:t>שמשמע שהוא רק לדיני מנחה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x, 19+x</w:t>
            </w:r>
            <w:r>
              <w:rPr>
                <w:b/>
                <w:bCs/>
                <w:rtl w:val="true"/>
              </w:rPr>
              <w:t>,</w:t>
            </w:r>
          </w:p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מנחה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נסכים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חביתין</w:t>
            </w:r>
            <w:r>
              <w:rPr>
                <w:rStyle w:val="FootnoteAnchor"/>
                <w:rtl w:val="true"/>
              </w:rPr>
              <w:footnoteReference w:id="15"/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צריך להיות לפני הדלקה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מפני מש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 שם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הדלקת נרות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כ’</w:t>
            </w:r>
            <w:r>
              <w:rPr>
                <w:rtl w:val="true"/>
              </w:rPr>
              <w:t>, "</w:t>
            </w:r>
            <w:r>
              <w:rPr>
                <w:rtl w:val="true"/>
              </w:rPr>
              <w:t>אותו… מערב עד בקר</w:t>
            </w:r>
            <w:r>
              <w:rPr>
                <w:rtl w:val="true"/>
              </w:rPr>
              <w:t xml:space="preserve">,” </w:t>
            </w:r>
            <w:r>
              <w:rPr>
                <w:rtl w:val="true"/>
              </w:rPr>
              <w:t>לומר שאין עבודה אחר שכשרה מערב עד בקר</w:t>
            </w:r>
            <w:r>
              <w:rPr>
                <w:rStyle w:val="FootnoteAnchor"/>
                <w:rtl w:val="true"/>
              </w:rPr>
              <w:footnoteReference w:id="16"/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  <w:r>
              <w:rPr>
                <w:b/>
                <w:bCs/>
                <w:rtl w:val="true"/>
              </w:rPr>
              <w:t>+</w:t>
            </w:r>
            <w:r>
              <w:rPr>
                <w:b/>
                <w:bCs/>
              </w:rPr>
              <w:t>x</w:t>
            </w:r>
          </w:p>
        </w:tc>
        <w:tc>
          <w:tcPr>
            <w:tcW w:w="171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הקטרות</w:t>
            </w:r>
          </w:p>
        </w:tc>
        <w:tc>
          <w:tcPr>
            <w:tcW w:w="75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/>
            </w:pPr>
            <w:r>
              <w:rPr>
                <w:rtl w:val="true"/>
              </w:rPr>
              <w:t>אברים ופדרים נקרבים כל הלילה</w:t>
            </w:r>
            <w:r>
              <w:rPr>
                <w:rtl w:val="true"/>
              </w:rPr>
              <w:t>.</w:t>
            </w:r>
            <w:r>
              <w:rPr>
                <w:rStyle w:val="FootnoteAnchor"/>
                <w:rtl w:val="true"/>
              </w:rPr>
              <w:footnoteReference w:id="17"/>
            </w:r>
          </w:p>
        </w:tc>
      </w:tr>
    </w:tbl>
    <w:p>
      <w:pPr>
        <w:pStyle w:val="Normal"/>
        <w:bidi w:val="1"/>
        <w:jc w:val="righ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כולל נתינת העצים שם וההדלקה</w:t>
      </w:r>
      <w:r>
        <w:rPr>
          <w:rtl w:val="true"/>
        </w:rPr>
        <w:t xml:space="preserve">. </w:t>
      </w:r>
    </w:p>
  </w:footnote>
  <w:footnote w:id="3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למה אין דישון נחשב מכשיר אותו</w:t>
      </w:r>
      <w:r>
        <w:rPr>
          <w:rtl w:val="true"/>
        </w:rPr>
        <w:t>.</w:t>
      </w:r>
    </w:p>
  </w:footnote>
  <w:footnote w:id="4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מהי</w:t>
      </w:r>
      <w:r>
        <w:rPr>
          <w:rtl w:val="true"/>
        </w:rPr>
        <w:t>"</w:t>
      </w:r>
      <w:r>
        <w:rPr>
          <w:rtl w:val="true"/>
        </w:rPr>
        <w:t>ת למשוך אותו לוץ ולא לפנים</w:t>
      </w:r>
      <w:r>
        <w:rPr>
          <w:rtl w:val="true"/>
        </w:rPr>
        <w:t>.</w:t>
      </w:r>
    </w:p>
  </w:footnote>
  <w:footnote w:id="5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 אומרים שצריך שניהם</w:t>
      </w:r>
      <w:r>
        <w:rPr>
          <w:rtl w:val="true"/>
        </w:rPr>
        <w:t>.</w:t>
      </w:r>
    </w:p>
  </w:footnote>
  <w:footnote w:id="6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נוקטים שקאי עליו</w:t>
      </w:r>
      <w:r>
        <w:rPr>
          <w:rtl w:val="true"/>
        </w:rPr>
        <w:t xml:space="preserve">, </w:t>
      </w:r>
      <w:r>
        <w:rPr>
          <w:rtl w:val="true"/>
        </w:rPr>
        <w:t>ולא על של שנים</w:t>
      </w:r>
      <w:r>
        <w:rPr>
          <w:rtl w:val="true"/>
        </w:rPr>
        <w:t xml:space="preserve">, </w:t>
      </w:r>
      <w:r>
        <w:rPr>
          <w:rtl w:val="true"/>
        </w:rPr>
        <w:t>שכיון שכבר התחיל בו</w:t>
      </w:r>
      <w:r>
        <w:rPr>
          <w:rtl w:val="true"/>
        </w:rPr>
        <w:t xml:space="preserve">, </w:t>
      </w:r>
      <w:r>
        <w:rPr>
          <w:rtl w:val="true"/>
        </w:rPr>
        <w:t>ימשיך עד שאי אפשר לו להמשיך עוד</w:t>
      </w:r>
      <w:r>
        <w:rPr>
          <w:rtl w:val="true"/>
        </w:rPr>
        <w:t xml:space="preserve">, </w:t>
      </w:r>
      <w:r>
        <w:rPr>
          <w:rtl w:val="true"/>
        </w:rPr>
        <w:t>וממילא יעשה חמש</w:t>
      </w:r>
      <w:r>
        <w:rPr>
          <w:rtl w:val="true"/>
        </w:rPr>
        <w:t xml:space="preserve">. </w:t>
      </w:r>
      <w:r>
        <w:rPr>
          <w:rtl w:val="true"/>
        </w:rPr>
        <w:t>לא ישאר רק אחד</w:t>
      </w:r>
      <w:r>
        <w:rPr>
          <w:rtl w:val="true"/>
        </w:rPr>
        <w:t xml:space="preserve">, </w:t>
      </w:r>
      <w:r>
        <w:rPr>
          <w:rtl w:val="true"/>
        </w:rPr>
        <w:t>כיון שבהטבה כ’</w:t>
      </w:r>
      <w:r>
        <w:rPr>
          <w:rtl w:val="true"/>
        </w:rPr>
        <w:t>, “</w:t>
      </w:r>
      <w:r>
        <w:rPr>
          <w:rtl w:val="true"/>
        </w:rPr>
        <w:t>נרות</w:t>
      </w:r>
      <w:r>
        <w:rPr>
          <w:rtl w:val="true"/>
        </w:rPr>
        <w:t>.”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מתי שחט אותו</w:t>
      </w:r>
      <w:r>
        <w:rPr>
          <w:rtl w:val="true"/>
        </w:rPr>
        <w:t xml:space="preserve">. </w:t>
      </w:r>
      <w:r>
        <w:rPr>
          <w:rtl w:val="true"/>
        </w:rPr>
        <w:t>אולי הוא מיד לפני זריקה</w:t>
      </w:r>
      <w:r>
        <w:rPr>
          <w:rtl w:val="true"/>
        </w:rPr>
        <w:t xml:space="preserve">, </w:t>
      </w:r>
      <w:r>
        <w:rPr>
          <w:rtl w:val="true"/>
        </w:rPr>
        <w:t>ואומר שעשה כל עבודות שלו עד זריקה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שיכול לשחוט בכל זמן שרוצה</w:t>
      </w:r>
      <w:r>
        <w:rPr>
          <w:rtl w:val="true"/>
        </w:rPr>
        <w:t>.</w:t>
      </w:r>
    </w:p>
  </w:footnote>
  <w:footnote w:id="8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מקשה דרך אחר של נתינת ה</w:t>
      </w:r>
      <w:r>
        <w:rPr>
          <w:rtl w:val="true"/>
        </w:rPr>
        <w:t>"</w:t>
      </w:r>
      <w:r>
        <w:rPr>
          <w:rtl w:val="true"/>
        </w:rPr>
        <w:t>בבקר</w:t>
      </w:r>
      <w:r>
        <w:rPr>
          <w:rtl w:val="true"/>
        </w:rPr>
        <w:t>"</w:t>
      </w:r>
      <w:r>
        <w:rPr>
          <w:rtl w:val="true"/>
        </w:rPr>
        <w:t>ים</w:t>
      </w:r>
      <w:r>
        <w:rPr>
          <w:rtl w:val="true"/>
        </w:rPr>
        <w:t xml:space="preserve">, </w:t>
      </w:r>
      <w:r>
        <w:rPr>
          <w:rtl w:val="true"/>
        </w:rPr>
        <w:t>אבל מבאר שצ</w:t>
      </w:r>
      <w:r>
        <w:rPr>
          <w:rtl w:val="true"/>
        </w:rPr>
        <w:t>"</w:t>
      </w:r>
      <w:r>
        <w:rPr>
          <w:rtl w:val="true"/>
        </w:rPr>
        <w:t>ל שנותן כן כיון שצ</w:t>
      </w:r>
      <w:r>
        <w:rPr>
          <w:rtl w:val="true"/>
        </w:rPr>
        <w:t>"</w:t>
      </w:r>
      <w:r>
        <w:rPr>
          <w:rtl w:val="true"/>
        </w:rPr>
        <w:t>ל עבודה בין הטבת נרות</w:t>
      </w:r>
      <w:r>
        <w:rPr>
          <w:rtl w:val="true"/>
        </w:rPr>
        <w:t xml:space="preserve">. </w:t>
      </w:r>
      <w:r>
        <w:rPr>
          <w:rtl w:val="true"/>
        </w:rPr>
        <w:t>חולקים למה</w:t>
      </w:r>
      <w:r>
        <w:rPr>
          <w:rtl w:val="true"/>
        </w:rPr>
        <w:t>:</w:t>
      </w:r>
    </w:p>
    <w:p>
      <w:pPr>
        <w:pStyle w:val="Footnote"/>
        <w:widowControl w:val="false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כ’ </w:t>
      </w:r>
      <w:r>
        <w:rPr>
          <w:rtl w:val="true"/>
        </w:rPr>
        <w:t>"</w:t>
      </w:r>
      <w:r>
        <w:rPr>
          <w:rtl w:val="true"/>
        </w:rPr>
        <w:t>בבקר בבקר</w:t>
      </w:r>
      <w:r>
        <w:rPr>
          <w:rtl w:val="true"/>
        </w:rPr>
        <w:t xml:space="preserve">" </w:t>
      </w:r>
      <w:r>
        <w:rPr>
          <w:rtl w:val="true"/>
        </w:rPr>
        <w:t>לומר שצריך לתת שני בקרים</w:t>
      </w:r>
      <w:r>
        <w:rPr>
          <w:rtl w:val="true"/>
        </w:rPr>
        <w:t>. (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דורשים כן לשאר דברים שכ’ בהם כן</w:t>
      </w:r>
      <w:r>
        <w:rPr>
          <w:rtl w:val="true"/>
        </w:rPr>
        <w:t xml:space="preserve">. </w:t>
      </w:r>
      <w:r>
        <w:rPr>
          <w:rtl w:val="true"/>
        </w:rPr>
        <w:t>אולי בדר</w:t>
      </w:r>
      <w:r>
        <w:rPr>
          <w:rtl w:val="true"/>
        </w:rPr>
        <w:t>"</w:t>
      </w:r>
      <w:r>
        <w:rPr>
          <w:rtl w:val="true"/>
        </w:rPr>
        <w:t>כ לא כל כך שייך לחלקם</w:t>
      </w:r>
      <w:r>
        <w:rPr>
          <w:rtl w:val="true"/>
        </w:rPr>
        <w:t>.)</w:t>
      </w:r>
    </w:p>
    <w:p>
      <w:pPr>
        <w:pStyle w:val="Footnote"/>
        <w:widowControl w:val="false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רוצים שיהיה יותר ניכר לבנ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מק’ גמ’ ל</w:t>
      </w:r>
      <w:r>
        <w:rPr>
          <w:rtl w:val="true"/>
        </w:rPr>
        <w:t>"</w:t>
      </w:r>
      <w:r>
        <w:rPr>
          <w:rtl w:val="true"/>
        </w:rPr>
        <w:t>ל מחלק אותם רק ביציאה והכנסה</w:t>
      </w:r>
      <w:r>
        <w:rPr>
          <w:rtl w:val="true"/>
        </w:rPr>
        <w:t>.</w:t>
      </w:r>
    </w:p>
  </w:footnote>
  <w:footnote w:id="9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לפי מה שכתבתי נמצא שרבנן מפסיקים בשני דברים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שגמ’ רק ידע לתת בקר יתירות כיון שצריך דבר להפסיק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יכול לתת בקר כך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אולי יאמר כדרשה שמקשה ששם </w:t>
      </w:r>
      <w:r>
        <w:rPr>
          <w:rtl w:val="true"/>
        </w:rPr>
        <w:t>(</w:t>
      </w:r>
      <w:r>
        <w:rPr>
          <w:rtl w:val="true"/>
        </w:rPr>
        <w:t>שאחד יהיה לדישון מזבח הפנימי</w:t>
      </w:r>
      <w:r>
        <w:rPr>
          <w:rtl w:val="true"/>
        </w:rPr>
        <w:t xml:space="preserve">, </w:t>
      </w:r>
      <w:r>
        <w:rPr>
          <w:rtl w:val="true"/>
        </w:rPr>
        <w:t>ואחד יהיה לדם התמיד</w:t>
      </w:r>
      <w:r>
        <w:rPr>
          <w:rtl w:val="true"/>
        </w:rPr>
        <w:t xml:space="preserve">, </w:t>
      </w:r>
      <w:r>
        <w:rPr>
          <w:rtl w:val="true"/>
        </w:rPr>
        <w:t>ונמצא שהסדר ישנה רק בדבר אחד</w:t>
      </w:r>
      <w:r>
        <w:rPr>
          <w:rtl w:val="true"/>
        </w:rPr>
        <w:t xml:space="preserve">, </w:t>
      </w:r>
      <w:r>
        <w:rPr>
          <w:rtl w:val="true"/>
        </w:rPr>
        <w:t>והוא שדם התמיד והטבת שני נרות יחלפו מקומות</w:t>
      </w:r>
      <w:r>
        <w:rPr>
          <w:rtl w:val="true"/>
        </w:rPr>
        <w:t>).</w:t>
      </w:r>
    </w:p>
    <w:p>
      <w:pPr>
        <w:pStyle w:val="Footnote"/>
        <w:widowControl w:val="fals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נמצא שאנו מסופקים מה סוברים רבנן</w:t>
      </w:r>
      <w:r>
        <w:rPr>
          <w:rtl w:val="true"/>
        </w:rPr>
        <w:t>.</w:t>
      </w:r>
    </w:p>
  </w:footnote>
  <w:footnote w:id="10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למה קודם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אלא מפרש ל</w:t>
      </w:r>
      <w:r>
        <w:rPr>
          <w:rtl w:val="true"/>
        </w:rPr>
        <w:t>"</w:t>
      </w:r>
      <w:r>
        <w:rPr>
          <w:rtl w:val="true"/>
        </w:rPr>
        <w:t>ל דורשים כאב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הנחתי שמקורם ג</w:t>
      </w:r>
      <w:r>
        <w:rPr>
          <w:rtl w:val="true"/>
        </w:rPr>
        <w:t>"</w:t>
      </w:r>
      <w:r>
        <w:rPr>
          <w:rtl w:val="true"/>
        </w:rPr>
        <w:t>כ הוא משם</w:t>
      </w:r>
      <w:r>
        <w:rPr>
          <w:rtl w:val="true"/>
        </w:rPr>
        <w:t>.</w:t>
      </w:r>
    </w:p>
  </w:footnote>
  <w:footnote w:id="11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ל</w:t>
      </w:r>
      <w:r>
        <w:rPr>
          <w:rtl w:val="true"/>
        </w:rPr>
        <w:t>"</w:t>
      </w:r>
      <w:r>
        <w:rPr>
          <w:rtl w:val="true"/>
        </w:rPr>
        <w:t>ל לומדים מכאן שעולה קודם למנחה</w:t>
      </w:r>
      <w:r>
        <w:rPr>
          <w:rtl w:val="true"/>
        </w:rPr>
        <w:t>.</w:t>
      </w:r>
    </w:p>
  </w:footnote>
  <w:footnote w:id="12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למה לא אומרים שזה יכחיש </w:t>
      </w:r>
      <w:r>
        <w:rPr>
          <w:rtl w:val="true"/>
        </w:rPr>
        <w:t>"</w:t>
      </w:r>
      <w:r>
        <w:rPr>
          <w:rtl w:val="true"/>
        </w:rPr>
        <w:t>עולה ומנחה</w:t>
      </w:r>
      <w:r>
        <w:rPr>
          <w:rtl w:val="true"/>
        </w:rPr>
        <w:t>.”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/>
        <w:tab/>
        <w:t>X</w:t>
      </w:r>
      <w:r>
        <w:rPr>
          <w:rtl w:val="true"/>
        </w:rPr>
        <w:t xml:space="preserve"> </w:t>
      </w:r>
      <w:r>
        <w:rPr>
          <w:rtl w:val="true"/>
        </w:rPr>
        <w:t>הוא מנין של קרבנות אחרים שמביא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בימים שמותר להקריב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גמ’ איזה מאלו צריך להיות ראשון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יכול להיות שחביתין הוא קודם אברים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עדיין היה אפשר לומר שזה כשר בערב</w:t>
      </w:r>
      <w:r>
        <w:rPr>
          <w:rtl w:val="true"/>
        </w:rPr>
        <w:t xml:space="preserve">, </w:t>
      </w:r>
      <w:r>
        <w:rPr>
          <w:rtl w:val="true"/>
        </w:rPr>
        <w:t>אבל מצוותו לעשות אותו ביום</w:t>
      </w:r>
      <w:r>
        <w:rPr>
          <w:rtl w:val="true"/>
        </w:rPr>
        <w:t xml:space="preserve">, </w:t>
      </w:r>
      <w:r>
        <w:rPr>
          <w:rtl w:val="true"/>
        </w:rPr>
        <w:t>ולעשות אותו קודם לאחרים</w:t>
      </w:r>
      <w:r>
        <w:rPr>
          <w:rtl w:val="true"/>
        </w:rPr>
        <w:t xml:space="preserve">, </w:t>
      </w:r>
      <w:r>
        <w:rPr>
          <w:rtl w:val="true"/>
        </w:rPr>
        <w:t>ואחרים יכולים להיות אחריו כל זמן שהם ביום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>.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</w:t>
      </w:r>
      <w:r>
        <w:rPr>
          <w:rtl w:val="true"/>
        </w:rPr>
        <w:t>"</w:t>
      </w:r>
      <w:r>
        <w:rPr>
          <w:rtl w:val="true"/>
        </w:rPr>
        <w:t>ל נתמעט מ</w:t>
      </w:r>
      <w:r>
        <w:rPr>
          <w:rtl w:val="true"/>
        </w:rPr>
        <w:t>"</w:t>
      </w:r>
      <w:r>
        <w:rPr>
          <w:rtl w:val="true"/>
        </w:rPr>
        <w:t>מערב עד בקר</w:t>
      </w:r>
      <w:r>
        <w:rPr>
          <w:rtl w:val="true"/>
        </w:rPr>
        <w:t>.”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LibreOffice/7.5.3.2$Windows_X86_64 LibreOffice_project/9f56dff12ba03b9acd7730a5a481eea045e468f3</Application>
  <AppVersion>15.0000</AppVersion>
  <Pages>2</Pages>
  <Words>831</Words>
  <Characters>3533</Characters>
  <CharactersWithSpaces>4251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2023-06-13T11:46:43Z</dcterms:created>
  <dc:creator>ש"י הכהן חייט</dc:creator>
  <dc:description/>
  <dc:language>en-US</dc:language>
  <cp:lastModifiedBy>ש"י הכהן חייט</cp:lastModifiedBy>
  <dcterms:modified xsi:type="dcterms:W3CDTF">2023-06-13T17:21:46Z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