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אסור להיות בהיכל בזמן שכהן גדול נכנס</w:t>
      </w:r>
      <w:r>
        <w:rPr>
          <w:rStyle w:val="FootnoteAnchor"/>
          <w:rtl w:val="true"/>
        </w:rPr>
        <w:footnoteReference w:id="2"/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כ’</w:t>
      </w:r>
      <w:r>
        <w:rPr>
          <w:rtl w:val="true"/>
        </w:rPr>
        <w:t>, “</w:t>
      </w:r>
      <w:r>
        <w:rPr>
          <w:rtl w:val="true"/>
        </w:rPr>
        <w:t>בבואו</w:t>
      </w:r>
      <w:r>
        <w:rPr>
          <w:rtl w:val="true"/>
        </w:rPr>
        <w:t xml:space="preserve">"), </w:t>
      </w:r>
      <w:r>
        <w:rPr>
          <w:rtl w:val="true"/>
        </w:rPr>
        <w:t xml:space="preserve">יוצא </w:t>
      </w:r>
      <w:r>
        <w:rPr>
          <w:rtl w:val="true"/>
        </w:rPr>
        <w:t>(</w:t>
      </w:r>
      <w:r>
        <w:rPr>
          <w:rtl w:val="true"/>
        </w:rPr>
        <w:t>כ’</w:t>
      </w:r>
      <w:r>
        <w:rPr>
          <w:rtl w:val="true"/>
        </w:rPr>
        <w:t>, “</w:t>
      </w:r>
      <w:r>
        <w:rPr>
          <w:rtl w:val="true"/>
        </w:rPr>
        <w:t>בצאתו</w:t>
      </w:r>
      <w:r>
        <w:rPr>
          <w:rtl w:val="true"/>
        </w:rPr>
        <w:t xml:space="preserve">"), </w:t>
      </w:r>
      <w:r>
        <w:rPr>
          <w:rtl w:val="true"/>
        </w:rPr>
        <w:t xml:space="preserve">ומקטיר קטורת </w:t>
      </w:r>
      <w:r>
        <w:rPr>
          <w:rtl w:val="true"/>
        </w:rPr>
        <w:t>(</w:t>
      </w:r>
      <w:r>
        <w:rPr>
          <w:rtl w:val="true"/>
        </w:rPr>
        <w:t>כ’</w:t>
      </w:r>
      <w:r>
        <w:rPr>
          <w:rtl w:val="true"/>
        </w:rPr>
        <w:t>, “</w:t>
      </w:r>
      <w:r>
        <w:rPr>
          <w:rtl w:val="true"/>
        </w:rPr>
        <w:t>וכפר בעדו… ובעד כל קהל…</w:t>
      </w:r>
      <w:r>
        <w:rPr>
          <w:rtl w:val="true"/>
        </w:rPr>
        <w:t xml:space="preserve">.” </w:t>
      </w:r>
      <w:r>
        <w:rPr>
          <w:rtl w:val="true"/>
        </w:rPr>
        <w:t>רק קטרת</w:t>
      </w:r>
      <w:r>
        <w:rPr>
          <w:rtl w:val="true"/>
        </w:rPr>
        <w:t xml:space="preserve">, </w:t>
      </w:r>
      <w:r>
        <w:rPr>
          <w:rtl w:val="true"/>
        </w:rPr>
        <w:t>שמכפר על לשון הרע</w:t>
      </w:r>
      <w:r>
        <w:rPr>
          <w:rtl w:val="true"/>
        </w:rPr>
        <w:t xml:space="preserve">, </w:t>
      </w:r>
      <w:r>
        <w:rPr>
          <w:rtl w:val="true"/>
        </w:rPr>
        <w:t>מכפר בשווה לכל בני ישראל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איסור זה מדאו’</w:t>
      </w:r>
      <w:r>
        <w:rPr>
          <w:rtl w:val="true"/>
        </w:rPr>
        <w:t xml:space="preserve">, </w:t>
      </w:r>
      <w:r>
        <w:rPr>
          <w:rtl w:val="true"/>
        </w:rPr>
        <w:t>ונלמד מ</w:t>
      </w:r>
      <w:r>
        <w:rPr>
          <w:rtl w:val="true"/>
        </w:rPr>
        <w:t>"</w:t>
      </w:r>
      <w:r>
        <w:rPr>
          <w:rtl w:val="true"/>
        </w:rPr>
        <w:t>וכל אדם לא יהיה באהל מועד</w:t>
      </w:r>
      <w:r>
        <w:rPr>
          <w:rtl w:val="true"/>
        </w:rPr>
        <w:t>.”</w:t>
      </w:r>
    </w:p>
    <w:p>
      <w:pPr>
        <w:pStyle w:val="Normal"/>
        <w:bidi w:val="1"/>
        <w:jc w:val="left"/>
        <w:rPr/>
      </w:pPr>
      <w:r>
        <w:rPr>
          <w:rtl w:val="true"/>
        </w:rPr>
        <w:t>דין זה נוגע בעבודת יוה</w:t>
      </w:r>
      <w:r>
        <w:rPr>
          <w:rtl w:val="true"/>
        </w:rPr>
        <w:t>"</w:t>
      </w:r>
      <w:r>
        <w:rPr>
          <w:rtl w:val="true"/>
        </w:rPr>
        <w:t xml:space="preserve">כ </w:t>
      </w:r>
      <w:r>
        <w:rPr>
          <w:rtl w:val="true"/>
        </w:rPr>
        <w:t>(</w:t>
      </w:r>
      <w:r>
        <w:rPr>
          <w:rtl w:val="true"/>
        </w:rPr>
        <w:t>שבו כ’</w:t>
      </w:r>
      <w:r>
        <w:rPr>
          <w:rtl w:val="true"/>
        </w:rPr>
        <w:t xml:space="preserve">), </w:t>
      </w:r>
      <w:r>
        <w:rPr>
          <w:rtl w:val="true"/>
        </w:rPr>
        <w:t>ובקרבת פר כה</w:t>
      </w:r>
      <w:r>
        <w:rPr>
          <w:rtl w:val="true"/>
        </w:rPr>
        <w:t>"</w:t>
      </w:r>
      <w:r>
        <w:rPr>
          <w:rtl w:val="true"/>
        </w:rPr>
        <w:t>מ ופר של צבור ושעירי עכו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שנל’ בג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)</w:t>
      </w:r>
    </w:p>
    <w:p>
      <w:pPr>
        <w:pStyle w:val="Normal"/>
        <w:bidi w:val="1"/>
        <w:jc w:val="left"/>
        <w:rPr/>
      </w:pPr>
      <w:r>
        <w:rPr>
          <w:rtl w:val="true"/>
        </w:rPr>
        <w:t>אסור להיות באולם</w:t>
      </w:r>
      <w:r>
        <w:rPr>
          <w:rtl w:val="true"/>
        </w:rPr>
        <w:t xml:space="preserve">. </w:t>
      </w:r>
      <w:r>
        <w:rPr>
          <w:rtl w:val="true"/>
        </w:rPr>
        <w:t>דן גמ’ אם זה חלק מדין היכל או מדין בין אולם למזבח</w:t>
      </w:r>
      <w:r>
        <w:rPr>
          <w:rtl w:val="true"/>
        </w:rPr>
        <w:t xml:space="preserve">. </w:t>
      </w:r>
      <w:r>
        <w:rPr>
          <w:rtl w:val="true"/>
        </w:rPr>
        <w:t>תלוי באם קדושתו שווה לקדושת היכל או לקדושת בין אולם למזבח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3"/>
      </w:r>
    </w:p>
    <w:p>
      <w:pPr>
        <w:pStyle w:val="Normal"/>
        <w:bidi w:val="1"/>
        <w:jc w:val="left"/>
        <w:rPr/>
      </w:pPr>
      <w:r>
        <w:rPr>
          <w:rtl w:val="true"/>
        </w:rPr>
        <w:t>אסור להיות בין אולם למזבח בזמן שכה</w:t>
      </w:r>
      <w:r>
        <w:rPr>
          <w:rtl w:val="true"/>
        </w:rPr>
        <w:t>"</w:t>
      </w:r>
      <w:r>
        <w:rPr>
          <w:rtl w:val="true"/>
        </w:rPr>
        <w:t>ג מקטיר בהיכל</w:t>
      </w:r>
      <w:r>
        <w:rPr>
          <w:rtl w:val="true"/>
        </w:rPr>
        <w:t xml:space="preserve">. </w:t>
      </w:r>
      <w:r>
        <w:rPr>
          <w:rtl w:val="true"/>
        </w:rPr>
        <w:t>לא גזרו על כל העזרה</w:t>
      </w:r>
      <w:r>
        <w:rPr>
          <w:rtl w:val="true"/>
        </w:rPr>
        <w:t xml:space="preserve">. </w:t>
      </w:r>
      <w:r>
        <w:rPr>
          <w:rtl w:val="true"/>
        </w:rPr>
        <w:t>גמ’ נותן שני טעמים לזה</w:t>
      </w:r>
      <w:r>
        <w:rPr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מדאו’</w:t>
      </w:r>
      <w:r>
        <w:rPr>
          <w:rtl w:val="true"/>
        </w:rPr>
        <w:t xml:space="preserve">, </w:t>
      </w:r>
      <w:r>
        <w:rPr>
          <w:rtl w:val="true"/>
        </w:rPr>
        <w:t>קדושת בין אולם למזבח גדולה מקדושת שאר העזרה</w:t>
      </w:r>
      <w:r>
        <w:rPr>
          <w:rtl w:val="true"/>
        </w:rPr>
        <w:t xml:space="preserve">. </w:t>
      </w:r>
      <w:r>
        <w:rPr>
          <w:rtl w:val="true"/>
        </w:rPr>
        <w:t>רק גזרו על מקום אחד הקרוב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רק חוששים שמא יכנס לתוך ההיכל אם אין כלים בינו להיכל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רק בין אולם למז’ חוששים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בכלל זה</w:t>
      </w:r>
      <w:r>
        <w:rPr>
          <w:rtl w:val="true"/>
        </w:rPr>
        <w:t xml:space="preserve">, </w:t>
      </w:r>
      <w:r>
        <w:rPr>
          <w:rtl w:val="true"/>
        </w:rPr>
        <w:t>גמ’ גם כולל הזאת דמיו</w:t>
      </w:r>
      <w:r>
        <w:rPr>
          <w:rtl w:val="true"/>
        </w:rPr>
        <w:t xml:space="preserve">. </w:t>
      </w:r>
      <w:r>
        <w:rPr>
          <w:rtl w:val="true"/>
        </w:rPr>
        <w:t>יש לדון למה אין הקטרת קטורת ג</w:t>
      </w:r>
      <w:r>
        <w:rPr>
          <w:rtl w:val="true"/>
        </w:rPr>
        <w:t>"</w:t>
      </w:r>
      <w:r>
        <w:rPr>
          <w:rtl w:val="true"/>
        </w:rPr>
        <w:t>כ בכלל זה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על זה תלוי אם נוהג מדאו’ או מדרבנן</w:t>
      </w:r>
      <w:r>
        <w:rPr>
          <w:rtl w:val="true"/>
        </w:rPr>
        <w:t xml:space="preserve">, </w:t>
      </w:r>
      <w:r>
        <w:rPr>
          <w:rtl w:val="true"/>
        </w:rPr>
        <w:t>וגם באיזה עבודות נוהג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LineNumbering">
    <w:name w:val="Line Number"/>
    <w:rPr/>
  </w:style>
  <w:style w:type="character" w:styleId="FootnoteCharacters">
    <w:name w:val="Footnote Characters"/>
    <w:qFormat/>
    <w:rPr/>
  </w:style>
  <w:style w:type="character" w:styleId="FootnoteAnchor">
    <w:name w:val="Footnote Reference"/>
    <w:rPr>
      <w:vertAlign w:val="superscript"/>
    </w:rPr>
  </w:style>
  <w:style w:type="character" w:styleId="NumberingSymbols">
    <w:name w:val="Numbering Symbols"/>
    <w:qFormat/>
    <w:rPr/>
  </w:style>
  <w:style w:type="character" w:styleId="EndnoteAnchor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LibreOffice/7.5.3.2$Windows_X86_64 LibreOffice_project/9f56dff12ba03b9acd7730a5a481eea045e468f3</Application>
  <AppVersion>15.0000</AppVersion>
  <Pages>1</Pages>
  <Words>166</Words>
  <Characters>677</Characters>
  <CharactersWithSpaces>832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2023-06-21T21:46:54Z</dcterms:created>
  <dc:creator>ש"י הכהן חייט</dc:creator>
  <dc:description/>
  <dc:language>en-US</dc:language>
  <cp:lastModifiedBy>ש"י הכהן חייט</cp:lastModifiedBy>
  <dcterms:modified xsi:type="dcterms:W3CDTF">2023-06-21T21:56:11Z</dcterms:modified>
  <cp:revision>3</cp:revision>
  <dc:subject/>
  <dc:title/>
</cp:coreProperties>
</file>