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F06" w:rsidRDefault="00A33F06" w:rsidP="00A33F06">
      <w:pPr>
        <w:rPr>
          <w:rFonts w:cs="Arial"/>
          <w:rtl/>
        </w:rPr>
      </w:pPr>
      <w:r>
        <w:rPr>
          <w:rFonts w:cs="Arial"/>
          <w:rtl/>
        </w:rPr>
        <w:t>{א}</w:t>
      </w:r>
      <w:r w:rsidR="00CA2E04">
        <w:rPr>
          <w:rStyle w:val="FootnoteReference"/>
          <w:rFonts w:cs="Arial"/>
          <w:rtl/>
        </w:rPr>
        <w:footnoteReference w:id="1"/>
      </w:r>
      <w:r>
        <w:rPr>
          <w:rFonts w:cs="Arial"/>
          <w:rtl/>
        </w:rPr>
        <w:t xml:space="preserve"> וַיְדַבֵּר יְהֹוָה אֶל מֹשֶׁה וְאֶל אַהֲרֹן לֵאמֹר: </w:t>
      </w:r>
    </w:p>
    <w:p w:rsidR="00731AE6" w:rsidRDefault="00A33F06" w:rsidP="00A33F06">
      <w:pPr>
        <w:rPr>
          <w:rFonts w:cs="Arial"/>
          <w:rtl/>
        </w:rPr>
      </w:pPr>
      <w:r>
        <w:rPr>
          <w:rFonts w:cs="Arial"/>
          <w:rtl/>
        </w:rPr>
        <w:t>{ב}</w:t>
      </w:r>
      <w:r w:rsidR="00CA2E04">
        <w:rPr>
          <w:rStyle w:val="FootnoteReference"/>
          <w:rFonts w:cs="Arial"/>
          <w:rtl/>
        </w:rPr>
        <w:footnoteReference w:id="2"/>
      </w:r>
      <w:r>
        <w:rPr>
          <w:rFonts w:cs="Arial"/>
          <w:rtl/>
        </w:rPr>
        <w:t xml:space="preserve"> זֹאת חֻקַּת</w:t>
      </w:r>
      <w:r>
        <w:rPr>
          <w:rStyle w:val="FootnoteReference"/>
          <w:rFonts w:cs="Arial"/>
          <w:rtl/>
        </w:rPr>
        <w:footnoteReference w:id="3"/>
      </w:r>
      <w:r w:rsidR="007E2EF8">
        <w:rPr>
          <w:rStyle w:val="FootnoteReference"/>
          <w:rFonts w:cs="Arial"/>
          <w:rtl/>
        </w:rPr>
        <w:footnoteReference w:id="4"/>
      </w:r>
      <w:r>
        <w:rPr>
          <w:rFonts w:cs="Arial"/>
          <w:rtl/>
        </w:rPr>
        <w:t xml:space="preserve"> הַתּוֹרָה אֲשֶׁר צִוָּה יְהֹוָה לֵאמֹר דַּבֵּר אֶל בְּנֵי יִשְׂרָאֵל וְיִקְחוּ אֵלֶיךָ פָרָה אֲדֻמָּה תְּמִימָה אֲשֶׁר אֵין בָּהּ מוּם אֲשֶׁר לֹא עָלָה עָלֶיהָ עֹל</w:t>
      </w:r>
      <w:r w:rsidR="009407D4">
        <w:rPr>
          <w:rStyle w:val="FootnoteReference"/>
          <w:rFonts w:cs="Arial"/>
          <w:rtl/>
        </w:rPr>
        <w:footnoteReference w:id="5"/>
      </w:r>
      <w:r>
        <w:rPr>
          <w:rFonts w:cs="Arial"/>
          <w:rtl/>
        </w:rPr>
        <w:t xml:space="preserve">: </w:t>
      </w:r>
    </w:p>
    <w:p w:rsidR="00731AE6" w:rsidRDefault="00A33F06" w:rsidP="00A33F06">
      <w:pPr>
        <w:rPr>
          <w:rFonts w:cs="Arial"/>
          <w:rtl/>
        </w:rPr>
      </w:pPr>
      <w:r>
        <w:rPr>
          <w:rFonts w:cs="Arial"/>
          <w:rtl/>
        </w:rPr>
        <w:t>{ג}</w:t>
      </w:r>
      <w:r w:rsidR="00CA2E04">
        <w:rPr>
          <w:rStyle w:val="FootnoteReference"/>
          <w:rFonts w:cs="Arial"/>
          <w:rtl/>
        </w:rPr>
        <w:footnoteReference w:id="6"/>
      </w:r>
      <w:r>
        <w:rPr>
          <w:rFonts w:cs="Arial"/>
          <w:rtl/>
        </w:rPr>
        <w:t xml:space="preserve"> וּנְתַתֶּם אֹתָהּ</w:t>
      </w:r>
      <w:r w:rsidR="00BD01DE">
        <w:rPr>
          <w:rStyle w:val="FootnoteReference"/>
          <w:rFonts w:cs="Arial"/>
          <w:rtl/>
        </w:rPr>
        <w:footnoteReference w:id="7"/>
      </w:r>
      <w:r>
        <w:rPr>
          <w:rFonts w:cs="Arial"/>
          <w:rtl/>
        </w:rPr>
        <w:t xml:space="preserve"> אֶל אֶלְעָזָר הַכֹּהֵן וְהוֹצִיא אֹתָהּ</w:t>
      </w:r>
      <w:r w:rsidR="00986FB3">
        <w:rPr>
          <w:rStyle w:val="FootnoteReference"/>
          <w:rFonts w:cs="Arial"/>
          <w:rtl/>
        </w:rPr>
        <w:footnoteReference w:id="8"/>
      </w:r>
      <w:r>
        <w:rPr>
          <w:rFonts w:cs="Arial"/>
          <w:rtl/>
        </w:rPr>
        <w:t xml:space="preserve"> אֶל מִחוּץ לַמַּחֲנֶה וְשָׁחַט אֹתָהּ</w:t>
      </w:r>
      <w:r w:rsidR="00DC258C">
        <w:rPr>
          <w:rStyle w:val="FootnoteReference"/>
          <w:rFonts w:cs="Arial"/>
          <w:rtl/>
        </w:rPr>
        <w:footnoteReference w:id="9"/>
      </w:r>
      <w:r>
        <w:rPr>
          <w:rFonts w:cs="Arial"/>
          <w:rtl/>
        </w:rPr>
        <w:t xml:space="preserve"> לְפָנָיו</w:t>
      </w:r>
      <w:r w:rsidR="00386C32">
        <w:rPr>
          <w:rStyle w:val="FootnoteReference"/>
          <w:rFonts w:cs="Arial"/>
          <w:rtl/>
        </w:rPr>
        <w:footnoteReference w:id="10"/>
      </w:r>
      <w:r w:rsidR="004B4350">
        <w:rPr>
          <w:rStyle w:val="FootnoteReference"/>
          <w:rFonts w:cs="Arial"/>
          <w:rtl/>
        </w:rPr>
        <w:footnoteReference w:id="11"/>
      </w:r>
      <w:r>
        <w:rPr>
          <w:rFonts w:cs="Arial"/>
          <w:rtl/>
        </w:rPr>
        <w:t xml:space="preserve">: </w:t>
      </w:r>
    </w:p>
    <w:p w:rsidR="00731AE6" w:rsidRDefault="00A33F06" w:rsidP="00A33F06">
      <w:pPr>
        <w:rPr>
          <w:rFonts w:cs="Arial"/>
          <w:rtl/>
        </w:rPr>
      </w:pPr>
      <w:r>
        <w:rPr>
          <w:rFonts w:cs="Arial"/>
          <w:rtl/>
        </w:rPr>
        <w:t>{ד}</w:t>
      </w:r>
      <w:r w:rsidR="00CA2E04">
        <w:rPr>
          <w:rStyle w:val="FootnoteReference"/>
          <w:rFonts w:cs="Arial"/>
          <w:rtl/>
        </w:rPr>
        <w:footnoteReference w:id="12"/>
      </w:r>
      <w:r>
        <w:rPr>
          <w:rFonts w:cs="Arial"/>
          <w:rtl/>
        </w:rPr>
        <w:t xml:space="preserve"> וְלָקַח אֶל</w:t>
      </w:r>
      <w:bookmarkStart w:id="0" w:name="_GoBack"/>
      <w:bookmarkEnd w:id="0"/>
      <w:r>
        <w:rPr>
          <w:rFonts w:cs="Arial"/>
          <w:rtl/>
        </w:rPr>
        <w:t>ְעָזָר</w:t>
      </w:r>
      <w:r w:rsidR="00BF5C27">
        <w:rPr>
          <w:rStyle w:val="FootnoteReference"/>
          <w:rFonts w:cs="Arial"/>
          <w:rtl/>
        </w:rPr>
        <w:footnoteReference w:id="13"/>
      </w:r>
      <w:r>
        <w:rPr>
          <w:rFonts w:cs="Arial"/>
          <w:rtl/>
        </w:rPr>
        <w:t xml:space="preserve"> הַכֹּהֵן מִדָּמָהּ בְּאֶצְבָּעוֹ וְהִזָּה אֶל נֹכַח פְּנֵי אֹהֶל מוֹעֵד מִדָּמָהּ שֶׁבַע פְּעָמִים: </w:t>
      </w:r>
    </w:p>
    <w:p w:rsidR="00731AE6" w:rsidRDefault="00A33F06" w:rsidP="00A33F06">
      <w:pPr>
        <w:rPr>
          <w:rFonts w:cs="Arial"/>
          <w:rtl/>
        </w:rPr>
      </w:pPr>
      <w:r>
        <w:rPr>
          <w:rFonts w:cs="Arial"/>
          <w:rtl/>
        </w:rPr>
        <w:t>{ה}</w:t>
      </w:r>
      <w:r w:rsidR="006E32A1">
        <w:rPr>
          <w:rStyle w:val="FootnoteReference"/>
          <w:rFonts w:cs="Arial"/>
          <w:rtl/>
        </w:rPr>
        <w:footnoteReference w:id="14"/>
      </w:r>
      <w:r>
        <w:rPr>
          <w:rFonts w:cs="Arial"/>
          <w:rtl/>
        </w:rPr>
        <w:t xml:space="preserve"> וְשָׂרַף אֶת הַפָּרָה</w:t>
      </w:r>
      <w:r w:rsidR="00CA2E04">
        <w:rPr>
          <w:rStyle w:val="FootnoteReference"/>
          <w:rFonts w:cs="Arial"/>
          <w:rtl/>
        </w:rPr>
        <w:footnoteReference w:id="15"/>
      </w:r>
      <w:r>
        <w:rPr>
          <w:rFonts w:cs="Arial"/>
          <w:rtl/>
        </w:rPr>
        <w:t xml:space="preserve"> לְעֵינָיו אֶת עֹרָהּ וְאֶת בְּשָׂרָהּ וְאֶת דָּמָהּ עַל פִּרְשָׁהּ יִשְׂרֹף: </w:t>
      </w:r>
    </w:p>
    <w:p w:rsidR="00731AE6" w:rsidRDefault="00A33F06" w:rsidP="00A33F06">
      <w:pPr>
        <w:rPr>
          <w:rFonts w:cs="Arial"/>
          <w:rtl/>
        </w:rPr>
      </w:pPr>
      <w:r>
        <w:rPr>
          <w:rFonts w:cs="Arial"/>
          <w:rtl/>
        </w:rPr>
        <w:lastRenderedPageBreak/>
        <w:t>{ו}</w:t>
      </w:r>
      <w:r w:rsidR="006E32A1">
        <w:rPr>
          <w:rStyle w:val="FootnoteReference"/>
          <w:rFonts w:cs="Arial"/>
          <w:rtl/>
        </w:rPr>
        <w:footnoteReference w:id="16"/>
      </w:r>
      <w:r>
        <w:rPr>
          <w:rFonts w:cs="Arial"/>
          <w:rtl/>
        </w:rPr>
        <w:t xml:space="preserve"> וְלָקַח הַכֹּהֵן</w:t>
      </w:r>
      <w:r w:rsidR="000E2A4E">
        <w:rPr>
          <w:rStyle w:val="FootnoteReference"/>
          <w:rFonts w:cs="Arial"/>
          <w:rtl/>
        </w:rPr>
        <w:footnoteReference w:id="17"/>
      </w:r>
      <w:r>
        <w:rPr>
          <w:rFonts w:cs="Arial"/>
          <w:rtl/>
        </w:rPr>
        <w:t xml:space="preserve"> עֵץ אֶרֶז וְאֵזוֹב וּשְׁנִי תוֹלָעַת</w:t>
      </w:r>
      <w:r w:rsidR="006E32A1">
        <w:rPr>
          <w:rStyle w:val="FootnoteReference"/>
          <w:rFonts w:cs="Arial"/>
          <w:rtl/>
        </w:rPr>
        <w:footnoteReference w:id="18"/>
      </w:r>
      <w:r w:rsidR="00E54E79">
        <w:rPr>
          <w:rStyle w:val="FootnoteReference"/>
          <w:rFonts w:cs="Arial"/>
          <w:rtl/>
        </w:rPr>
        <w:footnoteReference w:id="19"/>
      </w:r>
      <w:r>
        <w:rPr>
          <w:rFonts w:cs="Arial"/>
          <w:rtl/>
        </w:rPr>
        <w:t xml:space="preserve"> וְהִשְׁלִיךְ אֶל תּוֹךְ שְׂרֵפַת הַפָּרָה: </w:t>
      </w:r>
    </w:p>
    <w:p w:rsidR="00016C53" w:rsidRDefault="00A33F06" w:rsidP="00A33F06">
      <w:pPr>
        <w:rPr>
          <w:rFonts w:cs="Arial"/>
          <w:rtl/>
        </w:rPr>
      </w:pPr>
      <w:r>
        <w:rPr>
          <w:rFonts w:cs="Arial"/>
          <w:rtl/>
        </w:rPr>
        <w:t>{ז}</w:t>
      </w:r>
      <w:r w:rsidR="00EE24A9">
        <w:rPr>
          <w:rStyle w:val="FootnoteReference"/>
          <w:rFonts w:cs="Arial"/>
          <w:rtl/>
        </w:rPr>
        <w:footnoteReference w:id="20"/>
      </w:r>
      <w:r>
        <w:rPr>
          <w:rFonts w:cs="Arial"/>
          <w:rtl/>
        </w:rPr>
        <w:t xml:space="preserve"> וְכִבֶּס בְּגָדָיו הַכֹּהֵן</w:t>
      </w:r>
      <w:r w:rsidR="00C24764">
        <w:rPr>
          <w:rStyle w:val="FootnoteReference"/>
          <w:rFonts w:cs="Arial"/>
          <w:rtl/>
        </w:rPr>
        <w:footnoteReference w:id="21"/>
      </w:r>
      <w:r>
        <w:rPr>
          <w:rFonts w:cs="Arial"/>
          <w:rtl/>
        </w:rPr>
        <w:t xml:space="preserve"> וְרָחַץ בְּשָׂרוֹ בַּמַּיִם וְאַחַר יָבֹא אֶל הַמַּחֲנֶה וְטָמֵא הַכֹּהֵן</w:t>
      </w:r>
      <w:r w:rsidR="007D573C">
        <w:rPr>
          <w:rStyle w:val="FootnoteReference"/>
          <w:rFonts w:cs="Arial"/>
          <w:rtl/>
        </w:rPr>
        <w:footnoteReference w:id="22"/>
      </w:r>
      <w:r>
        <w:rPr>
          <w:rFonts w:cs="Arial"/>
          <w:rtl/>
        </w:rPr>
        <w:t xml:space="preserve"> עַד הָעָרֶב</w:t>
      </w:r>
      <w:r w:rsidR="00D71792">
        <w:rPr>
          <w:rStyle w:val="FootnoteReference"/>
          <w:rFonts w:cs="Arial"/>
          <w:rtl/>
        </w:rPr>
        <w:footnoteReference w:id="23"/>
      </w:r>
      <w:r>
        <w:rPr>
          <w:rFonts w:cs="Arial"/>
          <w:rtl/>
        </w:rPr>
        <w:t xml:space="preserve">: </w:t>
      </w:r>
    </w:p>
    <w:p w:rsidR="00016C53" w:rsidRDefault="00A33F06" w:rsidP="00A33F06">
      <w:pPr>
        <w:rPr>
          <w:rFonts w:cs="Arial"/>
          <w:rtl/>
        </w:rPr>
      </w:pPr>
      <w:r>
        <w:rPr>
          <w:rFonts w:cs="Arial"/>
          <w:rtl/>
        </w:rPr>
        <w:t>{ח}</w:t>
      </w:r>
      <w:r w:rsidR="00EE24A9">
        <w:rPr>
          <w:rStyle w:val="FootnoteReference"/>
          <w:rFonts w:cs="Arial"/>
          <w:rtl/>
        </w:rPr>
        <w:footnoteReference w:id="24"/>
      </w:r>
      <w:r>
        <w:rPr>
          <w:rFonts w:cs="Arial"/>
          <w:rtl/>
        </w:rPr>
        <w:t xml:space="preserve"> וְהַשֹּׂרֵף אֹתָהּ יְכַבֵּס בְּגָדָיו בַּמַּיִם וְרָחַץ בְּשָׂרוֹ בַּמָּיִם וְטָמֵא עַד הָעָרֶב: </w:t>
      </w:r>
    </w:p>
    <w:p w:rsidR="00016C53" w:rsidRDefault="00A33F06" w:rsidP="00A33F06">
      <w:pPr>
        <w:rPr>
          <w:rFonts w:cs="Arial"/>
          <w:rtl/>
        </w:rPr>
      </w:pPr>
      <w:r>
        <w:rPr>
          <w:rFonts w:cs="Arial"/>
          <w:rtl/>
        </w:rPr>
        <w:t>{ט}</w:t>
      </w:r>
      <w:r w:rsidR="00EE24A9">
        <w:rPr>
          <w:rStyle w:val="FootnoteReference"/>
          <w:rFonts w:cs="Arial"/>
          <w:rtl/>
        </w:rPr>
        <w:footnoteReference w:id="25"/>
      </w:r>
      <w:r>
        <w:rPr>
          <w:rFonts w:cs="Arial"/>
          <w:rtl/>
        </w:rPr>
        <w:t xml:space="preserve"> וְאָסַף אִיש</w:t>
      </w:r>
      <w:r w:rsidR="0014607E">
        <w:rPr>
          <w:rStyle w:val="FootnoteReference"/>
          <w:rFonts w:cs="Arial"/>
          <w:rtl/>
        </w:rPr>
        <w:footnoteReference w:id="26"/>
      </w:r>
      <w:r w:rsidR="0014607E">
        <w:rPr>
          <w:rFonts w:cs="Arial" w:hint="cs"/>
          <w:rtl/>
        </w:rPr>
        <w:t xml:space="preserve"> </w:t>
      </w:r>
      <w:r>
        <w:rPr>
          <w:rFonts w:cs="Arial"/>
          <w:rtl/>
        </w:rPr>
        <w:t>טָהוֹר</w:t>
      </w:r>
      <w:r w:rsidR="0014607E">
        <w:rPr>
          <w:rStyle w:val="FootnoteReference"/>
          <w:rFonts w:cs="Arial"/>
          <w:rtl/>
        </w:rPr>
        <w:footnoteReference w:id="27"/>
      </w:r>
      <w:r>
        <w:rPr>
          <w:rFonts w:cs="Arial"/>
          <w:rtl/>
        </w:rPr>
        <w:t xml:space="preserve"> אֵת אֵפֶר הַפָּרָה וְהִנִּיחַ</w:t>
      </w:r>
      <w:r w:rsidR="00705AC7">
        <w:rPr>
          <w:rStyle w:val="FootnoteReference"/>
          <w:rFonts w:cs="Arial"/>
          <w:rtl/>
        </w:rPr>
        <w:footnoteReference w:id="28"/>
      </w:r>
      <w:r>
        <w:rPr>
          <w:rFonts w:cs="Arial"/>
          <w:rtl/>
        </w:rPr>
        <w:t xml:space="preserve"> מִחוּץ לַמַּחֲנֶה בְּמָקוֹם טָהוֹר וְהָיְתָה לַעֲדַת בְּנֵי יִשְׂרָאֵל לְמִשְׁמֶרֶת</w:t>
      </w:r>
      <w:r w:rsidR="0014607E">
        <w:rPr>
          <w:rStyle w:val="FootnoteReference"/>
          <w:rFonts w:cs="Arial"/>
          <w:rtl/>
        </w:rPr>
        <w:footnoteReference w:id="29"/>
      </w:r>
      <w:r>
        <w:rPr>
          <w:rFonts w:cs="Arial"/>
          <w:rtl/>
        </w:rPr>
        <w:t xml:space="preserve"> לְמֵי נִדָּה חַטָּאת</w:t>
      </w:r>
      <w:r w:rsidR="00EE24A9">
        <w:rPr>
          <w:rStyle w:val="FootnoteReference"/>
          <w:rFonts w:cs="Arial"/>
          <w:rtl/>
        </w:rPr>
        <w:footnoteReference w:id="30"/>
      </w:r>
      <w:r>
        <w:rPr>
          <w:rFonts w:cs="Arial"/>
          <w:rtl/>
        </w:rPr>
        <w:t xml:space="preserve"> הִוא: </w:t>
      </w:r>
    </w:p>
    <w:p w:rsidR="00016C53" w:rsidRDefault="00A33F06" w:rsidP="00A33F06">
      <w:pPr>
        <w:rPr>
          <w:rFonts w:cs="Arial"/>
          <w:rtl/>
        </w:rPr>
      </w:pPr>
      <w:r>
        <w:rPr>
          <w:rFonts w:cs="Arial"/>
          <w:rtl/>
        </w:rPr>
        <w:t>{י}</w:t>
      </w:r>
      <w:r w:rsidR="00EE24A9">
        <w:rPr>
          <w:rStyle w:val="FootnoteReference"/>
          <w:rFonts w:cs="Arial"/>
          <w:rtl/>
        </w:rPr>
        <w:footnoteReference w:id="31"/>
      </w:r>
      <w:r>
        <w:rPr>
          <w:rFonts w:cs="Arial"/>
          <w:rtl/>
        </w:rPr>
        <w:t xml:space="preserve"> וְכִבֶּס הָאֹסֵף אֶת אֵפֶר הַפָּרָה אֶת בְּגָדָיו וְטָמֵא עַד הָעָרֶב וְהָיְתָה לִבְנֵי יִשְׂרָאֵל וְלַגֵּר הַגָּר בְּתוֹכָם לְחֻקַּת עוֹלָם: </w:t>
      </w:r>
    </w:p>
    <w:p w:rsidR="00016C53" w:rsidRDefault="00A33F06" w:rsidP="00A33F06">
      <w:pPr>
        <w:rPr>
          <w:rFonts w:cs="Arial"/>
          <w:rtl/>
        </w:rPr>
      </w:pPr>
      <w:r>
        <w:rPr>
          <w:rFonts w:cs="Arial"/>
          <w:rtl/>
        </w:rPr>
        <w:t>{יא}</w:t>
      </w:r>
      <w:r w:rsidR="00EE24A9">
        <w:rPr>
          <w:rStyle w:val="FootnoteReference"/>
          <w:rFonts w:cs="Arial"/>
          <w:rtl/>
        </w:rPr>
        <w:footnoteReference w:id="32"/>
      </w:r>
      <w:r>
        <w:rPr>
          <w:rFonts w:cs="Arial"/>
          <w:rtl/>
        </w:rPr>
        <w:t xml:space="preserve"> הַנֹּגֵעַ</w:t>
      </w:r>
      <w:r w:rsidR="00F923A1">
        <w:rPr>
          <w:rStyle w:val="FootnoteReference"/>
          <w:rFonts w:cs="Arial"/>
          <w:rtl/>
        </w:rPr>
        <w:footnoteReference w:id="33"/>
      </w:r>
      <w:r>
        <w:rPr>
          <w:rFonts w:cs="Arial"/>
          <w:rtl/>
        </w:rPr>
        <w:t xml:space="preserve"> בְּמֵת לְכָל נֶפֶשׁ אָדָם וְטָמֵא שִׁבְעַת יָמִים: </w:t>
      </w:r>
    </w:p>
    <w:p w:rsidR="00016C53" w:rsidRDefault="00A33F06" w:rsidP="00A33F06">
      <w:pPr>
        <w:rPr>
          <w:rFonts w:cs="Arial"/>
          <w:rtl/>
        </w:rPr>
      </w:pPr>
      <w:r>
        <w:rPr>
          <w:rFonts w:cs="Arial"/>
          <w:rtl/>
        </w:rPr>
        <w:t>{יב}</w:t>
      </w:r>
      <w:r w:rsidR="00EE24A9">
        <w:rPr>
          <w:rStyle w:val="FootnoteReference"/>
          <w:rFonts w:cs="Arial"/>
          <w:rtl/>
        </w:rPr>
        <w:footnoteReference w:id="34"/>
      </w:r>
      <w:r>
        <w:rPr>
          <w:rFonts w:cs="Arial"/>
          <w:rtl/>
        </w:rPr>
        <w:t xml:space="preserve"> הוּא יִתְחַטָּא בוֹ בַּיּוֹם הַשְּׁלִישִׁי</w:t>
      </w:r>
      <w:r w:rsidR="0052276F">
        <w:rPr>
          <w:rStyle w:val="FootnoteReference"/>
          <w:rFonts w:cs="Arial"/>
          <w:rtl/>
        </w:rPr>
        <w:footnoteReference w:id="35"/>
      </w:r>
      <w:r>
        <w:rPr>
          <w:rFonts w:cs="Arial"/>
          <w:rtl/>
        </w:rPr>
        <w:t xml:space="preserve"> וּבַיּוֹם הַשְּׁבִיעִי</w:t>
      </w:r>
      <w:r w:rsidR="007F2423">
        <w:rPr>
          <w:rStyle w:val="FootnoteReference"/>
          <w:rFonts w:cs="Arial"/>
          <w:rtl/>
        </w:rPr>
        <w:footnoteReference w:id="36"/>
      </w:r>
      <w:r>
        <w:rPr>
          <w:rFonts w:cs="Arial"/>
          <w:rtl/>
        </w:rPr>
        <w:t xml:space="preserve"> יִטְהָר וְאִם לֹא יִתְחַטָּא בַּיּוֹם הַשְּׁלִישִׁי וּבַיּוֹם הַשְּׁבִיעִי לֹא יִטְהָר: </w:t>
      </w:r>
    </w:p>
    <w:p w:rsidR="00016C53" w:rsidRDefault="00A33F06" w:rsidP="00A33F06">
      <w:pPr>
        <w:rPr>
          <w:rFonts w:cs="Arial"/>
          <w:rtl/>
        </w:rPr>
      </w:pPr>
      <w:r>
        <w:rPr>
          <w:rFonts w:cs="Arial"/>
          <w:rtl/>
        </w:rPr>
        <w:lastRenderedPageBreak/>
        <w:t>{יג}</w:t>
      </w:r>
      <w:r w:rsidR="00EE24A9">
        <w:rPr>
          <w:rStyle w:val="FootnoteReference"/>
          <w:rFonts w:cs="Arial"/>
          <w:rtl/>
        </w:rPr>
        <w:footnoteReference w:id="37"/>
      </w:r>
      <w:r>
        <w:rPr>
          <w:rFonts w:cs="Arial"/>
          <w:rtl/>
        </w:rPr>
        <w:t xml:space="preserve"> כָּל הַנֹּגֵעַ בְּמֵת בְּנֶפֶשׁ הָאָדָם אֲשֶׁר יָמוּת וְלֹא יִתְחַטָּא אֶת מִשְׁכַּן יְהֹוָה טִמֵּא וְנִכְרְתָה הַנֶּפֶשׁ הַהִוא מִיִּשְׂרָאֵל כִּי מֵי נִדָּה לֹא זֹרַק עָלָיו טָמֵא יִהְיֶה עוֹד טֻמְאָתוֹ בוֹ: </w:t>
      </w:r>
    </w:p>
    <w:p w:rsidR="00016C53" w:rsidRDefault="00A33F06" w:rsidP="00A33F06">
      <w:pPr>
        <w:rPr>
          <w:rFonts w:cs="Arial"/>
          <w:rtl/>
        </w:rPr>
      </w:pPr>
      <w:r>
        <w:rPr>
          <w:rFonts w:cs="Arial"/>
          <w:rtl/>
        </w:rPr>
        <w:t>{יד}</w:t>
      </w:r>
      <w:r w:rsidR="00EE24A9">
        <w:rPr>
          <w:rStyle w:val="FootnoteReference"/>
          <w:rFonts w:cs="Arial"/>
          <w:rtl/>
        </w:rPr>
        <w:footnoteReference w:id="38"/>
      </w:r>
      <w:r>
        <w:rPr>
          <w:rFonts w:cs="Arial"/>
          <w:rtl/>
        </w:rPr>
        <w:t xml:space="preserve"> זֹאת הַתּוֹרָה אָדָם כִּי יָמוּת בְּאֹהֶל כָּל הַבָּא אֶל הָאֹהֶל וְכָל אֲשֶׁר בָּאֹהֶל יִטְמָא שִׁבְעַת יָמִים: </w:t>
      </w:r>
    </w:p>
    <w:p w:rsidR="00016C53" w:rsidRDefault="00A33F06" w:rsidP="00A33F06">
      <w:pPr>
        <w:rPr>
          <w:rFonts w:cs="Arial"/>
          <w:rtl/>
        </w:rPr>
      </w:pPr>
      <w:r>
        <w:rPr>
          <w:rFonts w:cs="Arial"/>
          <w:rtl/>
        </w:rPr>
        <w:t>{טו}</w:t>
      </w:r>
      <w:r w:rsidR="00EE24A9">
        <w:rPr>
          <w:rStyle w:val="FootnoteReference"/>
          <w:rFonts w:cs="Arial"/>
          <w:rtl/>
        </w:rPr>
        <w:footnoteReference w:id="39"/>
      </w:r>
      <w:r>
        <w:rPr>
          <w:rFonts w:cs="Arial"/>
          <w:rtl/>
        </w:rPr>
        <w:t xml:space="preserve"> וְכֹל כְּלִי פָתוּחַ אֲשֶׁר אֵין צָמִיד פָּתִיל עָלָיו טָמֵא הוּא: </w:t>
      </w:r>
    </w:p>
    <w:p w:rsidR="00016C53" w:rsidRDefault="00A33F06" w:rsidP="00EC34D2">
      <w:pPr>
        <w:rPr>
          <w:rFonts w:cs="Arial"/>
          <w:rtl/>
        </w:rPr>
      </w:pPr>
      <w:r>
        <w:rPr>
          <w:rFonts w:cs="Arial"/>
          <w:rtl/>
        </w:rPr>
        <w:t>{טז}</w:t>
      </w:r>
      <w:r w:rsidR="00EE24A9">
        <w:rPr>
          <w:rStyle w:val="FootnoteReference"/>
          <w:rFonts w:cs="Arial"/>
          <w:rtl/>
        </w:rPr>
        <w:footnoteReference w:id="40"/>
      </w:r>
      <w:r>
        <w:rPr>
          <w:rFonts w:cs="Arial"/>
          <w:rtl/>
        </w:rPr>
        <w:t xml:space="preserve"> וְכֹל אֲשֶׁר יִגַּע עַל פְּנֵי הַשָּׂדֶה בַּחֲלַל חֶרֶב</w:t>
      </w:r>
      <w:r w:rsidR="00CB6AFA">
        <w:rPr>
          <w:rStyle w:val="FootnoteReference"/>
          <w:rFonts w:cs="Arial"/>
          <w:rtl/>
        </w:rPr>
        <w:footnoteReference w:id="41"/>
      </w:r>
      <w:r>
        <w:rPr>
          <w:rFonts w:cs="Arial"/>
          <w:rtl/>
        </w:rPr>
        <w:t xml:space="preserve"> אוֹ בְמֵת אוֹ בְעֶצֶם אָדָם אוֹ בְקָבֶר</w:t>
      </w:r>
      <w:r w:rsidR="00A00726">
        <w:rPr>
          <w:rStyle w:val="FootnoteReference"/>
          <w:rFonts w:cs="Arial"/>
          <w:rtl/>
        </w:rPr>
        <w:footnoteReference w:id="42"/>
      </w:r>
      <w:r>
        <w:rPr>
          <w:rFonts w:cs="Arial"/>
          <w:rtl/>
        </w:rPr>
        <w:t xml:space="preserve"> יִטְמָא שִׁבְעַת יָמִים: </w:t>
      </w:r>
    </w:p>
    <w:p w:rsidR="00016C53" w:rsidRDefault="00A33F06" w:rsidP="00A33F06">
      <w:pPr>
        <w:rPr>
          <w:rFonts w:cs="Arial"/>
          <w:rtl/>
        </w:rPr>
      </w:pPr>
      <w:r>
        <w:rPr>
          <w:rFonts w:cs="Arial"/>
          <w:rtl/>
        </w:rPr>
        <w:t>{יז}</w:t>
      </w:r>
      <w:r w:rsidR="00EE24A9">
        <w:rPr>
          <w:rStyle w:val="FootnoteReference"/>
          <w:rFonts w:cs="Arial"/>
          <w:rtl/>
        </w:rPr>
        <w:footnoteReference w:id="43"/>
      </w:r>
      <w:r>
        <w:rPr>
          <w:rFonts w:cs="Arial"/>
          <w:rtl/>
        </w:rPr>
        <w:t xml:space="preserve"> וְלָקְחוּ</w:t>
      </w:r>
      <w:r w:rsidR="005505C1">
        <w:rPr>
          <w:rStyle w:val="FootnoteReference"/>
          <w:rFonts w:cs="Arial"/>
          <w:rtl/>
        </w:rPr>
        <w:footnoteReference w:id="44"/>
      </w:r>
      <w:r>
        <w:rPr>
          <w:rFonts w:cs="Arial"/>
          <w:rtl/>
        </w:rPr>
        <w:t xml:space="preserve"> לַטָּמֵא מֵעֲפַר שְׂרֵפַת הַחַטָּאת וְנָתַן</w:t>
      </w:r>
      <w:r w:rsidR="00430E72">
        <w:rPr>
          <w:rStyle w:val="FootnoteReference"/>
          <w:rFonts w:cs="Arial"/>
          <w:rtl/>
        </w:rPr>
        <w:footnoteReference w:id="45"/>
      </w:r>
      <w:r>
        <w:rPr>
          <w:rFonts w:cs="Arial"/>
          <w:rtl/>
        </w:rPr>
        <w:t xml:space="preserve"> עָלָיו מַיִם חַיִּים אֶל כֶּלִי: </w:t>
      </w:r>
    </w:p>
    <w:p w:rsidR="00016C53" w:rsidRDefault="00767BE8" w:rsidP="00016C53">
      <w:pPr>
        <w:rPr>
          <w:rFonts w:cs="Arial"/>
          <w:rtl/>
        </w:rPr>
      </w:pPr>
      <w:r>
        <w:rPr>
          <w:rFonts w:cs="Arial"/>
          <w:rtl/>
        </w:rPr>
        <w:t>{יח}</w:t>
      </w:r>
      <w:r w:rsidR="00EE24A9">
        <w:rPr>
          <w:rStyle w:val="FootnoteReference"/>
          <w:rFonts w:cs="Arial"/>
          <w:rtl/>
        </w:rPr>
        <w:footnoteReference w:id="46"/>
      </w:r>
      <w:r>
        <w:rPr>
          <w:rFonts w:cs="Arial"/>
          <w:rtl/>
        </w:rPr>
        <w:t xml:space="preserve">  </w:t>
      </w:r>
      <w:r w:rsidR="00A33F06">
        <w:rPr>
          <w:rFonts w:cs="Arial"/>
          <w:rtl/>
        </w:rPr>
        <w:t>וְלָקַח אֵזוֹב וְטָבַל בַּמַּיִם אִישׁ</w:t>
      </w:r>
      <w:r w:rsidR="0041392E">
        <w:rPr>
          <w:rStyle w:val="FootnoteReference"/>
          <w:rFonts w:cs="Arial"/>
          <w:rtl/>
        </w:rPr>
        <w:footnoteReference w:id="47"/>
      </w:r>
      <w:r w:rsidR="00A33F06">
        <w:rPr>
          <w:rFonts w:cs="Arial"/>
          <w:rtl/>
        </w:rPr>
        <w:t xml:space="preserve"> טָהוֹר</w:t>
      </w:r>
      <w:r w:rsidR="0041392E">
        <w:rPr>
          <w:rStyle w:val="FootnoteReference"/>
          <w:rFonts w:cs="Arial"/>
          <w:rtl/>
        </w:rPr>
        <w:footnoteReference w:id="48"/>
      </w:r>
      <w:r w:rsidR="00A33F06">
        <w:rPr>
          <w:rFonts w:cs="Arial"/>
          <w:rtl/>
        </w:rPr>
        <w:t xml:space="preserve"> וְהִזָּה עַל הָאֹהֶל וְעַל כָּל הַכֵּלִים וְעַל הַנְּפָשׁוֹת אֲשֶׁר הָיוּ שָׁם וְעַל הַנֹּגֵעַ בַּעֶצֶם אוֹ בֶחָלָל אוֹ בַמֵּת אוֹ בַקָּבֶר: </w:t>
      </w:r>
    </w:p>
    <w:p w:rsidR="00016C53" w:rsidRDefault="00A33F06" w:rsidP="00016C53">
      <w:pPr>
        <w:rPr>
          <w:rFonts w:cs="Arial"/>
          <w:rtl/>
        </w:rPr>
      </w:pPr>
      <w:r>
        <w:rPr>
          <w:rFonts w:cs="Arial"/>
          <w:rtl/>
        </w:rPr>
        <w:t>{יט}</w:t>
      </w:r>
      <w:r w:rsidR="00EE24A9">
        <w:rPr>
          <w:rStyle w:val="FootnoteReference"/>
          <w:rFonts w:cs="Arial"/>
          <w:rtl/>
        </w:rPr>
        <w:footnoteReference w:id="49"/>
      </w:r>
      <w:r>
        <w:rPr>
          <w:rFonts w:cs="Arial"/>
          <w:rtl/>
        </w:rPr>
        <w:t xml:space="preserve"> וְהִזָּה הַטָּהֹר</w:t>
      </w:r>
      <w:r w:rsidR="003F5721">
        <w:rPr>
          <w:rStyle w:val="FootnoteReference"/>
          <w:rFonts w:cs="Arial"/>
          <w:rtl/>
        </w:rPr>
        <w:footnoteReference w:id="50"/>
      </w:r>
      <w:r>
        <w:rPr>
          <w:rFonts w:cs="Arial"/>
          <w:rtl/>
        </w:rPr>
        <w:t xml:space="preserve"> עַל הַטָּמֵא בַּיּוֹם הַשְּׁלִישִׁי וּבַיּוֹם הַשְּׁבִיעִי וְחִטְּאוֹ בַּיּוֹם הַשְּׁבִיעִי וְכִבֶּס בְּגָדָיו וְרָחַץ בַּמַּיִם וְטָהֵר בָּעָרֶב: </w:t>
      </w:r>
    </w:p>
    <w:p w:rsidR="00016C53" w:rsidRDefault="00A33F06" w:rsidP="00A33F06">
      <w:pPr>
        <w:rPr>
          <w:rFonts w:cs="Arial"/>
          <w:rtl/>
        </w:rPr>
      </w:pPr>
      <w:r>
        <w:rPr>
          <w:rFonts w:cs="Arial"/>
          <w:rtl/>
        </w:rPr>
        <w:t>{כ}</w:t>
      </w:r>
      <w:r w:rsidR="00EE24A9">
        <w:rPr>
          <w:rStyle w:val="FootnoteReference"/>
          <w:rFonts w:cs="Arial"/>
          <w:rtl/>
        </w:rPr>
        <w:footnoteReference w:id="51"/>
      </w:r>
      <w:r>
        <w:rPr>
          <w:rFonts w:cs="Arial"/>
          <w:rtl/>
        </w:rPr>
        <w:t xml:space="preserve"> וְאִישׁ אֲשֶׁר יִטְמָא וְלֹא יִתְחַטָּא וְנִכְרְתָה הַנֶּפֶשׁ הַהִוא מִתּוֹךְ הַקָּהָל כִּי אֶת מִקְדַּשׁ יְהֹוָה טִמֵּא מֵי נִדָּה לֹא זֹרַק עָלָיו טָמֵא הוּא: </w:t>
      </w:r>
    </w:p>
    <w:p w:rsidR="00016C53" w:rsidRDefault="00A33F06" w:rsidP="00A33F06">
      <w:pPr>
        <w:rPr>
          <w:rFonts w:cs="Arial"/>
          <w:rtl/>
        </w:rPr>
      </w:pPr>
      <w:r>
        <w:rPr>
          <w:rFonts w:cs="Arial"/>
          <w:rtl/>
        </w:rPr>
        <w:t>{כא}</w:t>
      </w:r>
      <w:r w:rsidR="00EE24A9">
        <w:rPr>
          <w:rStyle w:val="FootnoteReference"/>
          <w:rFonts w:cs="Arial"/>
          <w:rtl/>
        </w:rPr>
        <w:footnoteReference w:id="52"/>
      </w:r>
      <w:r>
        <w:rPr>
          <w:rFonts w:cs="Arial"/>
          <w:rtl/>
        </w:rPr>
        <w:t xml:space="preserve"> וְהָיְתָה לָהֶם לְחֻקַּת עוֹלָם וּמַזֵּה</w:t>
      </w:r>
      <w:r w:rsidR="00877EE4">
        <w:rPr>
          <w:rStyle w:val="FootnoteReference"/>
          <w:rFonts w:cs="Arial"/>
          <w:rtl/>
        </w:rPr>
        <w:footnoteReference w:id="53"/>
      </w:r>
      <w:r>
        <w:rPr>
          <w:rFonts w:cs="Arial"/>
          <w:rtl/>
        </w:rPr>
        <w:t xml:space="preserve"> מֵי הַנִּדָּה יְכַבֵּס בְּגָדָיו וְהַנֹּגֵעַ בְּמֵי הַנִּדָּה יִטְמָא עַד הָעָרֶב: </w:t>
      </w:r>
    </w:p>
    <w:p w:rsidR="00A33F06" w:rsidRDefault="00A33F06" w:rsidP="00A33F06">
      <w:pPr>
        <w:rPr>
          <w:rtl/>
        </w:rPr>
      </w:pPr>
      <w:r>
        <w:rPr>
          <w:rFonts w:cs="Arial"/>
          <w:rtl/>
        </w:rPr>
        <w:t>{כב}</w:t>
      </w:r>
      <w:r w:rsidR="00EE24A9">
        <w:rPr>
          <w:rStyle w:val="FootnoteReference"/>
          <w:rFonts w:cs="Arial"/>
          <w:rtl/>
        </w:rPr>
        <w:footnoteReference w:id="54"/>
      </w:r>
      <w:r>
        <w:rPr>
          <w:rFonts w:cs="Arial"/>
          <w:rtl/>
        </w:rPr>
        <w:t xml:space="preserve"> וְכֹל אֲשֶׁר יִגַּע בּוֹ הַטָּמֵא יִטְמָא וְהַנֶּפֶשׁ הַנּ</w:t>
      </w:r>
      <w:r w:rsidR="00016C53">
        <w:rPr>
          <w:rFonts w:cs="Arial"/>
          <w:rtl/>
        </w:rPr>
        <w:t>ֹגַעַת תִּטְמָא עַד הָעָרֶב:</w:t>
      </w:r>
    </w:p>
    <w:p w:rsidR="00A33F06" w:rsidRDefault="00A33F06" w:rsidP="00A33F06">
      <w:pPr>
        <w:rPr>
          <w:rtl/>
        </w:rPr>
      </w:pPr>
    </w:p>
    <w:p w:rsidR="00DC77D7" w:rsidRDefault="00A33F06" w:rsidP="00877EE4">
      <w:r>
        <w:rPr>
          <w:rFonts w:cs="Arial"/>
          <w:rtl/>
        </w:rPr>
        <w:t xml:space="preserve">   </w:t>
      </w:r>
    </w:p>
    <w:sectPr w:rsidR="00DC77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7E92" w:rsidRDefault="00F87E92" w:rsidP="00A33F06">
      <w:pPr>
        <w:spacing w:after="0" w:line="240" w:lineRule="auto"/>
      </w:pPr>
      <w:r>
        <w:separator/>
      </w:r>
    </w:p>
  </w:endnote>
  <w:endnote w:type="continuationSeparator" w:id="0">
    <w:p w:rsidR="00F87E92" w:rsidRDefault="00F87E92" w:rsidP="00A33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7E92" w:rsidRDefault="00F87E92" w:rsidP="00A33F06">
      <w:pPr>
        <w:spacing w:after="0" w:line="240" w:lineRule="auto"/>
      </w:pPr>
      <w:r>
        <w:separator/>
      </w:r>
    </w:p>
  </w:footnote>
  <w:footnote w:type="continuationSeparator" w:id="0">
    <w:p w:rsidR="00F87E92" w:rsidRDefault="00F87E92" w:rsidP="00A33F06">
      <w:pPr>
        <w:spacing w:after="0" w:line="240" w:lineRule="auto"/>
      </w:pPr>
      <w:r>
        <w:continuationSeparator/>
      </w:r>
    </w:p>
  </w:footnote>
  <w:footnote w:id="1">
    <w:p w:rsidR="00CA2E04" w:rsidRPr="00CA2E04" w:rsidRDefault="00CA2E04">
      <w:pPr>
        <w:pStyle w:val="FootnoteText"/>
        <w:rPr>
          <w:rFonts w:hint="cs"/>
          <w:b/>
          <w:bCs/>
        </w:rPr>
      </w:pPr>
      <w:r>
        <w:rPr>
          <w:rStyle w:val="FootnoteReference"/>
        </w:rPr>
        <w:footnoteRef/>
      </w:r>
      <w:r>
        <w:rPr>
          <w:rtl/>
        </w:rPr>
        <w:t xml:space="preserve"> </w:t>
      </w:r>
      <w:r>
        <w:rPr>
          <w:rFonts w:hint="cs"/>
          <w:b/>
          <w:bCs/>
          <w:rtl/>
        </w:rPr>
        <w:t>פסוק א</w:t>
      </w:r>
    </w:p>
  </w:footnote>
  <w:footnote w:id="2">
    <w:p w:rsidR="00CA2E04" w:rsidRPr="00CA2E04" w:rsidRDefault="00CA2E04">
      <w:pPr>
        <w:pStyle w:val="FootnoteText"/>
        <w:rPr>
          <w:rFonts w:hint="cs"/>
          <w:b/>
          <w:bCs/>
        </w:rPr>
      </w:pPr>
      <w:r>
        <w:rPr>
          <w:rStyle w:val="FootnoteReference"/>
        </w:rPr>
        <w:footnoteRef/>
      </w:r>
      <w:r>
        <w:rPr>
          <w:rtl/>
        </w:rPr>
        <w:t xml:space="preserve"> </w:t>
      </w:r>
      <w:r>
        <w:rPr>
          <w:rFonts w:hint="cs"/>
          <w:b/>
          <w:bCs/>
          <w:rtl/>
        </w:rPr>
        <w:t>פסוק ב</w:t>
      </w:r>
    </w:p>
  </w:footnote>
  <w:footnote w:id="3">
    <w:p w:rsidR="00731AE6" w:rsidRDefault="00731AE6" w:rsidP="00A33F06">
      <w:pPr>
        <w:pStyle w:val="FootnoteText"/>
        <w:rPr>
          <w:rtl/>
        </w:rPr>
      </w:pPr>
      <w:r>
        <w:rPr>
          <w:rStyle w:val="FootnoteReference"/>
        </w:rPr>
        <w:footnoteRef/>
      </w:r>
      <w:r>
        <w:rPr>
          <w:rtl/>
        </w:rPr>
        <w:t xml:space="preserve"> </w:t>
      </w:r>
      <w:r>
        <w:rPr>
          <w:rFonts w:hint="cs"/>
          <w:rtl/>
        </w:rPr>
        <w:t>נקרא חק כיון שלא מובן. אף שלמה לא היה מבין אותו. מבאר גמ' שני דברים שלא מובנים:</w:t>
      </w:r>
    </w:p>
    <w:p w:rsidR="00731AE6" w:rsidRDefault="00731AE6" w:rsidP="00A33F06">
      <w:pPr>
        <w:pStyle w:val="FootnoteText"/>
        <w:numPr>
          <w:ilvl w:val="0"/>
          <w:numId w:val="1"/>
        </w:numPr>
      </w:pPr>
      <w:r>
        <w:rPr>
          <w:rFonts w:hint="cs"/>
          <w:rtl/>
        </w:rPr>
        <w:t>רבי עקיבא סובר שאם היזו על טהור, אותו טהור נטמא. לומד אותו ממש"כ, "והיזה על הטמא" פעם יתירה. אז, נמצא שמטהר את הטמא שהיזו עליו, ומטמא את הטהור שהיזו עליו. אין זה מובן.</w:t>
      </w:r>
    </w:p>
    <w:p w:rsidR="00731AE6" w:rsidRDefault="00731AE6" w:rsidP="00C45144">
      <w:pPr>
        <w:pStyle w:val="FootnoteText"/>
        <w:ind w:left="720"/>
      </w:pPr>
      <w:r>
        <w:rPr>
          <w:rFonts w:hint="cs"/>
          <w:rtl/>
        </w:rPr>
        <w:t>חכמים חולקים על דין זה, ודורשים מ"והיזה על הטמא" שאין הזאה מהני אם כוון להזות על דבר שלא מקבל טומאה.</w:t>
      </w:r>
    </w:p>
    <w:p w:rsidR="00731AE6" w:rsidRDefault="00731AE6" w:rsidP="00A33F06">
      <w:pPr>
        <w:pStyle w:val="FootnoteText"/>
        <w:numPr>
          <w:ilvl w:val="0"/>
          <w:numId w:val="1"/>
        </w:numPr>
      </w:pPr>
      <w:r>
        <w:rPr>
          <w:rFonts w:hint="cs"/>
          <w:rtl/>
        </w:rPr>
        <w:t xml:space="preserve">מזה ומזים עליו טהורים, אבל נוגע במי חטאת טמא. עיין לקמן, שנבאר את זה, בע"ה, בקראי. אין זה מובן. </w:t>
      </w:r>
      <w:r>
        <w:rPr>
          <w:rFonts w:hint="cs"/>
          <w:b/>
          <w:bCs/>
          <w:rtl/>
        </w:rPr>
        <w:t>(יד.)</w:t>
      </w:r>
    </w:p>
  </w:footnote>
  <w:footnote w:id="4">
    <w:p w:rsidR="007E2EF8" w:rsidRPr="00AC5976" w:rsidRDefault="007E2EF8">
      <w:pPr>
        <w:pStyle w:val="FootnoteText"/>
        <w:rPr>
          <w:b/>
          <w:bCs/>
        </w:rPr>
      </w:pPr>
      <w:r>
        <w:rPr>
          <w:rStyle w:val="FootnoteReference"/>
        </w:rPr>
        <w:footnoteRef/>
      </w:r>
      <w:r>
        <w:rPr>
          <w:rtl/>
        </w:rPr>
        <w:t xml:space="preserve"> </w:t>
      </w:r>
      <w:r>
        <w:rPr>
          <w:rFonts w:hint="cs"/>
          <w:rtl/>
        </w:rPr>
        <w:t>לשון חוק שנאמר מגיד שכל שכתוב בו מעכב. (אף שבארנו שיש כבר משמעות למילת "חק," כן דורשים ממנו. אפשר שכיון שלא מובן, לא יכולים להניח שיש שום דבר שלא מעכב.)</w:t>
      </w:r>
      <w:r w:rsidR="00AC5976">
        <w:rPr>
          <w:rFonts w:hint="cs"/>
          <w:rtl/>
        </w:rPr>
        <w:t xml:space="preserve"> </w:t>
      </w:r>
      <w:r w:rsidR="00AC5976">
        <w:rPr>
          <w:rFonts w:hint="cs"/>
          <w:b/>
          <w:bCs/>
          <w:rtl/>
        </w:rPr>
        <w:t>(מב.)</w:t>
      </w:r>
    </w:p>
  </w:footnote>
  <w:footnote w:id="5">
    <w:p w:rsidR="009407D4" w:rsidRDefault="009407D4" w:rsidP="009407D4">
      <w:pPr>
        <w:pStyle w:val="FootnoteText"/>
        <w:rPr>
          <w:rtl/>
        </w:rPr>
      </w:pPr>
      <w:r>
        <w:rPr>
          <w:rStyle w:val="FootnoteReference"/>
        </w:rPr>
        <w:footnoteRef/>
      </w:r>
      <w:r>
        <w:rPr>
          <w:rtl/>
        </w:rPr>
        <w:t xml:space="preserve"> </w:t>
      </w:r>
      <w:r>
        <w:rPr>
          <w:rFonts w:hint="cs"/>
          <w:rtl/>
        </w:rPr>
        <w:t xml:space="preserve">מצאנו, </w:t>
      </w:r>
      <w:r>
        <w:rPr>
          <w:rFonts w:hint="cs"/>
          <w:rtl/>
        </w:rPr>
        <w:t>אז, ארבע דינים:</w:t>
      </w:r>
    </w:p>
    <w:p w:rsidR="009407D4" w:rsidRDefault="009407D4" w:rsidP="009407D4">
      <w:pPr>
        <w:pStyle w:val="FootnoteText"/>
        <w:numPr>
          <w:ilvl w:val="0"/>
          <w:numId w:val="2"/>
        </w:numPr>
      </w:pPr>
      <w:r>
        <w:rPr>
          <w:rFonts w:hint="cs"/>
          <w:rtl/>
        </w:rPr>
        <w:t>שיהיה פרה. (לכאו', אז, זכר פסול.)</w:t>
      </w:r>
    </w:p>
    <w:p w:rsidR="009407D4" w:rsidRDefault="009407D4" w:rsidP="009407D4">
      <w:pPr>
        <w:pStyle w:val="FootnoteText"/>
        <w:numPr>
          <w:ilvl w:val="0"/>
          <w:numId w:val="2"/>
        </w:numPr>
      </w:pPr>
      <w:r>
        <w:rPr>
          <w:rFonts w:hint="cs"/>
          <w:rtl/>
        </w:rPr>
        <w:t>שיהיה אדומה. אם יש שני (יש ראשונים שכ' שלש) שערות שאינם אדומים, פסול.</w:t>
      </w:r>
    </w:p>
    <w:p w:rsidR="009407D4" w:rsidRDefault="009407D4" w:rsidP="009407D4">
      <w:pPr>
        <w:pStyle w:val="FootnoteText"/>
        <w:numPr>
          <w:ilvl w:val="0"/>
          <w:numId w:val="2"/>
        </w:numPr>
      </w:pPr>
      <w:r>
        <w:rPr>
          <w:rFonts w:hint="cs"/>
          <w:rtl/>
        </w:rPr>
        <w:t>שלא יהיה בו מום. לכאו', מומים שלו הם שווים למומי בהמה שמפורשים לקרבן. (ויש לדון אם שווים למומים שמכשירים לשחיטה או שפוסלים למזבח.)</w:t>
      </w:r>
    </w:p>
    <w:p w:rsidR="009407D4" w:rsidRDefault="009407D4" w:rsidP="009407D4">
      <w:pPr>
        <w:pStyle w:val="FootnoteText"/>
        <w:numPr>
          <w:ilvl w:val="0"/>
          <w:numId w:val="2"/>
        </w:numPr>
      </w:pPr>
      <w:r>
        <w:rPr>
          <w:rFonts w:hint="cs"/>
          <w:rtl/>
        </w:rPr>
        <w:t>שלא עשה עבודה. גמ' מפ' (ב"מ) שעבודה שפוסל הוא כל עבודה, ואף אם נעשה ממילא, שהבעל רוצה.</w:t>
      </w:r>
    </w:p>
  </w:footnote>
  <w:footnote w:id="6">
    <w:p w:rsidR="00CA2E04" w:rsidRPr="00CA2E04" w:rsidRDefault="00CA2E04">
      <w:pPr>
        <w:pStyle w:val="FootnoteText"/>
        <w:rPr>
          <w:rFonts w:hint="cs"/>
          <w:b/>
          <w:bCs/>
        </w:rPr>
      </w:pPr>
      <w:r>
        <w:rPr>
          <w:rStyle w:val="FootnoteReference"/>
        </w:rPr>
        <w:footnoteRef/>
      </w:r>
      <w:r>
        <w:rPr>
          <w:rtl/>
        </w:rPr>
        <w:t xml:space="preserve"> </w:t>
      </w:r>
      <w:r>
        <w:rPr>
          <w:rFonts w:hint="cs"/>
          <w:b/>
          <w:bCs/>
          <w:rtl/>
        </w:rPr>
        <w:t>פסוק ג</w:t>
      </w:r>
    </w:p>
  </w:footnote>
  <w:footnote w:id="7">
    <w:p w:rsidR="00BD01DE" w:rsidRDefault="00BD01DE">
      <w:pPr>
        <w:pStyle w:val="FootnoteText"/>
        <w:rPr>
          <w:rtl/>
        </w:rPr>
      </w:pPr>
      <w:r>
        <w:rPr>
          <w:rStyle w:val="FootnoteReference"/>
        </w:rPr>
        <w:footnoteRef/>
      </w:r>
      <w:r>
        <w:rPr>
          <w:rtl/>
        </w:rPr>
        <w:t xml:space="preserve"> </w:t>
      </w:r>
      <w:r>
        <w:rPr>
          <w:rFonts w:hint="cs"/>
          <w:rtl/>
        </w:rPr>
        <w:t xml:space="preserve">גמ' דורש </w:t>
      </w:r>
      <w:r w:rsidR="002E0FCA">
        <w:rPr>
          <w:rFonts w:hint="cs"/>
          <w:rtl/>
        </w:rPr>
        <w:t xml:space="preserve">מ"אותה" </w:t>
      </w:r>
      <w:r>
        <w:rPr>
          <w:rFonts w:hint="cs"/>
          <w:rtl/>
        </w:rPr>
        <w:t>שרק זה צריך לינתן לאלעזר (שהוא הסגן), ולא לדורות צריך להינתן לאלעזר. חלקו תנאים אם צריך להינתן לכה"ג לדורות או לכהן הדיוט.</w:t>
      </w:r>
    </w:p>
    <w:p w:rsidR="009E6F5D" w:rsidRDefault="009E6F5D">
      <w:pPr>
        <w:pStyle w:val="FootnoteText"/>
        <w:rPr>
          <w:rtl/>
        </w:rPr>
      </w:pPr>
      <w:r>
        <w:rPr>
          <w:rFonts w:hint="cs"/>
          <w:rtl/>
        </w:rPr>
        <w:t>מי שמתיר לכ"ה לומד ממה שאין מיעוט.</w:t>
      </w:r>
      <w:r w:rsidR="00A32332">
        <w:rPr>
          <w:rFonts w:hint="cs"/>
          <w:rtl/>
        </w:rPr>
        <w:t xml:space="preserve"> (יש לדון איך ממעט זרים.)</w:t>
      </w:r>
      <w:r>
        <w:rPr>
          <w:rFonts w:hint="cs"/>
          <w:rtl/>
        </w:rPr>
        <w:t xml:space="preserve"> מי שחולק לומד מג"ש מיוה"כ.</w:t>
      </w:r>
    </w:p>
    <w:p w:rsidR="00752255" w:rsidRDefault="00752255">
      <w:pPr>
        <w:pStyle w:val="FootnoteText"/>
        <w:rPr>
          <w:rtl/>
        </w:rPr>
      </w:pPr>
      <w:r>
        <w:rPr>
          <w:rFonts w:hint="cs"/>
          <w:rtl/>
        </w:rPr>
        <w:t>דין זה לא כל כך מבואר. יש לדון על מה קאי:</w:t>
      </w:r>
    </w:p>
    <w:p w:rsidR="00752255" w:rsidRDefault="00752255" w:rsidP="00752255">
      <w:pPr>
        <w:pStyle w:val="FootnoteText"/>
        <w:numPr>
          <w:ilvl w:val="0"/>
          <w:numId w:val="3"/>
        </w:numPr>
      </w:pPr>
      <w:r>
        <w:rPr>
          <w:rFonts w:hint="cs"/>
          <w:rtl/>
        </w:rPr>
        <w:t>אולי קאי על נתינה. אולי יש דין מיוחד לתת לכהן לפני שחיטה.</w:t>
      </w:r>
    </w:p>
    <w:p w:rsidR="00752255" w:rsidRDefault="00752255" w:rsidP="00752255">
      <w:pPr>
        <w:pStyle w:val="FootnoteText"/>
        <w:numPr>
          <w:ilvl w:val="0"/>
          <w:numId w:val="3"/>
        </w:numPr>
      </w:pPr>
      <w:r>
        <w:rPr>
          <w:rFonts w:hint="cs"/>
          <w:rtl/>
        </w:rPr>
        <w:t>אולי קאי על שחיטה. ק"ק, שג</w:t>
      </w:r>
      <w:r w:rsidR="00271BA9">
        <w:rPr>
          <w:rFonts w:hint="cs"/>
          <w:rtl/>
        </w:rPr>
        <w:t xml:space="preserve">מ' דורש קראי אחריני לענין שחיטה, ודורש אותם ומניח שצריך מש"כ בקראי. </w:t>
      </w:r>
    </w:p>
    <w:p w:rsidR="00271BA9" w:rsidRDefault="00271BA9" w:rsidP="00752255">
      <w:pPr>
        <w:pStyle w:val="FootnoteText"/>
        <w:numPr>
          <w:ilvl w:val="0"/>
          <w:numId w:val="3"/>
        </w:numPr>
      </w:pPr>
      <w:r>
        <w:rPr>
          <w:rFonts w:hint="cs"/>
          <w:rtl/>
        </w:rPr>
        <w:t>אולי קאי על כל העבודות. קשה, שגמ' דורש קראי אחריני לאותם עבודות אחרות. ותחשב.</w:t>
      </w:r>
      <w:r w:rsidR="00986FB3">
        <w:rPr>
          <w:rFonts w:hint="cs"/>
          <w:rtl/>
        </w:rPr>
        <w:t xml:space="preserve"> </w:t>
      </w:r>
      <w:r w:rsidR="00986FB3">
        <w:rPr>
          <w:rFonts w:hint="cs"/>
          <w:b/>
          <w:bCs/>
          <w:rtl/>
        </w:rPr>
        <w:t>(מב:)</w:t>
      </w:r>
    </w:p>
  </w:footnote>
  <w:footnote w:id="8">
    <w:p w:rsidR="00986FB3" w:rsidRPr="00986FB3" w:rsidRDefault="00986FB3">
      <w:pPr>
        <w:pStyle w:val="FootnoteText"/>
        <w:rPr>
          <w:b/>
          <w:bCs/>
        </w:rPr>
      </w:pPr>
      <w:r>
        <w:rPr>
          <w:rStyle w:val="FootnoteReference"/>
        </w:rPr>
        <w:footnoteRef/>
      </w:r>
      <w:r>
        <w:rPr>
          <w:rtl/>
        </w:rPr>
        <w:t xml:space="preserve"> </w:t>
      </w:r>
      <w:r>
        <w:rPr>
          <w:rFonts w:hint="cs"/>
          <w:rtl/>
        </w:rPr>
        <w:t xml:space="preserve">גמ' דורש מ"אותה" שלא מוציאים אחר עמו. ר"ש, שדורש טעם הקרא, אומר שזה כדי שלא יאמרו ששוחט שניהם (וזה יהיה פסול, כמו שנבאר). </w:t>
      </w:r>
      <w:r>
        <w:rPr>
          <w:rFonts w:hint="cs"/>
          <w:b/>
          <w:bCs/>
          <w:rtl/>
        </w:rPr>
        <w:t>(מב:)</w:t>
      </w:r>
    </w:p>
  </w:footnote>
  <w:footnote w:id="9">
    <w:p w:rsidR="00DC258C" w:rsidRPr="00DC258C" w:rsidRDefault="00DC258C">
      <w:pPr>
        <w:pStyle w:val="FootnoteText"/>
        <w:rPr>
          <w:b/>
          <w:bCs/>
        </w:rPr>
      </w:pPr>
      <w:r>
        <w:rPr>
          <w:rStyle w:val="FootnoteReference"/>
        </w:rPr>
        <w:footnoteRef/>
      </w:r>
      <w:r>
        <w:rPr>
          <w:rtl/>
        </w:rPr>
        <w:t xml:space="preserve"> </w:t>
      </w:r>
      <w:r>
        <w:rPr>
          <w:rFonts w:hint="cs"/>
          <w:rtl/>
        </w:rPr>
        <w:t xml:space="preserve">גמ' דורש מ"אותה" שלא יכול לשחוט אחר עמה. </w:t>
      </w:r>
      <w:r>
        <w:rPr>
          <w:rFonts w:hint="cs"/>
          <w:b/>
          <w:bCs/>
          <w:rtl/>
        </w:rPr>
        <w:t>(מב:)</w:t>
      </w:r>
    </w:p>
  </w:footnote>
  <w:footnote w:id="10">
    <w:p w:rsidR="00386C32" w:rsidRDefault="00386C32">
      <w:pPr>
        <w:pStyle w:val="FootnoteText"/>
        <w:rPr>
          <w:rtl/>
        </w:rPr>
      </w:pPr>
      <w:r>
        <w:rPr>
          <w:rStyle w:val="FootnoteReference"/>
        </w:rPr>
        <w:footnoteRef/>
      </w:r>
      <w:r>
        <w:rPr>
          <w:rtl/>
        </w:rPr>
        <w:t xml:space="preserve"> </w:t>
      </w:r>
      <w:r>
        <w:rPr>
          <w:rFonts w:hint="cs"/>
          <w:rtl/>
        </w:rPr>
        <w:t xml:space="preserve">חולקים רב ושמואל אם צריך שכהן ישחט אותו או אף זר ואשה כשרים. </w:t>
      </w:r>
    </w:p>
    <w:p w:rsidR="00386C32" w:rsidRDefault="00386C32">
      <w:pPr>
        <w:pStyle w:val="FootnoteText"/>
        <w:rPr>
          <w:rtl/>
        </w:rPr>
      </w:pPr>
      <w:r>
        <w:rPr>
          <w:rFonts w:hint="cs"/>
          <w:rtl/>
        </w:rPr>
        <w:t>רב סובר שצריך כהן. לומד כן ממה שאומר בקרא זה שאלעזר, שהיה כהן, ישחט אותו. כתיב לשון חק לעשות שכל שכתוב מעכב.</w:t>
      </w:r>
      <w:r w:rsidR="00985FD7">
        <w:rPr>
          <w:rFonts w:hint="cs"/>
          <w:rtl/>
        </w:rPr>
        <w:t xml:space="preserve"> (צריך ביאור ל"ל אומר שצריך להיות אלעזר, כמו שכ' בתחילת הקרא.)</w:t>
      </w:r>
    </w:p>
    <w:p w:rsidR="00F853DF" w:rsidRPr="00AC5976" w:rsidRDefault="00F853DF">
      <w:pPr>
        <w:pStyle w:val="FootnoteText"/>
        <w:rPr>
          <w:b/>
          <w:bCs/>
        </w:rPr>
      </w:pPr>
      <w:r>
        <w:rPr>
          <w:rFonts w:hint="cs"/>
          <w:rtl/>
        </w:rPr>
        <w:t>שמואל סובר שאף זר ואשה כשרים. סובר שקרא אומר ששוחטים לפני אלעזר, ומשמע שאלעזר לא שוחט. אז, נתינה לאלעזר אינו לשחוט.</w:t>
      </w:r>
      <w:r w:rsidR="00AC5976">
        <w:rPr>
          <w:rFonts w:hint="cs"/>
          <w:rtl/>
        </w:rPr>
        <w:t xml:space="preserve"> </w:t>
      </w:r>
      <w:r w:rsidR="00AC5976">
        <w:rPr>
          <w:rFonts w:hint="cs"/>
          <w:b/>
          <w:bCs/>
          <w:rtl/>
        </w:rPr>
        <w:t>(מב.)</w:t>
      </w:r>
    </w:p>
  </w:footnote>
  <w:footnote w:id="11">
    <w:p w:rsidR="004B4350" w:rsidRPr="00AC5976" w:rsidRDefault="00AC5976">
      <w:pPr>
        <w:pStyle w:val="FootnoteText"/>
        <w:rPr>
          <w:b/>
          <w:bCs/>
        </w:rPr>
      </w:pPr>
      <w:r>
        <w:rPr>
          <w:rStyle w:val="FootnoteReference"/>
          <w:rFonts w:hint="cs"/>
          <w:rtl/>
        </w:rPr>
        <w:t>ת</w:t>
      </w:r>
      <w:r w:rsidR="004B4350">
        <w:rPr>
          <w:rtl/>
        </w:rPr>
        <w:t xml:space="preserve"> </w:t>
      </w:r>
      <w:r w:rsidR="004B4350">
        <w:rPr>
          <w:rFonts w:hint="cs"/>
          <w:rtl/>
        </w:rPr>
        <w:t>לשון של לפניו מגלה דין. לשמואל, מגלה שלא צריך שכהן ישחוט. לרב, מגלה שצריך שלא יסיח השוחט דעתו ממנו.</w:t>
      </w:r>
      <w:r>
        <w:rPr>
          <w:rFonts w:hint="cs"/>
          <w:rtl/>
        </w:rPr>
        <w:t xml:space="preserve"> </w:t>
      </w:r>
      <w:r>
        <w:rPr>
          <w:rFonts w:hint="cs"/>
          <w:b/>
          <w:bCs/>
          <w:rtl/>
        </w:rPr>
        <w:t>(מב.)</w:t>
      </w:r>
    </w:p>
  </w:footnote>
  <w:footnote w:id="12">
    <w:p w:rsidR="00CA2E04" w:rsidRPr="00CA2E04" w:rsidRDefault="00CA2E04">
      <w:pPr>
        <w:pStyle w:val="FootnoteText"/>
        <w:rPr>
          <w:rFonts w:hint="cs"/>
          <w:b/>
          <w:bCs/>
        </w:rPr>
      </w:pPr>
      <w:r>
        <w:rPr>
          <w:rStyle w:val="FootnoteReference"/>
        </w:rPr>
        <w:footnoteRef/>
      </w:r>
      <w:r>
        <w:rPr>
          <w:rtl/>
        </w:rPr>
        <w:t xml:space="preserve"> </w:t>
      </w:r>
      <w:r>
        <w:rPr>
          <w:rFonts w:hint="cs"/>
          <w:b/>
          <w:bCs/>
          <w:rtl/>
        </w:rPr>
        <w:t>פסוק ד</w:t>
      </w:r>
    </w:p>
  </w:footnote>
  <w:footnote w:id="13">
    <w:p w:rsidR="00BF5C27" w:rsidRPr="007A1253" w:rsidRDefault="00BF5C27">
      <w:pPr>
        <w:pStyle w:val="FootnoteText"/>
        <w:rPr>
          <w:b/>
          <w:bCs/>
        </w:rPr>
      </w:pPr>
      <w:r>
        <w:rPr>
          <w:rStyle w:val="FootnoteReference"/>
        </w:rPr>
        <w:footnoteRef/>
      </w:r>
      <w:r>
        <w:rPr>
          <w:rtl/>
        </w:rPr>
        <w:t xml:space="preserve"> </w:t>
      </w:r>
      <w:r>
        <w:rPr>
          <w:rFonts w:hint="cs"/>
          <w:rtl/>
        </w:rPr>
        <w:t>מזכיר אלעזר הכהן. לרב, זה מיעוט אחר מיעוט, ומרבה כהן הדיוט לזה. לשמואל, צריך זה לחזור לאלעזר, ולפסול זר. לכאו', אף פוסל סתם כ"ה.</w:t>
      </w:r>
      <w:r w:rsidR="007A1253">
        <w:rPr>
          <w:rFonts w:hint="cs"/>
          <w:rtl/>
        </w:rPr>
        <w:t xml:space="preserve"> </w:t>
      </w:r>
      <w:r w:rsidR="007A1253">
        <w:rPr>
          <w:rFonts w:hint="cs"/>
          <w:b/>
          <w:bCs/>
          <w:rtl/>
        </w:rPr>
        <w:t>(מג.)</w:t>
      </w:r>
    </w:p>
  </w:footnote>
  <w:footnote w:id="14">
    <w:p w:rsidR="006E32A1" w:rsidRPr="006E32A1" w:rsidRDefault="006E32A1">
      <w:pPr>
        <w:pStyle w:val="FootnoteText"/>
        <w:rPr>
          <w:rFonts w:hint="cs"/>
          <w:b/>
          <w:bCs/>
        </w:rPr>
      </w:pPr>
      <w:r>
        <w:rPr>
          <w:rStyle w:val="FootnoteReference"/>
        </w:rPr>
        <w:footnoteRef/>
      </w:r>
      <w:r>
        <w:rPr>
          <w:rtl/>
        </w:rPr>
        <w:t xml:space="preserve"> </w:t>
      </w:r>
      <w:r>
        <w:rPr>
          <w:rFonts w:hint="cs"/>
          <w:b/>
          <w:bCs/>
          <w:rtl/>
        </w:rPr>
        <w:t>פסוק ה</w:t>
      </w:r>
    </w:p>
  </w:footnote>
  <w:footnote w:id="15">
    <w:p w:rsidR="00CA2E04" w:rsidRDefault="00CA2E04">
      <w:pPr>
        <w:pStyle w:val="FootnoteText"/>
        <w:rPr>
          <w:rFonts w:hint="cs"/>
        </w:rPr>
      </w:pPr>
      <w:r>
        <w:rPr>
          <w:rStyle w:val="FootnoteReference"/>
        </w:rPr>
        <w:footnoteRef/>
      </w:r>
      <w:r>
        <w:rPr>
          <w:rtl/>
        </w:rPr>
        <w:t xml:space="preserve"> </w:t>
      </w:r>
      <w:r>
        <w:rPr>
          <w:rFonts w:hint="cs"/>
          <w:rtl/>
        </w:rPr>
        <w:t xml:space="preserve">לא מזכיר מי שורף. אולי מי שיכול להזות את הדם שבע פעמים הוא היכול לשרוף. גם אפשר לומר </w:t>
      </w:r>
      <w:r w:rsidR="00704C0B">
        <w:rPr>
          <w:rFonts w:hint="cs"/>
          <w:rtl/>
        </w:rPr>
        <w:t>שייתלה במחלקת של ביאור "לעיניו" (עיין לעיל, גבי שחיטה).</w:t>
      </w:r>
    </w:p>
  </w:footnote>
  <w:footnote w:id="16">
    <w:p w:rsidR="006E32A1" w:rsidRPr="006E32A1" w:rsidRDefault="006E32A1">
      <w:pPr>
        <w:pStyle w:val="FootnoteText"/>
        <w:rPr>
          <w:rFonts w:hint="cs"/>
          <w:b/>
          <w:bCs/>
        </w:rPr>
      </w:pPr>
      <w:r>
        <w:rPr>
          <w:rStyle w:val="FootnoteReference"/>
        </w:rPr>
        <w:footnoteRef/>
      </w:r>
      <w:r>
        <w:rPr>
          <w:rtl/>
        </w:rPr>
        <w:t xml:space="preserve"> </w:t>
      </w:r>
      <w:r>
        <w:rPr>
          <w:rFonts w:hint="cs"/>
          <w:b/>
          <w:bCs/>
          <w:rtl/>
        </w:rPr>
        <w:t>פסוק ו</w:t>
      </w:r>
    </w:p>
  </w:footnote>
  <w:footnote w:id="17">
    <w:p w:rsidR="000E2A4E" w:rsidRPr="00EC7B73" w:rsidRDefault="000E2A4E">
      <w:pPr>
        <w:pStyle w:val="FootnoteText"/>
        <w:rPr>
          <w:b/>
          <w:bCs/>
        </w:rPr>
      </w:pPr>
      <w:r>
        <w:rPr>
          <w:rStyle w:val="FootnoteReference"/>
        </w:rPr>
        <w:footnoteRef/>
      </w:r>
      <w:r>
        <w:rPr>
          <w:rtl/>
        </w:rPr>
        <w:t xml:space="preserve"> </w:t>
      </w:r>
      <w:r>
        <w:rPr>
          <w:rFonts w:hint="cs"/>
          <w:rtl/>
        </w:rPr>
        <w:t>לרב, צריך זה לגלות שצריך כהן, שהו"א שכיון שאינו מגוף הפרה, לא צריך כהן. לשמואל, צריך זה להכשיר כ"ה (ולא צריך סגן).</w:t>
      </w:r>
      <w:r w:rsidR="00EC7B73">
        <w:rPr>
          <w:rFonts w:hint="cs"/>
          <w:rtl/>
        </w:rPr>
        <w:t xml:space="preserve"> </w:t>
      </w:r>
      <w:r w:rsidR="00EC7B73">
        <w:rPr>
          <w:rFonts w:hint="cs"/>
          <w:b/>
          <w:bCs/>
          <w:rtl/>
        </w:rPr>
        <w:t>(מג.)</w:t>
      </w:r>
    </w:p>
  </w:footnote>
  <w:footnote w:id="18">
    <w:p w:rsidR="006E32A1" w:rsidRDefault="006E32A1">
      <w:pPr>
        <w:pStyle w:val="FootnoteText"/>
        <w:rPr>
          <w:rtl/>
        </w:rPr>
      </w:pPr>
      <w:r>
        <w:rPr>
          <w:rStyle w:val="FootnoteReference"/>
        </w:rPr>
        <w:footnoteRef/>
      </w:r>
      <w:r>
        <w:rPr>
          <w:rtl/>
        </w:rPr>
        <w:t xml:space="preserve"> </w:t>
      </w:r>
      <w:r>
        <w:rPr>
          <w:rFonts w:hint="cs"/>
          <w:rtl/>
        </w:rPr>
        <w:t>הוא לשון של תולע</w:t>
      </w:r>
      <w:r w:rsidR="00CB592F">
        <w:rPr>
          <w:rFonts w:hint="cs"/>
          <w:rtl/>
        </w:rPr>
        <w:t>ת שני. גמ' מפרש מהו שיעורו; יש שלש</w:t>
      </w:r>
      <w:r>
        <w:rPr>
          <w:rFonts w:hint="cs"/>
          <w:rtl/>
        </w:rPr>
        <w:t xml:space="preserve"> צדדים:</w:t>
      </w:r>
    </w:p>
    <w:p w:rsidR="006E32A1" w:rsidRDefault="006E32A1" w:rsidP="006E32A1">
      <w:pPr>
        <w:pStyle w:val="FootnoteText"/>
        <w:numPr>
          <w:ilvl w:val="0"/>
          <w:numId w:val="4"/>
        </w:numPr>
        <w:rPr>
          <w:rFonts w:hint="cs"/>
        </w:rPr>
      </w:pPr>
      <w:r>
        <w:rPr>
          <w:rFonts w:hint="cs"/>
          <w:rtl/>
        </w:rPr>
        <w:t>אין בו שיעור.</w:t>
      </w:r>
    </w:p>
    <w:p w:rsidR="006E32A1" w:rsidRDefault="006E32A1" w:rsidP="006E32A1">
      <w:pPr>
        <w:pStyle w:val="FootnoteText"/>
        <w:numPr>
          <w:ilvl w:val="0"/>
          <w:numId w:val="4"/>
        </w:numPr>
        <w:rPr>
          <w:rFonts w:hint="cs"/>
        </w:rPr>
      </w:pPr>
      <w:r>
        <w:rPr>
          <w:rFonts w:hint="cs"/>
          <w:rtl/>
        </w:rPr>
        <w:t>משקל עשרה זוז.</w:t>
      </w:r>
    </w:p>
    <w:p w:rsidR="006E32A1" w:rsidRDefault="006E32A1" w:rsidP="006E32A1">
      <w:pPr>
        <w:pStyle w:val="FootnoteText"/>
        <w:numPr>
          <w:ilvl w:val="0"/>
          <w:numId w:val="4"/>
        </w:numPr>
        <w:rPr>
          <w:rFonts w:hint="cs"/>
        </w:rPr>
      </w:pPr>
      <w:r>
        <w:rPr>
          <w:rFonts w:hint="cs"/>
          <w:rtl/>
        </w:rPr>
        <w:t>משקל שקל.</w:t>
      </w:r>
    </w:p>
  </w:footnote>
  <w:footnote w:id="19">
    <w:p w:rsidR="00E54E79" w:rsidRDefault="00E54E79">
      <w:pPr>
        <w:pStyle w:val="FootnoteText"/>
        <w:rPr>
          <w:rFonts w:hint="cs"/>
        </w:rPr>
      </w:pPr>
      <w:r>
        <w:rPr>
          <w:rStyle w:val="FootnoteReference"/>
        </w:rPr>
        <w:footnoteRef/>
      </w:r>
      <w:r>
        <w:rPr>
          <w:rtl/>
        </w:rPr>
        <w:t xml:space="preserve"> </w:t>
      </w:r>
      <w:r>
        <w:rPr>
          <w:rFonts w:hint="cs"/>
          <w:rtl/>
        </w:rPr>
        <w:t xml:space="preserve">צריך לכרוך את הארז ואזוב בתולעת. חול' אם רוצים שיהיו באגודה מפני כובד </w:t>
      </w:r>
      <w:r w:rsidR="002B1AA3">
        <w:rPr>
          <w:rFonts w:hint="cs"/>
          <w:rtl/>
        </w:rPr>
        <w:t xml:space="preserve">(גמ' רק מפ' שהוא מח' כובד. אולי רוצה רצועה כדי לכבד את השאר, אבל יותר נ' לומר שרוצה לאגדם כדי שיכבדו זע"ז.) </w:t>
      </w:r>
      <w:r>
        <w:rPr>
          <w:rFonts w:hint="cs"/>
          <w:rtl/>
        </w:rPr>
        <w:t>או לסיבה אחרת.</w:t>
      </w:r>
    </w:p>
  </w:footnote>
  <w:footnote w:id="20">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ז</w:t>
      </w:r>
    </w:p>
  </w:footnote>
  <w:footnote w:id="21">
    <w:p w:rsidR="00C24764" w:rsidRDefault="00C24764">
      <w:pPr>
        <w:pStyle w:val="FootnoteText"/>
        <w:rPr>
          <w:rtl/>
        </w:rPr>
      </w:pPr>
      <w:r>
        <w:rPr>
          <w:rStyle w:val="FootnoteReference"/>
        </w:rPr>
        <w:footnoteRef/>
      </w:r>
      <w:r>
        <w:rPr>
          <w:rtl/>
        </w:rPr>
        <w:t xml:space="preserve"> </w:t>
      </w:r>
      <w:r>
        <w:rPr>
          <w:rFonts w:hint="cs"/>
          <w:rtl/>
        </w:rPr>
        <w:t>מגלה שצריך הכהן להיות בכיהונו. לכאו', קאי על כל העבודה.</w:t>
      </w:r>
    </w:p>
  </w:footnote>
  <w:footnote w:id="22">
    <w:p w:rsidR="007D573C" w:rsidRDefault="007D573C">
      <w:pPr>
        <w:pStyle w:val="FootnoteText"/>
        <w:rPr>
          <w:rtl/>
        </w:rPr>
      </w:pPr>
      <w:r>
        <w:rPr>
          <w:rStyle w:val="FootnoteReference"/>
        </w:rPr>
        <w:footnoteRef/>
      </w:r>
      <w:r>
        <w:rPr>
          <w:rtl/>
        </w:rPr>
        <w:t xml:space="preserve"> </w:t>
      </w:r>
      <w:r>
        <w:rPr>
          <w:rFonts w:hint="cs"/>
          <w:rtl/>
        </w:rPr>
        <w:t xml:space="preserve">מגלה </w:t>
      </w:r>
      <w:r>
        <w:rPr>
          <w:rFonts w:hint="cs"/>
          <w:rtl/>
        </w:rPr>
        <w:t xml:space="preserve">שצריך להיות הכהן בכיהונו אף לדורות. (אם צ"ל כה"ג, זה כבר נלמד מקו"ח מפסול כ"ה, אף בכיהונו.) </w:t>
      </w:r>
    </w:p>
    <w:p w:rsidR="007D573C" w:rsidRDefault="007D573C">
      <w:pPr>
        <w:pStyle w:val="FootnoteText"/>
      </w:pPr>
      <w:r>
        <w:rPr>
          <w:rFonts w:hint="cs"/>
          <w:rtl/>
        </w:rPr>
        <w:t>וצריך ביאור קצת למה צריך קרא לדורות כאן יותר מבשאר דרשות. אולי אין הכי נמי, אין שאר דרשות נוהגים לדורות. ותחשב.</w:t>
      </w:r>
    </w:p>
  </w:footnote>
  <w:footnote w:id="23">
    <w:p w:rsidR="00D71792" w:rsidRDefault="00D71792" w:rsidP="00440237">
      <w:pPr>
        <w:pStyle w:val="FootnoteText"/>
        <w:rPr>
          <w:rFonts w:hint="cs"/>
        </w:rPr>
      </w:pPr>
      <w:r>
        <w:rPr>
          <w:rStyle w:val="FootnoteReference"/>
        </w:rPr>
        <w:footnoteRef/>
      </w:r>
      <w:r>
        <w:rPr>
          <w:rtl/>
        </w:rPr>
        <w:t xml:space="preserve"> </w:t>
      </w:r>
      <w:r w:rsidR="00440237">
        <w:rPr>
          <w:rFonts w:hint="cs"/>
          <w:rtl/>
        </w:rPr>
        <w:t>צריך לבאר על מי קאי. פסוק יאמר טומאת שורף לקמן; אז, משמע שלא מטמא את השורף. אז, יל"ד מי מטמא. ודע שצריך להיות דבר שצריך כהן בכיהונו, כדרשה ראשונה שבארנו. ותחשב.</w:t>
      </w:r>
    </w:p>
  </w:footnote>
  <w:footnote w:id="24">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ח</w:t>
      </w:r>
    </w:p>
  </w:footnote>
  <w:footnote w:id="25">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ט</w:t>
      </w:r>
    </w:p>
  </w:footnote>
  <w:footnote w:id="26">
    <w:p w:rsidR="0014607E" w:rsidRDefault="0014607E">
      <w:pPr>
        <w:pStyle w:val="FootnoteText"/>
      </w:pPr>
      <w:r>
        <w:rPr>
          <w:rStyle w:val="FootnoteReference"/>
        </w:rPr>
        <w:footnoteRef/>
      </w:r>
      <w:r>
        <w:rPr>
          <w:rtl/>
        </w:rPr>
        <w:t xml:space="preserve"> </w:t>
      </w:r>
      <w:r>
        <w:rPr>
          <w:rFonts w:hint="cs"/>
          <w:rtl/>
        </w:rPr>
        <w:t>זה מכשיר זר.</w:t>
      </w:r>
    </w:p>
  </w:footnote>
  <w:footnote w:id="27">
    <w:p w:rsidR="0014607E" w:rsidRDefault="0014607E">
      <w:pPr>
        <w:pStyle w:val="FootnoteText"/>
      </w:pPr>
      <w:r>
        <w:rPr>
          <w:rStyle w:val="FootnoteReference"/>
        </w:rPr>
        <w:footnoteRef/>
      </w:r>
      <w:r>
        <w:rPr>
          <w:rtl/>
        </w:rPr>
        <w:t xml:space="preserve"> </w:t>
      </w:r>
      <w:r>
        <w:rPr>
          <w:rFonts w:hint="cs"/>
          <w:rtl/>
        </w:rPr>
        <w:t xml:space="preserve">זה </w:t>
      </w:r>
      <w:r>
        <w:rPr>
          <w:rFonts w:hint="cs"/>
          <w:rtl/>
        </w:rPr>
        <w:t>מכשיר אשה.</w:t>
      </w:r>
    </w:p>
  </w:footnote>
  <w:footnote w:id="28">
    <w:p w:rsidR="00705AC7" w:rsidRDefault="00705AC7">
      <w:pPr>
        <w:pStyle w:val="FootnoteText"/>
      </w:pPr>
      <w:r>
        <w:rPr>
          <w:rStyle w:val="FootnoteReference"/>
        </w:rPr>
        <w:footnoteRef/>
      </w:r>
      <w:r>
        <w:rPr>
          <w:rtl/>
        </w:rPr>
        <w:t xml:space="preserve"> </w:t>
      </w:r>
      <w:r>
        <w:rPr>
          <w:rFonts w:hint="cs"/>
          <w:rtl/>
        </w:rPr>
        <w:t xml:space="preserve">גמ' </w:t>
      </w:r>
      <w:r>
        <w:rPr>
          <w:rFonts w:hint="cs"/>
          <w:rtl/>
        </w:rPr>
        <w:t>ממעט קטן, כיון שאין לו דעת להניח.</w:t>
      </w:r>
    </w:p>
  </w:footnote>
  <w:footnote w:id="29">
    <w:p w:rsidR="0014607E" w:rsidRDefault="0014607E">
      <w:pPr>
        <w:pStyle w:val="FootnoteText"/>
        <w:rPr>
          <w:rtl/>
        </w:rPr>
      </w:pPr>
      <w:r>
        <w:rPr>
          <w:rStyle w:val="FootnoteReference"/>
        </w:rPr>
        <w:footnoteRef/>
      </w:r>
      <w:r>
        <w:rPr>
          <w:rtl/>
        </w:rPr>
        <w:t xml:space="preserve"> </w:t>
      </w:r>
      <w:r>
        <w:rPr>
          <w:rFonts w:hint="cs"/>
          <w:rtl/>
        </w:rPr>
        <w:t xml:space="preserve">זה </w:t>
      </w:r>
      <w:r>
        <w:rPr>
          <w:rFonts w:hint="cs"/>
          <w:rtl/>
        </w:rPr>
        <w:t>אומר שבאסיפה ומילוי מים, צריכים שמירה.</w:t>
      </w:r>
    </w:p>
  </w:footnote>
  <w:footnote w:id="30">
    <w:p w:rsidR="00EE24A9" w:rsidRDefault="00EE24A9">
      <w:pPr>
        <w:pStyle w:val="FootnoteText"/>
        <w:rPr>
          <w:rFonts w:hint="cs"/>
        </w:rPr>
      </w:pPr>
      <w:r>
        <w:rPr>
          <w:rStyle w:val="FootnoteReference"/>
        </w:rPr>
        <w:footnoteRef/>
      </w:r>
      <w:r>
        <w:rPr>
          <w:rtl/>
        </w:rPr>
        <w:t xml:space="preserve"> </w:t>
      </w:r>
      <w:r>
        <w:rPr>
          <w:rFonts w:hint="cs"/>
          <w:rtl/>
        </w:rPr>
        <w:t>דורש גמ' מזה שיש לו מקצת דיני חטאת.</w:t>
      </w:r>
    </w:p>
  </w:footnote>
  <w:footnote w:id="31">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w:t>
      </w:r>
    </w:p>
  </w:footnote>
  <w:footnote w:id="32">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יא</w:t>
      </w:r>
    </w:p>
  </w:footnote>
  <w:footnote w:id="33">
    <w:p w:rsidR="00F923A1" w:rsidRDefault="00F923A1">
      <w:pPr>
        <w:pStyle w:val="FootnoteText"/>
        <w:rPr>
          <w:rtl/>
        </w:rPr>
      </w:pPr>
      <w:r>
        <w:rPr>
          <w:rStyle w:val="FootnoteReference"/>
        </w:rPr>
        <w:footnoteRef/>
      </w:r>
      <w:r>
        <w:rPr>
          <w:rtl/>
        </w:rPr>
        <w:t xml:space="preserve"> </w:t>
      </w:r>
      <w:r>
        <w:rPr>
          <w:rFonts w:hint="cs"/>
          <w:rtl/>
        </w:rPr>
        <w:t>עכשיו מבאר קרא מי צריך הזאה. כל (כלי ואדם) שנטמא ממת צריך להזות. יש ארבע מיני טומאה:</w:t>
      </w:r>
    </w:p>
    <w:p w:rsidR="00F923A1" w:rsidRDefault="00F923A1" w:rsidP="00F923A1">
      <w:pPr>
        <w:pStyle w:val="FootnoteText"/>
        <w:numPr>
          <w:ilvl w:val="0"/>
          <w:numId w:val="5"/>
        </w:numPr>
        <w:rPr>
          <w:rFonts w:hint="cs"/>
        </w:rPr>
      </w:pPr>
      <w:r>
        <w:rPr>
          <w:rFonts w:hint="cs"/>
          <w:rtl/>
        </w:rPr>
        <w:t>מגע.</w:t>
      </w:r>
    </w:p>
    <w:p w:rsidR="00F923A1" w:rsidRDefault="00F923A1" w:rsidP="00F923A1">
      <w:pPr>
        <w:pStyle w:val="FootnoteText"/>
        <w:numPr>
          <w:ilvl w:val="0"/>
          <w:numId w:val="5"/>
        </w:numPr>
        <w:rPr>
          <w:rFonts w:hint="cs"/>
        </w:rPr>
      </w:pPr>
      <w:r>
        <w:rPr>
          <w:rFonts w:hint="cs"/>
          <w:rtl/>
        </w:rPr>
        <w:t>משא.</w:t>
      </w:r>
    </w:p>
    <w:p w:rsidR="00F923A1" w:rsidRDefault="00F923A1" w:rsidP="00F923A1">
      <w:pPr>
        <w:pStyle w:val="FootnoteText"/>
        <w:numPr>
          <w:ilvl w:val="0"/>
          <w:numId w:val="5"/>
        </w:numPr>
        <w:rPr>
          <w:rFonts w:hint="cs"/>
        </w:rPr>
      </w:pPr>
      <w:r>
        <w:rPr>
          <w:rFonts w:hint="cs"/>
          <w:rtl/>
        </w:rPr>
        <w:t>תחתיו או ללמעלה ממנו. גמ' בחולין מצדד שזה שווה ל1.</w:t>
      </w:r>
    </w:p>
    <w:p w:rsidR="00F923A1" w:rsidRDefault="00F923A1" w:rsidP="00F923A1">
      <w:pPr>
        <w:pStyle w:val="FootnoteText"/>
        <w:numPr>
          <w:ilvl w:val="0"/>
          <w:numId w:val="5"/>
        </w:numPr>
        <w:rPr>
          <w:rFonts w:hint="cs"/>
        </w:rPr>
      </w:pPr>
      <w:r>
        <w:rPr>
          <w:rFonts w:hint="cs"/>
          <w:rtl/>
        </w:rPr>
        <w:t>אהל. גמ' בחולין מצדד שזה שווה ל1.</w:t>
      </w:r>
    </w:p>
  </w:footnote>
  <w:footnote w:id="34">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יב</w:t>
      </w:r>
    </w:p>
  </w:footnote>
  <w:footnote w:id="35">
    <w:p w:rsidR="0052276F" w:rsidRDefault="0052276F">
      <w:pPr>
        <w:pStyle w:val="FootnoteText"/>
        <w:rPr>
          <w:rFonts w:hint="cs"/>
        </w:rPr>
      </w:pPr>
      <w:r>
        <w:rPr>
          <w:rStyle w:val="FootnoteReference"/>
        </w:rPr>
        <w:footnoteRef/>
      </w:r>
      <w:r>
        <w:rPr>
          <w:rtl/>
        </w:rPr>
        <w:t xml:space="preserve"> </w:t>
      </w:r>
      <w:r>
        <w:rPr>
          <w:rFonts w:hint="cs"/>
          <w:rtl/>
        </w:rPr>
        <w:t>לא צריך להיות ביום שלישי, אלא מיום שלישי ולאחריו.</w:t>
      </w:r>
    </w:p>
  </w:footnote>
  <w:footnote w:id="36">
    <w:p w:rsidR="007F2423" w:rsidRDefault="007F2423">
      <w:pPr>
        <w:pStyle w:val="FootnoteText"/>
        <w:rPr>
          <w:rFonts w:hint="cs"/>
        </w:rPr>
      </w:pPr>
      <w:r>
        <w:rPr>
          <w:rStyle w:val="FootnoteReference"/>
        </w:rPr>
        <w:footnoteRef/>
      </w:r>
      <w:r>
        <w:rPr>
          <w:rtl/>
        </w:rPr>
        <w:t xml:space="preserve"> </w:t>
      </w:r>
      <w:r>
        <w:rPr>
          <w:rFonts w:hint="cs"/>
          <w:rtl/>
        </w:rPr>
        <w:t>לא צריך להיות ביום השביעי, אבל צריך להיות ארבע ימים, ולא פחות ולא יותר, אחר הזאה ראשונה.</w:t>
      </w:r>
    </w:p>
  </w:footnote>
  <w:footnote w:id="37">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יג</w:t>
      </w:r>
    </w:p>
  </w:footnote>
  <w:footnote w:id="38">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יד</w:t>
      </w:r>
    </w:p>
  </w:footnote>
  <w:footnote w:id="39">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טו</w:t>
      </w:r>
    </w:p>
  </w:footnote>
  <w:footnote w:id="40">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טו</w:t>
      </w:r>
    </w:p>
  </w:footnote>
  <w:footnote w:id="41">
    <w:p w:rsidR="00CB6AFA" w:rsidRDefault="00CB6AFA">
      <w:pPr>
        <w:pStyle w:val="FootnoteText"/>
        <w:rPr>
          <w:rFonts w:hint="cs"/>
        </w:rPr>
      </w:pPr>
      <w:r>
        <w:rPr>
          <w:rStyle w:val="FootnoteReference"/>
        </w:rPr>
        <w:footnoteRef/>
      </w:r>
      <w:r>
        <w:rPr>
          <w:rtl/>
        </w:rPr>
        <w:t xml:space="preserve"> </w:t>
      </w:r>
      <w:r>
        <w:rPr>
          <w:rFonts w:hint="cs"/>
          <w:rtl/>
        </w:rPr>
        <w:t>גמ' דורש מזה ש,חלל הרי הוא כחרב, שאם נגע כלי מתכת במת, יש לאותו כלי דיני טומאה השווים לדיני טומאה של מת.</w:t>
      </w:r>
    </w:p>
  </w:footnote>
  <w:footnote w:id="42">
    <w:p w:rsidR="00A00726" w:rsidRDefault="00A00726">
      <w:pPr>
        <w:pStyle w:val="FootnoteText"/>
        <w:rPr>
          <w:rFonts w:hint="cs"/>
        </w:rPr>
      </w:pPr>
      <w:r>
        <w:rPr>
          <w:rStyle w:val="FootnoteReference"/>
        </w:rPr>
        <w:footnoteRef/>
      </w:r>
      <w:r>
        <w:rPr>
          <w:rtl/>
        </w:rPr>
        <w:t xml:space="preserve"> </w:t>
      </w:r>
      <w:r>
        <w:rPr>
          <w:rFonts w:hint="cs"/>
          <w:rtl/>
        </w:rPr>
        <w:t>קבר</w:t>
      </w:r>
      <w:r w:rsidR="00AF0F31">
        <w:rPr>
          <w:rFonts w:hint="cs"/>
          <w:rtl/>
        </w:rPr>
        <w:t xml:space="preserve"> (הוא מקום שנטמן גוף המת)</w:t>
      </w:r>
      <w:r>
        <w:rPr>
          <w:rFonts w:hint="cs"/>
          <w:rtl/>
        </w:rPr>
        <w:t xml:space="preserve"> מטמא טומאת מת. אז, אם אהל על קבר, אף אם לא אהל על מת, טמא טומאת מת.</w:t>
      </w:r>
      <w:r w:rsidR="00AF0F31">
        <w:rPr>
          <w:rFonts w:hint="cs"/>
          <w:rtl/>
        </w:rPr>
        <w:t xml:space="preserve"> כמו כן מטמאים גולל ודופק.</w:t>
      </w:r>
    </w:p>
  </w:footnote>
  <w:footnote w:id="43">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טז</w:t>
      </w:r>
    </w:p>
  </w:footnote>
  <w:footnote w:id="44">
    <w:p w:rsidR="005505C1" w:rsidRDefault="005505C1">
      <w:pPr>
        <w:pStyle w:val="FootnoteText"/>
      </w:pPr>
      <w:r>
        <w:rPr>
          <w:rStyle w:val="FootnoteReference"/>
        </w:rPr>
        <w:footnoteRef/>
      </w:r>
      <w:r>
        <w:rPr>
          <w:rtl/>
        </w:rPr>
        <w:t xml:space="preserve"> </w:t>
      </w:r>
      <w:r>
        <w:rPr>
          <w:rFonts w:hint="cs"/>
          <w:rtl/>
        </w:rPr>
        <w:t>דורשים מלשון רבים שמי שפסול באסיפה כשר בעירוב עפר עם מים. רבנן סובר שמרבים מזה אשה, ורבי יהודה סובר שמרבים מזה קטן.</w:t>
      </w:r>
    </w:p>
  </w:footnote>
  <w:footnote w:id="45">
    <w:p w:rsidR="00430E72" w:rsidRDefault="00430E72">
      <w:pPr>
        <w:pStyle w:val="FootnoteText"/>
      </w:pPr>
      <w:r>
        <w:rPr>
          <w:rStyle w:val="FootnoteReference"/>
        </w:rPr>
        <w:footnoteRef/>
      </w:r>
      <w:r>
        <w:rPr>
          <w:rtl/>
        </w:rPr>
        <w:t xml:space="preserve"> </w:t>
      </w:r>
      <w:r>
        <w:rPr>
          <w:rFonts w:hint="cs"/>
          <w:rtl/>
        </w:rPr>
        <w:t xml:space="preserve">רבי </w:t>
      </w:r>
      <w:r>
        <w:rPr>
          <w:rFonts w:hint="cs"/>
          <w:rtl/>
        </w:rPr>
        <w:t>יהודה ממעט מזה אשה, שאומר "ונתן," ולא "ונתנה." לכן, לא סובר כמה שסוברים רבנן באות הקודם.</w:t>
      </w:r>
    </w:p>
  </w:footnote>
  <w:footnote w:id="46">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יח</w:t>
      </w:r>
    </w:p>
  </w:footnote>
  <w:footnote w:id="47">
    <w:p w:rsidR="0041392E" w:rsidRPr="0052580F" w:rsidRDefault="0041392E" w:rsidP="0041392E">
      <w:pPr>
        <w:pStyle w:val="FootnoteText"/>
      </w:pPr>
      <w:r>
        <w:rPr>
          <w:rStyle w:val="FootnoteReference"/>
        </w:rPr>
        <w:footnoteRef/>
      </w:r>
      <w:r>
        <w:rPr>
          <w:rtl/>
        </w:rPr>
        <w:t xml:space="preserve"> </w:t>
      </w:r>
      <w:r>
        <w:rPr>
          <w:rFonts w:hint="cs"/>
          <w:rtl/>
        </w:rPr>
        <w:t>לרבנן, זה ממעט אשה. לרבי יהודה, זה ממעט קטן.</w:t>
      </w:r>
      <w:r w:rsidR="0052580F">
        <w:rPr>
          <w:rFonts w:hint="cs"/>
          <w:rtl/>
        </w:rPr>
        <w:t xml:space="preserve"> ממעט את אלו מלהזות, ולא מלטבול. (יש לדון אם אף פסול מלטבול.)</w:t>
      </w:r>
    </w:p>
  </w:footnote>
  <w:footnote w:id="48">
    <w:p w:rsidR="0041392E" w:rsidRDefault="0041392E">
      <w:pPr>
        <w:pStyle w:val="FootnoteText"/>
      </w:pPr>
      <w:r>
        <w:rPr>
          <w:rStyle w:val="FootnoteReference"/>
        </w:rPr>
        <w:footnoteRef/>
      </w:r>
      <w:r>
        <w:rPr>
          <w:rtl/>
        </w:rPr>
        <w:t xml:space="preserve"> </w:t>
      </w:r>
      <w:r>
        <w:rPr>
          <w:rFonts w:hint="cs"/>
          <w:rtl/>
        </w:rPr>
        <w:t xml:space="preserve">לרבנן, </w:t>
      </w:r>
      <w:r>
        <w:rPr>
          <w:rFonts w:hint="cs"/>
          <w:rtl/>
        </w:rPr>
        <w:t>זה מרבה קטן. לרבי יהודה, זה מרבה אשה.</w:t>
      </w:r>
      <w:r w:rsidR="00767BE8">
        <w:rPr>
          <w:rFonts w:hint="cs"/>
          <w:rtl/>
        </w:rPr>
        <w:t xml:space="preserve"> מרבה אלו להזות, ולא רק לטבול.</w:t>
      </w:r>
    </w:p>
  </w:footnote>
  <w:footnote w:id="49">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יט</w:t>
      </w:r>
    </w:p>
  </w:footnote>
  <w:footnote w:id="50">
    <w:p w:rsidR="003F5721" w:rsidRDefault="003F5721">
      <w:pPr>
        <w:pStyle w:val="FootnoteText"/>
      </w:pPr>
      <w:r>
        <w:rPr>
          <w:rStyle w:val="FootnoteReference"/>
        </w:rPr>
        <w:footnoteRef/>
      </w:r>
      <w:r>
        <w:rPr>
          <w:rtl/>
        </w:rPr>
        <w:t xml:space="preserve"> </w:t>
      </w:r>
      <w:r>
        <w:rPr>
          <w:rFonts w:hint="cs"/>
          <w:rtl/>
        </w:rPr>
        <w:t>רביים מזה שאף מי שהוא רק לא טמא, כמו מי שהוא טבול יום, יכול להזות.</w:t>
      </w:r>
    </w:p>
  </w:footnote>
  <w:footnote w:id="51">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כ</w:t>
      </w:r>
    </w:p>
  </w:footnote>
  <w:footnote w:id="52">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כא</w:t>
      </w:r>
    </w:p>
  </w:footnote>
  <w:footnote w:id="53">
    <w:p w:rsidR="00877EE4" w:rsidRDefault="00877EE4">
      <w:pPr>
        <w:pStyle w:val="FootnoteText"/>
        <w:rPr>
          <w:rFonts w:hint="cs"/>
        </w:rPr>
      </w:pPr>
      <w:r>
        <w:rPr>
          <w:rStyle w:val="FootnoteReference"/>
        </w:rPr>
        <w:footnoteRef/>
      </w:r>
      <w:r>
        <w:rPr>
          <w:rtl/>
        </w:rPr>
        <w:t xml:space="preserve"> </w:t>
      </w:r>
      <w:r>
        <w:rPr>
          <w:rFonts w:hint="cs"/>
          <w:rtl/>
        </w:rPr>
        <w:t xml:space="preserve">גמ' מפרש (יד.) שמזה טהור, וזה מטמא נושא. אומר לשון </w:t>
      </w:r>
      <w:r w:rsidR="00CD309D">
        <w:rPr>
          <w:rFonts w:hint="cs"/>
          <w:rtl/>
        </w:rPr>
        <w:t>הזאה לומר שצריך לישא שיעור הזאה (כדי שיטבול ראשי גבעולים ויזה).</w:t>
      </w:r>
    </w:p>
  </w:footnote>
  <w:footnote w:id="54">
    <w:p w:rsidR="00EE24A9" w:rsidRPr="00EE24A9" w:rsidRDefault="00EE24A9">
      <w:pPr>
        <w:pStyle w:val="FootnoteText"/>
        <w:rPr>
          <w:rFonts w:hint="cs"/>
          <w:b/>
          <w:bCs/>
        </w:rPr>
      </w:pPr>
      <w:r>
        <w:rPr>
          <w:rStyle w:val="FootnoteReference"/>
        </w:rPr>
        <w:footnoteRef/>
      </w:r>
      <w:r>
        <w:rPr>
          <w:rtl/>
        </w:rPr>
        <w:t xml:space="preserve"> </w:t>
      </w:r>
      <w:r>
        <w:rPr>
          <w:rFonts w:hint="cs"/>
          <w:b/>
          <w:bCs/>
          <w:rtl/>
        </w:rPr>
        <w:t>פסוק כב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81E92"/>
    <w:multiLevelType w:val="hybridMultilevel"/>
    <w:tmpl w:val="DBCCD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0351AC"/>
    <w:multiLevelType w:val="hybridMultilevel"/>
    <w:tmpl w:val="F6D61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5A4558"/>
    <w:multiLevelType w:val="hybridMultilevel"/>
    <w:tmpl w:val="F648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E43D9A"/>
    <w:multiLevelType w:val="hybridMultilevel"/>
    <w:tmpl w:val="F6D61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9A1128"/>
    <w:multiLevelType w:val="hybridMultilevel"/>
    <w:tmpl w:val="D3ACF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F06"/>
    <w:rsid w:val="00016C53"/>
    <w:rsid w:val="0003681A"/>
    <w:rsid w:val="000E2A4E"/>
    <w:rsid w:val="00145F66"/>
    <w:rsid w:val="0014607E"/>
    <w:rsid w:val="00271BA9"/>
    <w:rsid w:val="002B1AA3"/>
    <w:rsid w:val="002E0FCA"/>
    <w:rsid w:val="00386C32"/>
    <w:rsid w:val="003D4F33"/>
    <w:rsid w:val="003F5721"/>
    <w:rsid w:val="0041392E"/>
    <w:rsid w:val="00430E72"/>
    <w:rsid w:val="00440237"/>
    <w:rsid w:val="004B4350"/>
    <w:rsid w:val="0052276F"/>
    <w:rsid w:val="0052580F"/>
    <w:rsid w:val="005505C1"/>
    <w:rsid w:val="00642A59"/>
    <w:rsid w:val="006B4025"/>
    <w:rsid w:val="006E32A1"/>
    <w:rsid w:val="00704C0B"/>
    <w:rsid w:val="00705AC7"/>
    <w:rsid w:val="00731AE6"/>
    <w:rsid w:val="00752255"/>
    <w:rsid w:val="00767BE8"/>
    <w:rsid w:val="007A1253"/>
    <w:rsid w:val="007C48D9"/>
    <w:rsid w:val="007D573C"/>
    <w:rsid w:val="007E2EF8"/>
    <w:rsid w:val="007F2423"/>
    <w:rsid w:val="00877EE4"/>
    <w:rsid w:val="009407D4"/>
    <w:rsid w:val="00985FD7"/>
    <w:rsid w:val="00986FB3"/>
    <w:rsid w:val="009E6F5D"/>
    <w:rsid w:val="00A00726"/>
    <w:rsid w:val="00A32332"/>
    <w:rsid w:val="00A33F06"/>
    <w:rsid w:val="00AC5976"/>
    <w:rsid w:val="00AF0F31"/>
    <w:rsid w:val="00B8516A"/>
    <w:rsid w:val="00BA7BEC"/>
    <w:rsid w:val="00BB6594"/>
    <w:rsid w:val="00BB68F1"/>
    <w:rsid w:val="00BD01DE"/>
    <w:rsid w:val="00BF5C27"/>
    <w:rsid w:val="00C24764"/>
    <w:rsid w:val="00C45144"/>
    <w:rsid w:val="00CA2E04"/>
    <w:rsid w:val="00CB592F"/>
    <w:rsid w:val="00CB6AFA"/>
    <w:rsid w:val="00CD309D"/>
    <w:rsid w:val="00D71792"/>
    <w:rsid w:val="00DC258C"/>
    <w:rsid w:val="00DC77D7"/>
    <w:rsid w:val="00DE012D"/>
    <w:rsid w:val="00E16B96"/>
    <w:rsid w:val="00E54E79"/>
    <w:rsid w:val="00EC34D2"/>
    <w:rsid w:val="00EC7B73"/>
    <w:rsid w:val="00EE24A9"/>
    <w:rsid w:val="00F853DF"/>
    <w:rsid w:val="00F87E92"/>
    <w:rsid w:val="00F923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3E63"/>
  <w15:chartTrackingRefBased/>
  <w15:docId w15:val="{8E631531-176C-4C6F-85F6-D61403B0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BEC"/>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33F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3F06"/>
    <w:rPr>
      <w:sz w:val="20"/>
      <w:szCs w:val="20"/>
    </w:rPr>
  </w:style>
  <w:style w:type="character" w:styleId="FootnoteReference">
    <w:name w:val="footnote reference"/>
    <w:basedOn w:val="DefaultParagraphFont"/>
    <w:uiPriority w:val="99"/>
    <w:semiHidden/>
    <w:unhideWhenUsed/>
    <w:rsid w:val="00A33F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1</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54</cp:revision>
  <dcterms:created xsi:type="dcterms:W3CDTF">2023-06-20T11:33:00Z</dcterms:created>
  <dcterms:modified xsi:type="dcterms:W3CDTF">2023-06-21T00:44:00Z</dcterms:modified>
</cp:coreProperties>
</file>