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>
          <w:sz w:val="24"/>
          <w:sz w:val="21"/>
          <w:szCs w:val="24"/>
          <w:rtl w:val="true"/>
        </w:rPr>
        <w:t>שיעורים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אכילת יום הכיפורים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שיעור אכילה ביום הכיפורים הוא ככותבת הגסה</w:t>
      </w:r>
      <w:r>
        <w:rPr>
          <w:rtl w:val="true"/>
        </w:rPr>
        <w:t xml:space="preserve">. </w:t>
      </w:r>
      <w:r>
        <w:rPr>
          <w:rtl w:val="true"/>
        </w:rPr>
        <w:t>אחר שאוכל שיעור זה</w:t>
      </w:r>
      <w:r>
        <w:rPr>
          <w:rtl w:val="true"/>
        </w:rPr>
        <w:t xml:space="preserve">, </w:t>
      </w:r>
      <w:r>
        <w:rPr>
          <w:rtl w:val="true"/>
        </w:rPr>
        <w:t>חייב כרת</w:t>
      </w:r>
      <w:r>
        <w:rPr>
          <w:rtl w:val="true"/>
        </w:rPr>
        <w:t xml:space="preserve">. </w:t>
      </w:r>
      <w:r>
        <w:rPr>
          <w:rtl w:val="true"/>
        </w:rPr>
        <w:t>זה נלמד מאיסור של יה“כ הוא שלא לבטל את עצמו מעינוי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צריך דבר שיישב את דעתו</w:t>
      </w:r>
      <w:r>
        <w:rPr>
          <w:rtl w:val="true"/>
        </w:rPr>
        <w:t xml:space="preserve">. </w:t>
      </w:r>
      <w:r>
        <w:rPr>
          <w:rtl w:val="true"/>
        </w:rPr>
        <w:t>שערו חכמים שרק כותבת הגסה מיישב את דעתו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עם גרעין או בלי גרעין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רב פפא מסופק אם הוא ככותבת עם גרעין או בלי גרעין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. </w:t>
      </w:r>
      <w:r>
        <w:rPr>
          <w:rtl w:val="true"/>
        </w:rPr>
        <w:t>רב אשי סובר שהוא ככותבת עם גרעין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>.</w:t>
      </w:r>
    </w:p>
    <w:p>
      <w:pPr>
        <w:pStyle w:val="Heading3"/>
        <w:numPr>
          <w:ilvl w:val="0"/>
          <w:numId w:val="0"/>
        </w:numPr>
        <w:ind w:right="0" w:hanging="0"/>
        <w:rPr/>
      </w:pPr>
      <w:r>
        <w:rPr>
          <w:rtl w:val="true"/>
        </w:rPr>
        <w:t>שיעורו לנגד כביצה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חולקים אם הוא גדול מכביצה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או קטן מכביצה</w:t>
      </w:r>
      <w:r>
        <w:rPr>
          <w:rtl w:val="true"/>
        </w:rPr>
        <w:t>.</w:t>
      </w:r>
    </w:p>
    <w:p>
      <w:pPr>
        <w:pStyle w:val="Heading4"/>
        <w:rPr/>
      </w:pPr>
      <w:r>
        <w:rPr>
          <w:rtl w:val="true"/>
        </w:rPr>
        <w:tab/>
      </w:r>
      <w:r>
        <w:rPr>
          <w:b w:val="false"/>
          <w:b w:val="false"/>
          <w:bCs w:val="false"/>
          <w:i w:val="false"/>
          <w:i w:val="false"/>
          <w:iCs w:val="false"/>
          <w:sz w:val="24"/>
          <w:sz w:val="24"/>
          <w:szCs w:val="24"/>
          <w:u w:val="none"/>
          <w:rtl w:val="true"/>
        </w:rPr>
        <w:t>ראיות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 xml:space="preserve">גמרא מביא </w:t>
      </w:r>
      <w:r>
        <w:rPr>
          <w:rtl w:val="true"/>
        </w:rPr>
        <w:t xml:space="preserve">? </w:t>
      </w:r>
      <w:r>
        <w:rPr>
          <w:rtl w:val="true"/>
        </w:rPr>
        <w:t>ראיות בזה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rPr/>
      </w:pPr>
      <w:r>
        <w:rPr>
          <w:rtl w:val="true"/>
        </w:rPr>
        <w:t>משנה מזכיר מעשה של מי שאכל שני כותבות ולא ישב בסוכה</w:t>
      </w:r>
      <w:r>
        <w:rPr>
          <w:rtl w:val="true"/>
        </w:rPr>
        <w:t xml:space="preserve">. </w:t>
      </w:r>
      <w:r>
        <w:rPr>
          <w:rtl w:val="true"/>
        </w:rPr>
        <w:t>שיעור שבו חייב לשבת בסוכה הוא כביצה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יוצא מכאן ששני כותבות </w:t>
      </w:r>
      <w:r>
        <w:rPr>
          <w:rtl w:val="true"/>
        </w:rPr>
        <w:t>(</w:t>
      </w:r>
      <w:r>
        <w:rPr>
          <w:rtl w:val="true"/>
        </w:rPr>
        <w:t>בלי גרעיניהם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) </w:t>
      </w:r>
      <w:r>
        <w:rPr>
          <w:rtl w:val="true"/>
        </w:rPr>
        <w:t>הם פחותים מביצה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מסתמא כותבת הגסה פחות מכביצה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דוחה</w:t>
      </w:r>
      <w:r>
        <w:rPr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כותבת הגסה הוא גדולה משני כותבות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"/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לא ישב בסוכה כיון שהיו פירות</w:t>
      </w:r>
      <w:r>
        <w:rPr>
          <w:rtl w:val="true"/>
        </w:rPr>
        <w:t xml:space="preserve">, </w:t>
      </w:r>
      <w:r>
        <w:rPr>
          <w:rtl w:val="true"/>
        </w:rPr>
        <w:t>ולא צריכים לשבת בסוכה לאכילת פירות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שני כותבות הם גדולים מכביצה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חלקו בית שמאי ובית הלל בשיעור מציאת חמץ ביה“כ</w:t>
      </w:r>
      <w:r>
        <w:rPr>
          <w:rtl w:val="true"/>
        </w:rPr>
        <w:t xml:space="preserve">. </w:t>
      </w:r>
      <w:r>
        <w:rPr>
          <w:rtl w:val="true"/>
        </w:rPr>
        <w:t>כיון שכ’ איסור מציאה גבי שאור</w:t>
      </w:r>
      <w:r>
        <w:rPr>
          <w:rtl w:val="true"/>
        </w:rPr>
        <w:t xml:space="preserve">, </w:t>
      </w:r>
      <w:r>
        <w:rPr>
          <w:rtl w:val="true"/>
        </w:rPr>
        <w:t>אף שיכול להילמד מחמץ</w:t>
      </w:r>
      <w:r>
        <w:rPr>
          <w:rtl w:val="true"/>
        </w:rPr>
        <w:t xml:space="preserve">, </w:t>
      </w:r>
      <w:r>
        <w:rPr>
          <w:rtl w:val="true"/>
        </w:rPr>
        <w:t>סובר בית שמאי שאיסור מציאת חמץ הוא בכותבת</w:t>
      </w:r>
      <w:r>
        <w:rPr>
          <w:rtl w:val="true"/>
        </w:rPr>
        <w:t xml:space="preserve">. </w:t>
      </w:r>
      <w:r>
        <w:rPr>
          <w:rtl w:val="true"/>
        </w:rPr>
        <w:t>בית הלל סוברים שלא יכולים ללמוד זמ“ז</w:t>
      </w:r>
      <w:r>
        <w:rPr>
          <w:rtl w:val="true"/>
        </w:rPr>
        <w:t xml:space="preserve">, </w:t>
      </w:r>
      <w:r>
        <w:rPr>
          <w:rtl w:val="true"/>
        </w:rPr>
        <w:t>ואז שיעור מציאת חמץ הוא כזית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ממה שבית שמאי נותנים שיעור של כותבת</w:t>
      </w:r>
      <w:r>
        <w:rPr>
          <w:rtl w:val="true"/>
        </w:rPr>
        <w:t xml:space="preserve">, </w:t>
      </w:r>
      <w:r>
        <w:rPr>
          <w:rtl w:val="true"/>
        </w:rPr>
        <w:t>ולא שיעור של כביצה</w:t>
      </w:r>
      <w:r>
        <w:rPr>
          <w:rtl w:val="true"/>
        </w:rPr>
        <w:t xml:space="preserve">, </w:t>
      </w:r>
      <w:r>
        <w:rPr>
          <w:rtl w:val="true"/>
        </w:rPr>
        <w:t>רואים שכותבת קטנה מכביצה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דוחה</w:t>
      </w:r>
      <w:r>
        <w:rPr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יש לחלק בין כותבת הגסה וכותבת</w:t>
      </w:r>
      <w:r>
        <w:rPr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אולי שווה לכביצה</w:t>
      </w:r>
      <w:r>
        <w:rPr>
          <w:rtl w:val="true"/>
        </w:rPr>
        <w:t xml:space="preserve">, </w:t>
      </w:r>
      <w:r>
        <w:rPr>
          <w:rtl w:val="true"/>
        </w:rPr>
        <w:t>ורק כ’ אחד מהם</w:t>
      </w:r>
      <w:r>
        <w:rPr>
          <w:rtl w:val="true"/>
        </w:rPr>
        <w:t xml:space="preserve">. </w:t>
      </w:r>
      <w:r>
        <w:rPr>
          <w:rtl w:val="true"/>
        </w:rPr>
        <w:t>מתחילה</w:t>
      </w:r>
      <w:r>
        <w:rPr>
          <w:rtl w:val="true"/>
        </w:rPr>
        <w:t xml:space="preserve">, </w:t>
      </w:r>
      <w:r>
        <w:rPr>
          <w:rtl w:val="true"/>
        </w:rPr>
        <w:t>לא רצה גמ’ לומר כן</w:t>
      </w:r>
      <w:r>
        <w:rPr>
          <w:rtl w:val="true"/>
        </w:rPr>
        <w:t xml:space="preserve">, </w:t>
      </w:r>
      <w:r>
        <w:rPr>
          <w:rtl w:val="true"/>
        </w:rPr>
        <w:t>שהיה לו לומר כביצה</w:t>
      </w:r>
      <w:r>
        <w:rPr>
          <w:rtl w:val="true"/>
        </w:rPr>
        <w:t xml:space="preserve">, </w:t>
      </w:r>
      <w:r>
        <w:rPr>
          <w:rtl w:val="true"/>
        </w:rPr>
        <w:t>שהוא שם היותר מצוי</w:t>
      </w:r>
      <w:r>
        <w:rPr>
          <w:rtl w:val="true"/>
        </w:rPr>
        <w:t xml:space="preserve">, </w:t>
      </w:r>
      <w:r>
        <w:rPr>
          <w:rtl w:val="true"/>
        </w:rPr>
        <w:t>אבל דוחה את זה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"/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חולקים רבי מאיר ורבי יהודה בשעיור אכילת לחם שמחייב ברכה אחריו</w:t>
      </w:r>
      <w:r>
        <w:rPr>
          <w:rtl w:val="true"/>
        </w:rPr>
        <w:t xml:space="preserve">. </w:t>
      </w:r>
      <w:r>
        <w:rPr>
          <w:rtl w:val="true"/>
        </w:rPr>
        <w:t>רבי יהודה דורש שהוא כביצה</w:t>
      </w:r>
      <w:r>
        <w:rPr>
          <w:rtl w:val="true"/>
        </w:rPr>
        <w:t xml:space="preserve">, </w:t>
      </w:r>
      <w:r>
        <w:rPr>
          <w:rtl w:val="true"/>
        </w:rPr>
        <w:t>מ“ושבעת</w:t>
      </w:r>
      <w:r>
        <w:rPr>
          <w:rtl w:val="true"/>
        </w:rPr>
        <w:t>.“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ביצה שבע</w:t>
      </w:r>
      <w:r>
        <w:rPr>
          <w:rtl w:val="true"/>
        </w:rPr>
        <w:t xml:space="preserve">, </w:t>
      </w:r>
      <w:r>
        <w:rPr>
          <w:rtl w:val="true"/>
        </w:rPr>
        <w:t>ובוודאי מבטל עינוי ומיישב דעת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דוחה שאף שמשביע אותו</w:t>
      </w:r>
      <w:r>
        <w:rPr>
          <w:rtl w:val="true"/>
        </w:rPr>
        <w:t xml:space="preserve">, </w:t>
      </w:r>
      <w:r>
        <w:rPr>
          <w:rtl w:val="true"/>
        </w:rPr>
        <w:t>אין כביצה מבטל עינוי</w:t>
      </w:r>
      <w:r>
        <w:rPr>
          <w:rtl w:val="true"/>
        </w:rPr>
        <w:t xml:space="preserve">, </w:t>
      </w:r>
      <w:r>
        <w:rPr>
          <w:rtl w:val="true"/>
        </w:rPr>
        <w:t>ואינו מיישב את דעתו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Heading2"/>
        <w:rPr/>
      </w:pPr>
      <w:r>
        <w:rPr>
          <w:rtl w:val="true"/>
        </w:rPr>
        <w:t>שתיית יום הכיפורים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חלקו בית שמאי ובית הלל ר“י בשם ר“א וריב“ב בשעיור שתיית יה“כ</w:t>
      </w:r>
      <w:r>
        <w:rPr>
          <w:rtl w:val="true"/>
        </w:rPr>
        <w:t>:</w:t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בית שמאי סובר שהשיעור הוא רביעית הלוג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440" w:hanging="0"/>
        <w:jc w:val="left"/>
        <w:rPr/>
      </w:pPr>
      <w:r>
        <w:rPr>
          <w:rtl w:val="true"/>
        </w:rPr>
        <w:t>שיעור זה הוא שיעור אחד שקבוע לכל</w:t>
      </w:r>
      <w:r>
        <w:rPr>
          <w:rtl w:val="true"/>
        </w:rPr>
        <w:t>.</w:t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בית הלל סובר שהשיעור הוא מלא לוגמא</w:t>
      </w:r>
      <w:r>
        <w:rPr>
          <w:rtl w:val="true"/>
        </w:rPr>
        <w:t xml:space="preserve">. </w:t>
      </w:r>
      <w:r>
        <w:rPr>
          <w:rtl w:val="true"/>
        </w:rPr>
        <w:t>גמרא מפרש שהוא ”כמו מלא לוגמא</w:t>
      </w:r>
      <w:r>
        <w:rPr>
          <w:rtl w:val="true"/>
        </w:rPr>
        <w:t xml:space="preserve">,“ </w:t>
      </w:r>
      <w:r>
        <w:rPr>
          <w:rtl w:val="true"/>
        </w:rPr>
        <w:t>והוא מלא לגימה אחת</w:t>
      </w:r>
      <w:r>
        <w:rPr>
          <w:rtl w:val="true"/>
        </w:rPr>
        <w:t xml:space="preserve">, </w:t>
      </w:r>
      <w:r>
        <w:rPr>
          <w:rtl w:val="true"/>
        </w:rPr>
        <w:t>ולא מלא שני לוגמאות</w:t>
      </w:r>
      <w:r>
        <w:rPr>
          <w:rtl w:val="true"/>
        </w:rPr>
        <w:t xml:space="preserve">, </w:t>
      </w:r>
      <w:r>
        <w:rPr>
          <w:rtl w:val="true"/>
        </w:rPr>
        <w:t>כיון שיכול להעביר את המשקה לכל צד</w:t>
      </w:r>
      <w:r>
        <w:rPr>
          <w:rtl w:val="true"/>
        </w:rPr>
        <w:t xml:space="preserve">, </w:t>
      </w:r>
      <w:r>
        <w:rPr>
          <w:rtl w:val="true"/>
        </w:rPr>
        <w:t>ויראה כאילו מלא לוגמיו ברווח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440" w:hanging="0"/>
        <w:jc w:val="left"/>
        <w:rPr/>
      </w:pPr>
      <w:r>
        <w:rPr>
          <w:rtl w:val="true"/>
        </w:rPr>
        <w:t>גמ’ מפרש ששיעור זה אינו קבוע לכל</w:t>
      </w:r>
      <w:r>
        <w:rPr>
          <w:rtl w:val="true"/>
        </w:rPr>
        <w:t xml:space="preserve">, </w:t>
      </w:r>
      <w:r>
        <w:rPr>
          <w:rtl w:val="true"/>
        </w:rPr>
        <w:t>אלא לכל אדם משערים במלא לוגמיו</w:t>
      </w:r>
      <w:r>
        <w:rPr>
          <w:rtl w:val="true"/>
        </w:rPr>
        <w:t xml:space="preserve">. </w:t>
      </w:r>
      <w:r>
        <w:rPr>
          <w:rtl w:val="true"/>
        </w:rPr>
        <w:t>גמרא מפרש שבדרך כלל</w:t>
      </w:r>
      <w:r>
        <w:rPr>
          <w:rtl w:val="true"/>
        </w:rPr>
        <w:t xml:space="preserve">, </w:t>
      </w:r>
      <w:r>
        <w:rPr>
          <w:rtl w:val="true"/>
        </w:rPr>
        <w:t>שיעור זה הוא יותר קטן משיעור של בית שמאי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חומרא משיטת בית הלל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יכול להיות גדול משיעור של בית שמאי</w:t>
      </w:r>
      <w:r>
        <w:rPr>
          <w:rtl w:val="true"/>
        </w:rPr>
        <w:t xml:space="preserve">, </w:t>
      </w:r>
      <w:r>
        <w:rPr>
          <w:rtl w:val="true"/>
        </w:rPr>
        <w:t>כמו אם השותה הוא איש גדול</w:t>
      </w:r>
      <w:r>
        <w:rPr>
          <w:rtl w:val="true"/>
        </w:rPr>
        <w:t>. (</w:t>
      </w:r>
      <w:r>
        <w:rPr>
          <w:rtl w:val="true"/>
        </w:rPr>
        <w:t>לא נמנה עם החומרות של בית הלל כיון שכשנשאל</w:t>
      </w:r>
      <w:r>
        <w:rPr>
          <w:rtl w:val="true"/>
        </w:rPr>
        <w:t xml:space="preserve">, </w:t>
      </w:r>
      <w:r>
        <w:rPr>
          <w:rtl w:val="true"/>
        </w:rPr>
        <w:t>נשאל על איש גדול</w:t>
      </w:r>
      <w:r>
        <w:rPr>
          <w:rtl w:val="true"/>
        </w:rPr>
        <w:t>.)</w:t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רבי יהודה אומר בשם רבי אליעזר שהשיעור הוא מה שנראה כמלא לוגמא בדוחק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440" w:hanging="0"/>
        <w:jc w:val="left"/>
        <w:rPr/>
      </w:pPr>
      <w:r>
        <w:rPr>
          <w:rtl w:val="true"/>
        </w:rPr>
        <w:t>מגמ’ יוצא ששיעור זה לא קבוע</w:t>
      </w:r>
      <w:r>
        <w:rPr>
          <w:rtl w:val="true"/>
        </w:rPr>
        <w:t xml:space="preserve">, </w:t>
      </w:r>
      <w:r>
        <w:rPr>
          <w:rtl w:val="true"/>
        </w:rPr>
        <w:t>אלא תלוי בכל אדם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"/>
      </w:r>
    </w:p>
    <w:p>
      <w:pPr>
        <w:pStyle w:val="Normal"/>
        <w:numPr>
          <w:ilvl w:val="2"/>
          <w:numId w:val="4"/>
        </w:numPr>
        <w:bidi w:val="1"/>
        <w:jc w:val="left"/>
        <w:rPr/>
      </w:pPr>
      <w:r>
        <w:rPr>
          <w:rtl w:val="true"/>
        </w:rPr>
        <w:t>רבי יהודה בן בתירה אומר שהשיעור הוא כדי גמיאה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"/>
      </w:r>
    </w:p>
    <w:p>
      <w:pPr>
        <w:pStyle w:val="Normal"/>
        <w:numPr>
          <w:ilvl w:val="0"/>
          <w:numId w:val="0"/>
        </w:numPr>
        <w:bidi w:val="1"/>
        <w:ind w:left="1440" w:hanging="0"/>
        <w:jc w:val="left"/>
        <w:rPr/>
      </w:pPr>
      <w:r>
        <w:rPr>
          <w:rtl w:val="true"/>
        </w:rPr>
        <w:t>לא מפרש גמ’ אם שיעור זה הוא קבוע או תלוי בכל אדם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"/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גם שיעור זה תלוי במה נחשב ביטול עינוי ויישוב הדעת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אם שותה שיעור זה</w:t>
      </w:r>
      <w:r>
        <w:rPr>
          <w:rtl w:val="true"/>
        </w:rPr>
        <w:t xml:space="preserve">, </w:t>
      </w:r>
      <w:r>
        <w:rPr>
          <w:rtl w:val="true"/>
        </w:rPr>
        <w:t>חייב כרת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Heading2"/>
        <w:rPr/>
      </w:pPr>
      <w:r>
        <w:rPr>
          <w:rtl w:val="true"/>
        </w:rPr>
        <w:t>טומאת אוכלים</w:t>
      </w:r>
      <w:r>
        <w:rPr>
          <w:rStyle w:val="FootnoteAnchor"/>
          <w:rtl w:val="true"/>
        </w:rPr>
        <w:footnoteReference w:id="13"/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>:</w:t>
      </w:r>
    </w:p>
    <w:p>
      <w:pPr>
        <w:pStyle w:val="TextBody"/>
        <w:rPr/>
      </w:pPr>
      <w:r>
        <w:rPr>
          <w:rtl w:val="true"/>
        </w:rPr>
        <w:tab/>
      </w:r>
      <w:r>
        <w:rPr>
          <w:rtl w:val="true"/>
        </w:rPr>
        <w:t>אוכלים מטמאים משקים מדאורייתא</w:t>
      </w:r>
      <w:r>
        <w:rPr>
          <w:rtl w:val="true"/>
        </w:rPr>
        <w:t xml:space="preserve">. </w:t>
      </w:r>
      <w:r>
        <w:rPr>
          <w:rtl w:val="true"/>
        </w:rPr>
        <w:t xml:space="preserve">אבל כדי לטמא אותם </w:t>
      </w:r>
      <w:r>
        <w:rPr>
          <w:rtl w:val="true"/>
        </w:rPr>
        <w:t>(</w:t>
      </w:r>
      <w:r>
        <w:rPr>
          <w:rtl w:val="true"/>
        </w:rPr>
        <w:t>עיין בהערה שכ’ לעיל</w:t>
      </w:r>
      <w:r>
        <w:rPr>
          <w:rtl w:val="true"/>
        </w:rPr>
        <w:t xml:space="preserve">), </w:t>
      </w:r>
      <w:r>
        <w:rPr>
          <w:rtl w:val="true"/>
        </w:rPr>
        <w:t>צריך שיעור</w:t>
      </w:r>
      <w:r>
        <w:rPr>
          <w:rtl w:val="true"/>
        </w:rPr>
        <w:t xml:space="preserve">. </w:t>
        <w:tab/>
      </w:r>
      <w:r>
        <w:rPr>
          <w:rtl w:val="true"/>
        </w:rPr>
        <w:t>אותו שיעור אינו כזית</w:t>
      </w:r>
      <w:r>
        <w:rPr>
          <w:rtl w:val="true"/>
        </w:rPr>
        <w:t xml:space="preserve">, </w:t>
      </w:r>
      <w:r>
        <w:rPr>
          <w:rtl w:val="true"/>
        </w:rPr>
        <w:t>כשאר שיעורי אוכלים</w:t>
      </w:r>
      <w:r>
        <w:rPr>
          <w:rStyle w:val="FootnoteAnchor"/>
          <w:rtl w:val="true"/>
        </w:rPr>
        <w:footnoteReference w:id="15"/>
      </w:r>
      <w:r>
        <w:rPr>
          <w:rtl w:val="true"/>
        </w:rPr>
        <w:t xml:space="preserve">, </w:t>
      </w:r>
      <w:r>
        <w:rPr>
          <w:rtl w:val="true"/>
        </w:rPr>
        <w:t>אלא כביצה</w:t>
      </w:r>
      <w:r>
        <w:rPr>
          <w:rtl w:val="true"/>
        </w:rPr>
        <w:t xml:space="preserve">. </w:t>
      </w:r>
      <w:r>
        <w:rPr>
          <w:rtl w:val="true"/>
        </w:rPr>
        <w:t>יש שני מקורות שצריכים לזה</w:t>
      </w:r>
      <w:r>
        <w:rPr>
          <w:rtl w:val="true"/>
        </w:rPr>
        <w:t>:</w:t>
      </w:r>
    </w:p>
    <w:p>
      <w:pPr>
        <w:pStyle w:val="TextBody"/>
        <w:numPr>
          <w:ilvl w:val="2"/>
          <w:numId w:val="3"/>
        </w:numPr>
        <w:rPr/>
      </w:pPr>
      <w:r>
        <w:rPr>
          <w:rtl w:val="true"/>
        </w:rPr>
        <w:t>צריכים מקור שכיון שמשמע קרא שאין שיעורו כשיעור של שאר אוכלים</w:t>
      </w:r>
      <w:r>
        <w:rPr>
          <w:rtl w:val="true"/>
        </w:rPr>
        <w:t xml:space="preserve">, </w:t>
      </w:r>
      <w:r>
        <w:rPr>
          <w:rtl w:val="true"/>
        </w:rPr>
        <w:t>אין שיעורו כשיעור של שאר אוכלים</w:t>
      </w:r>
      <w:r>
        <w:rPr>
          <w:rtl w:val="true"/>
        </w:rPr>
        <w:t xml:space="preserve">, </w:t>
      </w:r>
      <w:r>
        <w:rPr>
          <w:rtl w:val="true"/>
        </w:rPr>
        <w:t>אלא הוא חלוק</w:t>
      </w:r>
      <w:r>
        <w:rPr>
          <w:rtl w:val="true"/>
        </w:rPr>
        <w:t>.</w:t>
      </w:r>
    </w:p>
    <w:p>
      <w:pPr>
        <w:pStyle w:val="TextBody"/>
        <w:numPr>
          <w:ilvl w:val="0"/>
          <w:numId w:val="0"/>
        </w:numPr>
        <w:ind w:left="1440" w:hanging="0"/>
        <w:rPr/>
      </w:pPr>
      <w:r>
        <w:rPr>
          <w:rtl w:val="true"/>
        </w:rPr>
        <w:t>לומדים את זה ממה שגבי יוה</w:t>
      </w:r>
      <w:r>
        <w:rPr>
          <w:rtl w:val="true"/>
        </w:rPr>
        <w:t>"</w:t>
      </w:r>
      <w:r>
        <w:rPr>
          <w:rtl w:val="true"/>
        </w:rPr>
        <w:t xml:space="preserve">כ משמע שאין שיעורו כשאר אוכלים </w:t>
      </w:r>
      <w:r>
        <w:rPr>
          <w:rtl w:val="true"/>
        </w:rPr>
        <w:t>(</w:t>
      </w:r>
      <w:r>
        <w:rPr>
          <w:rtl w:val="true"/>
        </w:rPr>
        <w:t>שתולה אותו בעינוי</w:t>
      </w:r>
      <w:r>
        <w:rPr>
          <w:rtl w:val="true"/>
        </w:rPr>
        <w:t xml:space="preserve">), </w:t>
      </w:r>
      <w:r>
        <w:rPr>
          <w:rtl w:val="true"/>
        </w:rPr>
        <w:t>ולכן</w:t>
      </w:r>
      <w:r>
        <w:rPr>
          <w:rtl w:val="true"/>
        </w:rPr>
        <w:t xml:space="preserve">, </w:t>
      </w:r>
      <w:r>
        <w:rPr>
          <w:rtl w:val="true"/>
        </w:rPr>
        <w:t>אף שהוא אכילה</w:t>
      </w:r>
      <w:r>
        <w:rPr>
          <w:rtl w:val="true"/>
        </w:rPr>
        <w:t xml:space="preserve">, </w:t>
      </w:r>
      <w:r>
        <w:rPr>
          <w:rtl w:val="true"/>
        </w:rPr>
        <w:t>אין שיעורו כשאר שיעורי אוכלים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6"/>
      </w:r>
      <w:r>
        <w:rPr>
          <w:rStyle w:val="FootnoteAnchor"/>
          <w:rtl w:val="true"/>
        </w:rPr>
        <w:footnoteReference w:id="17"/>
      </w:r>
    </w:p>
    <w:p>
      <w:pPr>
        <w:pStyle w:val="TextBody"/>
        <w:numPr>
          <w:ilvl w:val="2"/>
          <w:numId w:val="3"/>
        </w:numPr>
        <w:rPr/>
      </w:pPr>
      <w:r>
        <w:rPr>
          <w:rtl w:val="true"/>
        </w:rPr>
        <w:t>צריכים מקור מן הקרא ששיעורו אינו כזית</w:t>
      </w:r>
      <w:r>
        <w:rPr>
          <w:rtl w:val="true"/>
        </w:rPr>
        <w:t xml:space="preserve">, </w:t>
      </w:r>
      <w:r>
        <w:rPr>
          <w:rtl w:val="true"/>
        </w:rPr>
        <w:t>אלא כביצה</w:t>
      </w:r>
      <w:r>
        <w:rPr>
          <w:rtl w:val="true"/>
        </w:rPr>
        <w:t xml:space="preserve">. </w:t>
      </w:r>
      <w:r>
        <w:rPr>
          <w:rtl w:val="true"/>
        </w:rPr>
        <w:t>נותן גמ’ שני מקורות</w:t>
      </w:r>
      <w:r>
        <w:rPr>
          <w:rtl w:val="true"/>
        </w:rPr>
        <w:t>:</w:t>
      </w:r>
    </w:p>
    <w:p>
      <w:pPr>
        <w:pStyle w:val="TextBody"/>
        <w:numPr>
          <w:ilvl w:val="3"/>
          <w:numId w:val="3"/>
        </w:numPr>
        <w:rPr/>
      </w:pPr>
      <w:r>
        <w:rPr>
          <w:rtl w:val="true"/>
        </w:rPr>
        <w:t>אומר</w:t>
      </w:r>
      <w:r>
        <w:rPr>
          <w:rtl w:val="true"/>
        </w:rPr>
        <w:t>, ”</w:t>
      </w:r>
      <w:r>
        <w:rPr>
          <w:rtl w:val="true"/>
        </w:rPr>
        <w:t>מכל האוכל אשר יאכל</w:t>
      </w:r>
      <w:r>
        <w:rPr>
          <w:rtl w:val="true"/>
        </w:rPr>
        <w:t xml:space="preserve">.“ </w:t>
      </w:r>
      <w:r>
        <w:rPr>
          <w:rtl w:val="true"/>
        </w:rPr>
        <w:t xml:space="preserve">מ“מכל האוכל“ דורשים ששיעורו הוא כגודל של אוכל </w:t>
      </w:r>
      <w:r>
        <w:rPr>
          <w:rtl w:val="true"/>
        </w:rPr>
        <w:t>(</w:t>
      </w:r>
      <w:r>
        <w:rPr>
          <w:rtl w:val="true"/>
        </w:rPr>
        <w:t>שראוי ליאכל מיד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) </w:t>
      </w:r>
      <w:r>
        <w:rPr>
          <w:rtl w:val="true"/>
        </w:rPr>
        <w:t>שבא מאוכל אחר</w:t>
      </w:r>
      <w:r>
        <w:rPr>
          <w:rtl w:val="true"/>
        </w:rPr>
        <w:t xml:space="preserve">. </w:t>
      </w:r>
      <w:r>
        <w:rPr>
          <w:rtl w:val="true"/>
        </w:rPr>
        <w:t>כיון שתופסים מועט שיכולים לתפוס</w:t>
      </w:r>
      <w:r>
        <w:rPr>
          <w:rtl w:val="true"/>
        </w:rPr>
        <w:t xml:space="preserve">, </w:t>
      </w:r>
      <w:r>
        <w:rPr>
          <w:rtl w:val="true"/>
        </w:rPr>
        <w:t>מניחים שהוא שיעור של ביצה</w:t>
      </w:r>
      <w:r>
        <w:rPr>
          <w:rtl w:val="true"/>
        </w:rPr>
        <w:t xml:space="preserve">, </w:t>
      </w:r>
      <w:r>
        <w:rPr>
          <w:rtl w:val="true"/>
        </w:rPr>
        <w:t>שהוא אוכל שבא מאוכל אחר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>.</w:t>
      </w:r>
    </w:p>
    <w:p>
      <w:pPr>
        <w:pStyle w:val="TextBody"/>
        <w:numPr>
          <w:ilvl w:val="3"/>
          <w:numId w:val="3"/>
        </w:numPr>
        <w:rPr/>
      </w:pPr>
      <w:r>
        <w:rPr>
          <w:rtl w:val="true"/>
        </w:rPr>
        <w:t>אומר</w:t>
      </w:r>
      <w:r>
        <w:rPr>
          <w:rtl w:val="true"/>
        </w:rPr>
        <w:t>, "</w:t>
      </w:r>
      <w:r>
        <w:rPr>
          <w:rtl w:val="true"/>
        </w:rPr>
        <w:t>מכל האוכל</w:t>
      </w:r>
      <w:r>
        <w:rPr>
          <w:rtl w:val="true"/>
        </w:rPr>
        <w:t xml:space="preserve">,“ </w:t>
      </w:r>
      <w:r>
        <w:rPr>
          <w:rtl w:val="true"/>
        </w:rPr>
        <w:t>שמשמע שהוא כל מה שיכול לאכול בזמן אחת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 </w:t>
      </w:r>
      <w:r>
        <w:rPr>
          <w:rtl w:val="true"/>
        </w:rPr>
        <w:t xml:space="preserve">בית הבליעה </w:t>
      </w:r>
      <w:r>
        <w:rPr>
          <w:rtl w:val="true"/>
        </w:rPr>
        <w:t>(</w:t>
      </w:r>
      <w:r>
        <w:rPr>
          <w:rtl w:val="true"/>
        </w:rPr>
        <w:t>מקום שבו בולע ואוכל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 xml:space="preserve">) </w:t>
      </w:r>
      <w:r>
        <w:rPr>
          <w:rtl w:val="true"/>
        </w:rPr>
        <w:t>רק אוחז כביצה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לומדים ששיעור טומאת אוכלים הוא כביצה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כ’ שלצד זה</w:t>
      </w:r>
      <w:r>
        <w:rPr>
          <w:rtl w:val="true"/>
        </w:rPr>
        <w:t xml:space="preserve">, </w:t>
      </w:r>
      <w:r>
        <w:rPr>
          <w:rtl w:val="true"/>
        </w:rPr>
        <w:t>יוצא שגרעין הוא גדול ככותבת בלי גרעין</w:t>
      </w:r>
      <w:r>
        <w:rPr>
          <w:rtl w:val="true"/>
        </w:rPr>
        <w:t xml:space="preserve">. </w:t>
      </w:r>
      <w:r>
        <w:rPr>
          <w:rtl w:val="true"/>
        </w:rPr>
        <w:t>יש לדון אם מציאות זה נכון לצד החולק</w:t>
      </w:r>
      <w:r>
        <w:rPr>
          <w:rtl w:val="true"/>
        </w:rPr>
        <w:t xml:space="preserve">. </w:t>
      </w:r>
      <w:r>
        <w:rPr>
          <w:rtl w:val="true"/>
        </w:rPr>
        <w:t>כיון שמציאות הוא</w:t>
      </w:r>
      <w:r>
        <w:rPr>
          <w:rtl w:val="true"/>
        </w:rPr>
        <w:t xml:space="preserve">, </w:t>
      </w:r>
      <w:r>
        <w:rPr>
          <w:rtl w:val="true"/>
        </w:rPr>
        <w:t>מסתמא הוא נכון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שם</w:t>
      </w:r>
      <w:r>
        <w:rPr>
          <w:rtl w:val="true"/>
        </w:rPr>
        <w:t xml:space="preserve">. </w:t>
      </w:r>
      <w:r>
        <w:rPr>
          <w:rtl w:val="true"/>
        </w:rPr>
        <w:t>היה אפשר לפרש בגמרא שרב אשי סובר שגסות של הכותבת הוא גרעין שלו</w:t>
      </w:r>
      <w:r>
        <w:rPr>
          <w:rtl w:val="true"/>
        </w:rPr>
        <w:t xml:space="preserve">, </w:t>
      </w:r>
      <w:r>
        <w:rPr>
          <w:rtl w:val="true"/>
        </w:rPr>
        <w:t>ואז אומר שהשיעור הוא כותבת הרגיל עם גרעין שלו</w:t>
      </w:r>
      <w:r>
        <w:rPr>
          <w:rtl w:val="true"/>
        </w:rPr>
        <w:t xml:space="preserve">. </w:t>
      </w:r>
      <w:r>
        <w:rPr>
          <w:rtl w:val="true"/>
        </w:rPr>
        <w:t>נראה שזה דחוק בלשון גמרא</w:t>
      </w:r>
      <w:r>
        <w:rPr>
          <w:rtl w:val="true"/>
        </w:rPr>
        <w:t>. (</w:t>
      </w:r>
      <w:r>
        <w:rPr>
          <w:rtl w:val="true"/>
        </w:rPr>
        <w:t>גם יש להעיר שאם נניח שחולקים אם גרעין הוא גדול כשיעור גרעין</w:t>
      </w:r>
      <w:r>
        <w:rPr>
          <w:rtl w:val="true"/>
        </w:rPr>
        <w:t xml:space="preserve">, </w:t>
      </w:r>
      <w:r>
        <w:rPr>
          <w:rtl w:val="true"/>
        </w:rPr>
        <w:t>אז מוכרח נגד 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קצת יותר טוב בלשון תירוץ גמרא לקושיה על מי שאומר שכביצה פחות מכותבת אם נאמר כן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אומר כן על הצד שכותבת הגסה הוא כותבת הגסה עם הגרעין שלו</w:t>
      </w:r>
      <w:r>
        <w:rPr>
          <w:rtl w:val="true"/>
        </w:rPr>
        <w:t xml:space="preserve">. </w:t>
      </w:r>
      <w:r>
        <w:rPr>
          <w:rtl w:val="true"/>
        </w:rPr>
        <w:t>יש לדון אם זה אפשר לפי הצד האחר</w:t>
      </w:r>
      <w:r>
        <w:rPr>
          <w:rtl w:val="true"/>
        </w:rPr>
        <w:t xml:space="preserve">. </w:t>
      </w:r>
      <w:r>
        <w:rPr>
          <w:rtl w:val="true"/>
        </w:rPr>
        <w:t>כמו כן יש לדון לצד החולק</w:t>
      </w:r>
      <w:r>
        <w:rPr>
          <w:rtl w:val="true"/>
        </w:rPr>
        <w:t xml:space="preserve">, </w:t>
      </w:r>
      <w:r>
        <w:rPr>
          <w:rtl w:val="true"/>
        </w:rPr>
        <w:t>אבל לא נראה ששניהם הם רק לפי צד אחד</w:t>
      </w:r>
      <w:r>
        <w:rPr>
          <w:rtl w:val="true"/>
        </w:rPr>
        <w:t xml:space="preserve">, </w:t>
      </w:r>
      <w:r>
        <w:rPr>
          <w:rtl w:val="true"/>
        </w:rPr>
        <w:t>שאז חולקים עם כותבת כולל גרעין</w:t>
      </w:r>
      <w:r>
        <w:rPr>
          <w:rtl w:val="true"/>
        </w:rPr>
        <w:t xml:space="preserve">, </w:t>
      </w:r>
      <w:r>
        <w:rPr>
          <w:rtl w:val="true"/>
        </w:rPr>
        <w:t>ולא אם גדול מכביצה הוא</w:t>
      </w:r>
      <w:r>
        <w:rPr>
          <w:rtl w:val="true"/>
        </w:rPr>
        <w:t xml:space="preserve">, </w:t>
      </w:r>
      <w:r>
        <w:rPr>
          <w:rtl w:val="true"/>
        </w:rPr>
        <w:t>והיה לו לגמרא לפרש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פירש מחלקתם על פי הראיות שיביא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שלא באר גמ’ שתלוי בשאלה ששאל לפני הבאת מחלקתם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שהרי לא אכל את הגרעין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שזה מפני שבכותבת הגסה</w:t>
      </w:r>
      <w:r>
        <w:rPr>
          <w:rtl w:val="true"/>
        </w:rPr>
        <w:t xml:space="preserve">, </w:t>
      </w:r>
      <w:r>
        <w:rPr>
          <w:rtl w:val="true"/>
        </w:rPr>
        <w:t>יש גרעין</w:t>
      </w:r>
      <w:r>
        <w:rPr>
          <w:rtl w:val="true"/>
        </w:rPr>
        <w:t xml:space="preserve">, </w:t>
      </w:r>
      <w:r>
        <w:rPr>
          <w:rtl w:val="true"/>
        </w:rPr>
        <w:t>אבל בשני כותבות אין גרעינים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אומר שנים אלו ביחד</w:t>
      </w:r>
      <w:r>
        <w:rPr>
          <w:rtl w:val="true"/>
        </w:rPr>
        <w:t xml:space="preserve">, </w:t>
      </w:r>
      <w:r>
        <w:rPr>
          <w:rtl w:val="true"/>
        </w:rPr>
        <w:t>שאומר שאולי כותבת הגסה חלוק מכותבת</w:t>
      </w:r>
      <w:r>
        <w:rPr>
          <w:rtl w:val="true"/>
        </w:rPr>
        <w:t xml:space="preserve">, </w:t>
      </w:r>
      <w:r>
        <w:rPr>
          <w:rtl w:val="true"/>
        </w:rPr>
        <w:t>ואז יש לומר ששווה לכביצה</w:t>
      </w:r>
      <w:r>
        <w:rPr>
          <w:rtl w:val="true"/>
        </w:rPr>
        <w:t xml:space="preserve">. </w:t>
      </w:r>
      <w:r>
        <w:rPr>
          <w:rtl w:val="true"/>
        </w:rPr>
        <w:t>צריך ביאור למה יצרף את שנים אלו לתירוץ אחת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כתבנו את שניהם לשני תירוצים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יש שגורסים כמה שכתבנו</w:t>
      </w:r>
      <w:r>
        <w:rPr>
          <w:rtl w:val="true"/>
        </w:rPr>
        <w:t xml:space="preserve">. </w:t>
      </w:r>
      <w:r>
        <w:rPr>
          <w:rtl w:val="true"/>
        </w:rPr>
        <w:t>עיין בגליון הש“ס</w:t>
      </w:r>
      <w:r>
        <w:rPr>
          <w:rtl w:val="true"/>
        </w:rPr>
        <w:t>.)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כל כך פשוט לי כלל</w:t>
      </w:r>
      <w:r>
        <w:rPr>
          <w:rtl w:val="true"/>
        </w:rPr>
        <w:t xml:space="preserve">, </w:t>
      </w: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מגמ’ מבואר ג“כ שמח’ שלהם הוא רק מדרבנן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שקראי אינם המקור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שרק מביא ראיה ממה שיכול להביא את זה לאסמכתא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כן כל כך מגמ’ בסוף פרק שני של ברכות ובפרק רביעי של פסחים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הראיה לזה הוא שלא אומר שזהו החילוק בין רבי אליעזר לבית הלל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שבגמ’ כאן כתוב</w:t>
      </w:r>
      <w:r>
        <w:rPr>
          <w:rtl w:val="true"/>
        </w:rPr>
        <w:t>, ”</w:t>
      </w:r>
      <w:r>
        <w:rPr>
          <w:rtl w:val="true"/>
        </w:rPr>
        <w:t>כדי גמיעה</w:t>
      </w:r>
      <w:r>
        <w:rPr>
          <w:rtl w:val="true"/>
        </w:rPr>
        <w:t xml:space="preserve">,“ </w:t>
      </w:r>
      <w:r>
        <w:rPr>
          <w:rtl w:val="true"/>
        </w:rPr>
        <w:t xml:space="preserve">צריך לציין לגמ’ בשבת </w:t>
      </w:r>
      <w:r>
        <w:rPr>
          <w:rtl w:val="true"/>
        </w:rPr>
        <w:t>(</w:t>
      </w:r>
      <w:r>
        <w:rPr>
          <w:rtl w:val="true"/>
        </w:rPr>
        <w:t>עז</w:t>
      </w:r>
      <w:r>
        <w:rPr>
          <w:rtl w:val="true"/>
        </w:rPr>
        <w:t xml:space="preserve">.) </w:t>
      </w:r>
      <w:r>
        <w:rPr>
          <w:rtl w:val="true"/>
        </w:rPr>
        <w:t>שמפרש שהוא ”כדי גמיאה</w:t>
      </w:r>
      <w:r>
        <w:rPr>
          <w:rtl w:val="true"/>
        </w:rPr>
        <w:t xml:space="preserve">,“ </w:t>
      </w:r>
      <w:r>
        <w:rPr>
          <w:rtl w:val="true"/>
        </w:rPr>
        <w:t>ובא מלשון</w:t>
      </w:r>
      <w:r>
        <w:rPr>
          <w:rtl w:val="true"/>
        </w:rPr>
        <w:t>, ”</w:t>
      </w:r>
      <w:r>
        <w:rPr>
          <w:rtl w:val="true"/>
        </w:rPr>
        <w:t>הגמיאיני מעט מים מכדך</w:t>
      </w:r>
      <w:r>
        <w:rPr>
          <w:rtl w:val="true"/>
        </w:rPr>
        <w:t>.“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שיעור זה אינו ברור לי</w:t>
      </w:r>
      <w:r>
        <w:rPr>
          <w:rtl w:val="true"/>
        </w:rPr>
        <w:t xml:space="preserve">. </w:t>
      </w:r>
      <w:r>
        <w:rPr>
          <w:rtl w:val="true"/>
        </w:rPr>
        <w:t xml:space="preserve">על אותו קרא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שלשון גמיאה בא מקרא</w:t>
      </w:r>
      <w:r>
        <w:rPr>
          <w:rtl w:val="true"/>
        </w:rPr>
        <w:t xml:space="preserve">), </w:t>
      </w:r>
      <w:r>
        <w:rPr>
          <w:rtl w:val="true"/>
        </w:rPr>
        <w:t>כ’ אונקלוס לשון השקאה</w:t>
      </w:r>
      <w:r>
        <w:rPr>
          <w:rtl w:val="true"/>
        </w:rPr>
        <w:t>. (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שיש גורסים לשון טעימה</w:t>
      </w:r>
      <w:r>
        <w:rPr>
          <w:rtl w:val="true"/>
        </w:rPr>
        <w:t xml:space="preserve">.) </w:t>
      </w:r>
      <w:r>
        <w:rPr>
          <w:rtl w:val="true"/>
        </w:rPr>
        <w:t>צריך ביאור מהו אותו שיעור</w:t>
      </w:r>
      <w:r>
        <w:rPr>
          <w:rtl w:val="true"/>
        </w:rPr>
        <w:t>. (</w:t>
      </w:r>
      <w:r>
        <w:rPr>
          <w:rtl w:val="true"/>
        </w:rPr>
        <w:t xml:space="preserve">ראיתי בחומש תורת חיים שממשנה בשבת </w:t>
      </w:r>
      <w:r>
        <w:rPr>
          <w:rtl w:val="true"/>
        </w:rPr>
        <w:t>(</w:t>
      </w:r>
      <w:r>
        <w:rPr>
          <w:rtl w:val="true"/>
        </w:rPr>
        <w:t>עו</w:t>
      </w:r>
      <w:r>
        <w:rPr>
          <w:rtl w:val="true"/>
        </w:rPr>
        <w:t xml:space="preserve">:) </w:t>
      </w:r>
      <w:r>
        <w:rPr>
          <w:rtl w:val="true"/>
        </w:rPr>
        <w:t>מבואר ששיעור גמיאה הוא פחות משיעור רביעית</w:t>
      </w:r>
      <w:r>
        <w:rPr>
          <w:rtl w:val="true"/>
        </w:rPr>
        <w:t>.)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עיין במשנה בשבת </w:t>
      </w:r>
      <w:r>
        <w:rPr>
          <w:rtl w:val="true"/>
        </w:rPr>
        <w:t>(</w:t>
      </w:r>
      <w:r>
        <w:rPr>
          <w:rtl w:val="true"/>
        </w:rPr>
        <w:t>עו</w:t>
      </w:r>
      <w:r>
        <w:rPr>
          <w:rtl w:val="true"/>
        </w:rPr>
        <w:t xml:space="preserve">:), </w:t>
      </w:r>
      <w:r>
        <w:rPr>
          <w:rtl w:val="true"/>
        </w:rPr>
        <w:t>שקצת משמע שלעולם הוא יותר קטן מרביעית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משמע שהוא שיעור קבוע</w:t>
      </w:r>
      <w:r>
        <w:rPr>
          <w:rtl w:val="true"/>
        </w:rPr>
        <w:t xml:space="preserve">, </w:t>
      </w:r>
      <w:r>
        <w:rPr>
          <w:rtl w:val="true"/>
        </w:rPr>
        <w:t>שאילו היה שיעוק שתלוי בכל אדם</w:t>
      </w:r>
      <w:r>
        <w:rPr>
          <w:rtl w:val="true"/>
        </w:rPr>
        <w:t xml:space="preserve">, </w:t>
      </w:r>
      <w:r>
        <w:rPr>
          <w:rtl w:val="true"/>
        </w:rPr>
        <w:t>מסתמא היה אחד שבסוף העולם שהוא גדול עד שהוא יותר גדול מרביעית</w:t>
      </w:r>
      <w:r>
        <w:rPr>
          <w:rtl w:val="true"/>
        </w:rPr>
        <w:t xml:space="preserve">. </w:t>
      </w:r>
      <w:r>
        <w:rPr>
          <w:rtl w:val="true"/>
        </w:rPr>
        <w:t>יש לדחות את המשמעות</w:t>
      </w:r>
      <w:r>
        <w:rPr>
          <w:rtl w:val="true"/>
        </w:rPr>
        <w:t xml:space="preserve">, </w:t>
      </w:r>
      <w:r>
        <w:rPr>
          <w:rtl w:val="true"/>
        </w:rPr>
        <w:t>שהמשמעות הוא שאז יהיה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השיעור רביעית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ומשנה לא הזכירו כיון שהוא פשוט או כיון שלא מצוי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גם אפשר לחלק בין דיני שבת לדיני יה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ואולי בזה קבוע ובזה תלוי על היאש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מה שאומר אותו שיעור</w:t>
      </w:r>
      <w:r>
        <w:rPr>
          <w:rtl w:val="true"/>
        </w:rPr>
        <w:t xml:space="preserve">, </w:t>
      </w:r>
      <w:r>
        <w:rPr>
          <w:rtl w:val="true"/>
        </w:rPr>
        <w:t>ולא מפרש</w:t>
      </w:r>
      <w:r>
        <w:rPr>
          <w:rtl w:val="true"/>
        </w:rPr>
        <w:t xml:space="preserve">, </w:t>
      </w:r>
      <w:r>
        <w:rPr>
          <w:rtl w:val="true"/>
        </w:rPr>
        <w:t>קצת משמע שהם שווים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כיון שעיקרם של הדינים הם חלוקים מאד</w:t>
      </w:r>
      <w:r>
        <w:rPr>
          <w:rtl w:val="true"/>
        </w:rPr>
        <w:t xml:space="preserve">, </w:t>
      </w:r>
      <w:r>
        <w:rPr>
          <w:rtl w:val="true"/>
        </w:rPr>
        <w:t>לא צריך לפרש שהשיעורים יימצאו חלוקים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להקדים קצת</w:t>
      </w:r>
      <w:r>
        <w:rPr>
          <w:rtl w:val="true"/>
        </w:rPr>
        <w:t xml:space="preserve">: </w:t>
      </w:r>
      <w:r>
        <w:rPr>
          <w:rtl w:val="true"/>
        </w:rPr>
        <w:t>מצאנו מדאו’ שיש טומאה לאוכלים</w:t>
      </w:r>
      <w:r>
        <w:rPr>
          <w:rtl w:val="true"/>
        </w:rPr>
        <w:t xml:space="preserve">. </w:t>
      </w:r>
      <w:r>
        <w:rPr>
          <w:rtl w:val="true"/>
        </w:rPr>
        <w:t>חולקים שני לשונות ברש</w:t>
      </w:r>
      <w:r>
        <w:rPr>
          <w:rtl w:val="true"/>
        </w:rPr>
        <w:t>"</w:t>
      </w:r>
      <w:r>
        <w:rPr>
          <w:rtl w:val="true"/>
        </w:rPr>
        <w:t xml:space="preserve">י בפסחים אם יש לאותו טומאה שיעור של כביצה או לא </w:t>
      </w:r>
      <w:r>
        <w:rPr>
          <w:rtl w:val="true"/>
        </w:rPr>
        <w:t>(</w:t>
      </w:r>
      <w:r>
        <w:rPr>
          <w:rtl w:val="true"/>
        </w:rPr>
        <w:t>וכל שהוא נטמא</w:t>
      </w:r>
      <w:r>
        <w:rPr>
          <w:rtl w:val="true"/>
        </w:rPr>
        <w:t xml:space="preserve">).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בדרך כלל נוקט כשיטה שניה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שיעור של טומאה הוא לדין אחר</w:t>
      </w:r>
      <w:r>
        <w:rPr>
          <w:rtl w:val="true"/>
        </w:rPr>
        <w:t xml:space="preserve">, </w:t>
      </w:r>
      <w:r>
        <w:rPr>
          <w:rtl w:val="true"/>
        </w:rPr>
        <w:t>והוא לא מה שאוכלים נטמאים</w:t>
      </w:r>
      <w:r>
        <w:rPr>
          <w:rtl w:val="true"/>
        </w:rPr>
        <w:t xml:space="preserve">, </w:t>
      </w:r>
      <w:r>
        <w:rPr>
          <w:rtl w:val="true"/>
        </w:rPr>
        <w:t>אלא מה שאוכלים מטמאים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נבאר קצת דין שאוכלים מטמאים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נראה שאותו דין אינו כל כך פשוט</w:t>
      </w:r>
      <w:r>
        <w:rPr>
          <w:rtl w:val="true"/>
        </w:rPr>
        <w:t xml:space="preserve">. </w:t>
      </w:r>
      <w:r>
        <w:rPr>
          <w:rtl w:val="true"/>
        </w:rPr>
        <w:t>מגמ’ בפסחים יוצא שמדאו’</w:t>
      </w:r>
      <w:r>
        <w:rPr>
          <w:rtl w:val="true"/>
        </w:rPr>
        <w:t xml:space="preserve">, </w:t>
      </w:r>
      <w:r>
        <w:rPr>
          <w:rtl w:val="true"/>
        </w:rPr>
        <w:t>אוכלים רק מטמאים משקים</w:t>
      </w:r>
      <w:r>
        <w:rPr>
          <w:rtl w:val="true"/>
        </w:rPr>
        <w:t>. (</w:t>
      </w:r>
      <w:r>
        <w:rPr>
          <w:rtl w:val="true"/>
        </w:rPr>
        <w:t>איני יודע אם אוכלים מטמאים אוכלים מדרבנן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כשקרא אומר שמטמא</w:t>
      </w:r>
      <w:r>
        <w:rPr>
          <w:rtl w:val="true"/>
        </w:rPr>
        <w:t xml:space="preserve">, </w:t>
      </w:r>
      <w:r>
        <w:rPr>
          <w:rtl w:val="true"/>
        </w:rPr>
        <w:t>מדבר במה שמטמא משקין</w:t>
      </w:r>
      <w:r>
        <w:rPr>
          <w:rtl w:val="true"/>
        </w:rPr>
        <w:t xml:space="preserve">. </w:t>
      </w:r>
      <w:r>
        <w:rPr>
          <w:rtl w:val="true"/>
        </w:rPr>
        <w:t xml:space="preserve">מצאנו תנא </w:t>
      </w:r>
      <w:r>
        <w:rPr>
          <w:rtl w:val="true"/>
        </w:rPr>
        <w:t>(</w:t>
      </w:r>
      <w:r>
        <w:rPr>
          <w:rtl w:val="true"/>
        </w:rPr>
        <w:t>רבי אלעזר</w:t>
      </w:r>
      <w:r>
        <w:rPr>
          <w:rtl w:val="true"/>
        </w:rPr>
        <w:t xml:space="preserve">) </w:t>
      </w:r>
      <w:r>
        <w:rPr>
          <w:rtl w:val="true"/>
        </w:rPr>
        <w:t>שסובר שאין משקים נטמאים מדאו’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שאין דבר שאוכלים מטמא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שאוכלים אין מטמאים כלום מדאו’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אם סובר שיש שיעור כלל</w:t>
      </w:r>
      <w:r>
        <w:rPr>
          <w:rtl w:val="true"/>
        </w:rPr>
        <w:t xml:space="preserve">. </w:t>
      </w:r>
      <w:r>
        <w:rPr>
          <w:rtl w:val="true"/>
        </w:rPr>
        <w:t>אפשר שבהכרח דורש אותו קרא להיות שיעור שבו נטמא</w:t>
      </w:r>
      <w:r>
        <w:rPr>
          <w:rtl w:val="true"/>
        </w:rPr>
        <w:t xml:space="preserve">. </w:t>
      </w:r>
      <w:r>
        <w:rPr>
          <w:rtl w:val="true"/>
        </w:rPr>
        <w:t>גם אפשר שלצד ברש</w:t>
      </w:r>
      <w:r>
        <w:rPr>
          <w:rtl w:val="true"/>
        </w:rPr>
        <w:t>"</w:t>
      </w:r>
      <w:r>
        <w:rPr>
          <w:rtl w:val="true"/>
        </w:rPr>
        <w:t>י שלא סובר כן</w:t>
      </w:r>
      <w:r>
        <w:rPr>
          <w:rtl w:val="true"/>
        </w:rPr>
        <w:t xml:space="preserve">, </w:t>
      </w:r>
      <w:r>
        <w:rPr>
          <w:rtl w:val="true"/>
        </w:rPr>
        <w:t>בהכרח לא דורש קרא זה כלל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מטמא בפחות מכביצה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חידוש נורא</w:t>
      </w:r>
      <w:r>
        <w:rPr>
          <w:rtl w:val="true"/>
        </w:rPr>
        <w:t xml:space="preserve">, </w:t>
      </w:r>
      <w:r>
        <w:rPr>
          <w:rtl w:val="true"/>
        </w:rPr>
        <w:t>שלא מצאנו תנא שסובר כן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שזה רק בטומאה שבא על ידי מגע</w:t>
      </w:r>
      <w:r>
        <w:rPr>
          <w:rtl w:val="true"/>
        </w:rPr>
        <w:t xml:space="preserve">, </w:t>
      </w:r>
      <w:r>
        <w:rPr>
          <w:rtl w:val="true"/>
        </w:rPr>
        <w:t>שכך מטמאים אוכלים</w:t>
      </w:r>
      <w:r>
        <w:rPr>
          <w:rtl w:val="true"/>
        </w:rPr>
        <w:t xml:space="preserve">, </w:t>
      </w:r>
      <w:r>
        <w:rPr>
          <w:rtl w:val="true"/>
        </w:rPr>
        <w:t>אבל לא טומאה שבא על ידי משא או אהל או אכילה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מדרבנן</w:t>
      </w:r>
      <w:r>
        <w:rPr>
          <w:rtl w:val="true"/>
        </w:rPr>
        <w:t xml:space="preserve">, </w:t>
      </w:r>
      <w:r>
        <w:rPr>
          <w:rtl w:val="true"/>
        </w:rPr>
        <w:t>מטמא על ידי אכילה</w:t>
      </w:r>
      <w:r>
        <w:rPr>
          <w:rtl w:val="true"/>
        </w:rPr>
        <w:t xml:space="preserve">, </w:t>
      </w:r>
      <w:r>
        <w:rPr>
          <w:rtl w:val="true"/>
        </w:rPr>
        <w:t>אם אוכל חצי פרס בכדי אכילת פרס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שיש לדון קצת למה זהו ההו“א</w:t>
      </w:r>
      <w:r>
        <w:rPr>
          <w:rtl w:val="true"/>
        </w:rPr>
        <w:t xml:space="preserve">, </w:t>
      </w:r>
      <w:r>
        <w:rPr>
          <w:rtl w:val="true"/>
        </w:rPr>
        <w:t>כיון שאין זה השיעור שבו נטמא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זהו השיעור שבו נטמא</w:t>
      </w:r>
      <w:r>
        <w:rPr>
          <w:rtl w:val="true"/>
        </w:rPr>
        <w:t xml:space="preserve">, </w:t>
      </w:r>
      <w:r>
        <w:rPr>
          <w:rtl w:val="true"/>
        </w:rPr>
        <w:t>וכשרשי כ’ שאינו צריך להיות כביצה</w:t>
      </w:r>
      <w:r>
        <w:rPr>
          <w:rtl w:val="true"/>
        </w:rPr>
        <w:t xml:space="preserve">, </w:t>
      </w:r>
      <w:r>
        <w:rPr>
          <w:rtl w:val="true"/>
        </w:rPr>
        <w:t>רק ר</w:t>
      </w:r>
      <w:r>
        <w:rPr>
          <w:rtl w:val="true"/>
        </w:rPr>
        <w:t>"</w:t>
      </w:r>
      <w:r>
        <w:rPr>
          <w:rtl w:val="true"/>
        </w:rPr>
        <w:t>ל שעדיין צריך להיות כזית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אני חושב שכן הוא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קצת יש לדון מהו בכלל ”שיעורי אוכלים</w:t>
      </w:r>
      <w:r>
        <w:rPr>
          <w:rtl w:val="true"/>
        </w:rPr>
        <w:t xml:space="preserve">,“ </w:t>
      </w:r>
      <w:r>
        <w:rPr>
          <w:rtl w:val="true"/>
        </w:rPr>
        <w:t>שאינו דבר שלו צריך אכילה</w:t>
      </w:r>
      <w:r>
        <w:rPr>
          <w:rtl w:val="true"/>
        </w:rPr>
        <w:t xml:space="preserve">, </w:t>
      </w:r>
      <w:r>
        <w:rPr>
          <w:rtl w:val="true"/>
        </w:rPr>
        <w:t>שהרי לטומאת אוכלים לא צריכים אכילה</w:t>
      </w:r>
      <w:r>
        <w:rPr>
          <w:rtl w:val="true"/>
        </w:rPr>
        <w:t xml:space="preserve">, </w:t>
      </w:r>
      <w:r>
        <w:rPr>
          <w:rtl w:val="true"/>
        </w:rPr>
        <w:t>ואינו דבר שבו כתוב אכילה</w:t>
      </w:r>
      <w:r>
        <w:rPr>
          <w:rtl w:val="true"/>
        </w:rPr>
        <w:t xml:space="preserve">, </w:t>
      </w:r>
      <w:r>
        <w:rPr>
          <w:rtl w:val="true"/>
        </w:rPr>
        <w:t>שביוה“כ לא כ’ אכילה</w:t>
      </w:r>
      <w:r>
        <w:rPr>
          <w:rtl w:val="true"/>
        </w:rPr>
        <w:t xml:space="preserve">. </w:t>
      </w:r>
      <w:r>
        <w:rPr>
          <w:rtl w:val="true"/>
        </w:rPr>
        <w:t>אולי הוא כל שיש בו אחד מאלו</w:t>
      </w:r>
      <w:r>
        <w:rPr>
          <w:rtl w:val="true"/>
        </w:rPr>
        <w:t xml:space="preserve">. </w:t>
      </w:r>
      <w:r>
        <w:rPr>
          <w:rtl w:val="true"/>
        </w:rPr>
        <w:t>גם אפשר שהוא אחד שלדינו צריך מאכל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אומר את זה למקור</w:t>
      </w:r>
      <w:r>
        <w:rPr>
          <w:rtl w:val="true"/>
        </w:rPr>
        <w:t xml:space="preserve">, </w:t>
      </w:r>
      <w:r>
        <w:rPr>
          <w:rtl w:val="true"/>
        </w:rPr>
        <w:t>אבל קצת יש לדון איך יכול להיות מקור</w:t>
      </w:r>
      <w:r>
        <w:rPr>
          <w:rtl w:val="true"/>
        </w:rPr>
        <w:t xml:space="preserve">, </w:t>
      </w: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עליו עצמו</w:t>
      </w:r>
      <w:r>
        <w:rPr>
          <w:rtl w:val="true"/>
        </w:rPr>
        <w:t xml:space="preserve">, </w:t>
      </w:r>
      <w:r>
        <w:rPr>
          <w:rtl w:val="true"/>
        </w:rPr>
        <w:t>יש לדון איך יודעים ששיעורו אינו כזית</w:t>
      </w:r>
      <w:r>
        <w:rPr>
          <w:rtl w:val="true"/>
        </w:rPr>
        <w:t xml:space="preserve">, </w:t>
      </w:r>
      <w:r>
        <w:rPr>
          <w:rtl w:val="true"/>
        </w:rPr>
        <w:t>כשיעור של שאר מאכלים</w:t>
      </w:r>
      <w:r>
        <w:rPr>
          <w:rtl w:val="true"/>
        </w:rPr>
        <w:t xml:space="preserve">. </w:t>
      </w:r>
      <w:r>
        <w:rPr>
          <w:rtl w:val="true"/>
        </w:rPr>
        <w:t>אפשר שאין הכי נמי</w:t>
      </w:r>
      <w:r>
        <w:rPr>
          <w:rtl w:val="true"/>
        </w:rPr>
        <w:t xml:space="preserve">, </w:t>
      </w:r>
      <w:r>
        <w:rPr>
          <w:rtl w:val="true"/>
        </w:rPr>
        <w:t>אינו מקור לרבנן</w:t>
      </w:r>
      <w:r>
        <w:rPr>
          <w:rtl w:val="true"/>
        </w:rPr>
        <w:t xml:space="preserve">, </w:t>
      </w:r>
      <w:r>
        <w:rPr>
          <w:rtl w:val="true"/>
        </w:rPr>
        <w:t>אבל הוא מקור לנו</w:t>
      </w:r>
      <w:r>
        <w:rPr>
          <w:rtl w:val="true"/>
        </w:rPr>
        <w:t xml:space="preserve">, </w:t>
      </w:r>
      <w:r>
        <w:rPr>
          <w:rtl w:val="true"/>
        </w:rPr>
        <w:t>שיודעים את המשנה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שמשניות אומרות </w:t>
      </w:r>
      <w:r>
        <w:rPr>
          <w:rtl w:val="true"/>
        </w:rPr>
        <w:t>(</w:t>
      </w:r>
      <w:r>
        <w:rPr>
          <w:rtl w:val="true"/>
        </w:rPr>
        <w:t>כן אני חושב</w:t>
      </w:r>
      <w:r>
        <w:rPr>
          <w:rtl w:val="true"/>
        </w:rPr>
        <w:t xml:space="preserve">) </w:t>
      </w:r>
      <w:r>
        <w:rPr>
          <w:rtl w:val="true"/>
        </w:rPr>
        <w:t>ששיעור טומאת אוכל הוא כביצה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לא אומרות כן</w:t>
      </w:r>
      <w:r>
        <w:rPr>
          <w:rtl w:val="true"/>
        </w:rPr>
        <w:t xml:space="preserve">.) </w:t>
      </w:r>
      <w:r>
        <w:rPr>
          <w:rtl w:val="true"/>
        </w:rPr>
        <w:t>יותר נראה לומר שהוא מקור</w:t>
      </w:r>
      <w:r>
        <w:rPr>
          <w:rtl w:val="true"/>
        </w:rPr>
        <w:t xml:space="preserve">, </w:t>
      </w:r>
      <w:r>
        <w:rPr>
          <w:rtl w:val="true"/>
        </w:rPr>
        <w:t>והוא שלא מסתבר ששינה תורה בלשונו שני פעמים</w:t>
      </w:r>
      <w:r>
        <w:rPr>
          <w:rtl w:val="true"/>
        </w:rPr>
        <w:t xml:space="preserve">, </w:t>
      </w:r>
      <w:r>
        <w:rPr>
          <w:rtl w:val="true"/>
        </w:rPr>
        <w:t>ולא כוון שיהיה דווקא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שדווקא היה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ששינוי שאמר גבי יוה</w:t>
      </w:r>
      <w:r>
        <w:rPr>
          <w:rtl w:val="true"/>
        </w:rPr>
        <w:t>"</w:t>
      </w:r>
      <w:r>
        <w:rPr>
          <w:rtl w:val="true"/>
        </w:rPr>
        <w:t xml:space="preserve">כ הוא יותר קשה לומר שהוא לאו דווקא </w:t>
      </w:r>
      <w:r>
        <w:rPr>
          <w:rtl w:val="true"/>
        </w:rPr>
        <w:t>(</w:t>
      </w:r>
      <w:r>
        <w:rPr>
          <w:rtl w:val="true"/>
        </w:rPr>
        <w:t>אולי הוא מפני שיותר השמיע שיעור אחר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רואים שיש אוכל שאין בו שיעור של אכילה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שלמסקנא לא צריכים נקודה זאת</w:t>
      </w:r>
      <w:r>
        <w:rPr>
          <w:rtl w:val="true"/>
        </w:rPr>
        <w:t xml:space="preserve">, </w:t>
      </w:r>
      <w:r>
        <w:rPr>
          <w:rtl w:val="true"/>
        </w:rPr>
        <w:t>כמו שהערנו בשי“ח ש“י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שאותו אוכל אחר אינו נחשב אוכל כאוכל ראשון</w:t>
      </w:r>
      <w:r>
        <w:rPr>
          <w:rtl w:val="true"/>
        </w:rPr>
        <w:t xml:space="preserve">, </w:t>
      </w:r>
      <w:r>
        <w:rPr>
          <w:rtl w:val="true"/>
        </w:rPr>
        <w:t>שהרי צריך לשחטו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מדאו’</w:t>
      </w:r>
      <w:r>
        <w:rPr>
          <w:rtl w:val="true"/>
        </w:rPr>
        <w:t xml:space="preserve">, </w:t>
      </w:r>
      <w:r>
        <w:rPr>
          <w:rtl w:val="true"/>
        </w:rPr>
        <w:t>לא צריך לשחוט עוף</w:t>
      </w:r>
      <w:r>
        <w:rPr>
          <w:rtl w:val="true"/>
        </w:rPr>
        <w:t xml:space="preserve">. </w:t>
      </w:r>
      <w:r>
        <w:rPr>
          <w:rtl w:val="true"/>
        </w:rPr>
        <w:t>עיין בחולין</w:t>
      </w:r>
      <w:r>
        <w:rPr>
          <w:rtl w:val="true"/>
        </w:rPr>
        <w:t xml:space="preserve">, </w:t>
      </w:r>
      <w:r>
        <w:rPr>
          <w:rtl w:val="true"/>
        </w:rPr>
        <w:t>שחלקו בו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הנחתי שהדרשה הוא ממילת ”כל</w:t>
      </w:r>
      <w:r>
        <w:rPr>
          <w:rtl w:val="true"/>
        </w:rPr>
        <w:t>.“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ש“אכילה“ ר</w:t>
      </w:r>
      <w:r>
        <w:rPr>
          <w:rtl w:val="true"/>
        </w:rPr>
        <w:t>"</w:t>
      </w:r>
      <w:r>
        <w:rPr>
          <w:rtl w:val="true"/>
        </w:rPr>
        <w:t>ל בליעה</w:t>
      </w:r>
      <w:r>
        <w:rPr>
          <w:rtl w:val="true"/>
        </w:rPr>
        <w:t>. (</w:t>
      </w:r>
      <w:r>
        <w:rPr>
          <w:rtl w:val="true"/>
        </w:rPr>
        <w:t>ויש לדון אם הוא בליעה או הכנסה למעים</w:t>
      </w:r>
      <w:r>
        <w:rPr>
          <w:rtl w:val="true"/>
        </w:rPr>
        <w:t xml:space="preserve">. </w:t>
      </w:r>
      <w:r>
        <w:rPr>
          <w:rtl w:val="true"/>
        </w:rPr>
        <w:t>ותחשב אם יש חי’ בין הצדדים</w:t>
      </w:r>
      <w:r>
        <w:rPr>
          <w:rtl w:val="true"/>
        </w:rPr>
        <w:t xml:space="preserve">.) </w:t>
      </w:r>
      <w:r>
        <w:rPr>
          <w:rtl w:val="true"/>
        </w:rPr>
        <w:t>ויש לדחות שאכילה הוא הכנסה לפה</w:t>
      </w:r>
      <w:r>
        <w:rPr>
          <w:rtl w:val="true"/>
        </w:rPr>
        <w:t xml:space="preserve">, </w:t>
      </w:r>
      <w:r>
        <w:rPr>
          <w:rtl w:val="true"/>
        </w:rPr>
        <w:t>ולא יכניס אדם לפה מה שלא יכול לבלוע בפעם אחת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7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1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bidi w:val="1"/>
      <w:spacing w:before="0" w:after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bidi w:val="1"/>
      <w:spacing w:before="0" w:after="0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bidi w:val="1"/>
      <w:spacing w:before="0" w:after="0"/>
      <w:ind w:left="0" w:right="0" w:hanging="0"/>
      <w:jc w:val="left"/>
      <w:outlineLvl w:val="2"/>
    </w:pPr>
    <w:rPr>
      <w:b w:val="false"/>
      <w:bCs w:val="false"/>
      <w:sz w:val="24"/>
      <w:szCs w:val="24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bidi w:val="1"/>
      <w:spacing w:before="0" w:after="0"/>
      <w:jc w:val="left"/>
      <w:outlineLvl w:val="3"/>
    </w:pPr>
    <w:rPr>
      <w:b/>
      <w:bCs/>
      <w:i/>
      <w:iCs/>
      <w:sz w:val="26"/>
      <w:szCs w:val="26"/>
    </w:rPr>
  </w:style>
  <w:style w:type="character" w:styleId="LineNumbering">
    <w:name w:val="Line Number"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40" w:before="0" w:after="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240</TotalTime>
  <Application>LibreOffice/7.5.3.2$Windows_X86_64 LibreOffice_project/9f56dff12ba03b9acd7730a5a481eea045e468f3</Application>
  <AppVersion>15.0000</AppVersion>
  <Pages>3</Pages>
  <Words>1519</Words>
  <Characters>6408</Characters>
  <CharactersWithSpaces>7863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2023-07-09T17:01:12Z</dcterms:created>
  <dc:creator>שאול יואל הכהן חייט</dc:creator>
  <dc:description/>
  <dc:language>en-US</dc:language>
  <cp:lastModifiedBy>שאול יואל הכהן חייט</cp:lastModifiedBy>
  <dcterms:modified xsi:type="dcterms:W3CDTF">2023-07-09T21:01:50Z</dcterms:modified>
  <cp:revision>51</cp:revision>
  <dc:subject/>
  <dc:title/>
</cp:coreProperties>
</file>