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FC33" w14:textId="4F2C128C" w:rsidR="005A29DD" w:rsidRDefault="005A29DD" w:rsidP="005A29DD">
      <w:pPr>
        <w:bidi/>
        <w:rPr>
          <w:rtl/>
          <w:lang w:bidi="he-IL"/>
        </w:rPr>
      </w:pPr>
      <w:proofErr w:type="spellStart"/>
      <w:r>
        <w:rPr>
          <w:rFonts w:hint="cs"/>
          <w:rtl/>
          <w:lang w:bidi="he-IL"/>
        </w:rPr>
        <w:t>הגמ</w:t>
      </w:r>
      <w:proofErr w:type="spellEnd"/>
      <w:r>
        <w:rPr>
          <w:rFonts w:hint="cs"/>
          <w:rtl/>
          <w:lang w:bidi="he-IL"/>
        </w:rPr>
        <w:t xml:space="preserve">' מדבר בהגדרת "יד." יד הוא חלק מאוכל שאינו נאכל ונשאר שם כדי להשתמש בו עם האוכל. הדין הוא </w:t>
      </w:r>
      <w:proofErr w:type="spellStart"/>
      <w:r>
        <w:rPr>
          <w:rFonts w:hint="cs"/>
          <w:rtl/>
          <w:lang w:bidi="he-IL"/>
        </w:rPr>
        <w:t>שלענין</w:t>
      </w:r>
      <w:proofErr w:type="spellEnd"/>
      <w:r>
        <w:rPr>
          <w:rFonts w:hint="cs"/>
          <w:rtl/>
          <w:lang w:bidi="he-IL"/>
        </w:rPr>
        <w:t xml:space="preserve"> טומאה נחשב חלק מן האוכל. </w:t>
      </w:r>
    </w:p>
    <w:p w14:paraId="1FBEE8D1" w14:textId="3258AE9F" w:rsidR="004E5447" w:rsidRDefault="004E5447" w:rsidP="004E5447">
      <w:pPr>
        <w:bidi/>
        <w:rPr>
          <w:rtl/>
          <w:lang w:bidi="he-IL"/>
        </w:rPr>
      </w:pPr>
      <w:r>
        <w:rPr>
          <w:rFonts w:hint="cs"/>
          <w:rtl/>
          <w:lang w:bidi="he-IL"/>
        </w:rPr>
        <w:t xml:space="preserve">יש </w:t>
      </w:r>
      <w:proofErr w:type="spellStart"/>
      <w:r>
        <w:rPr>
          <w:rFonts w:hint="cs"/>
          <w:rtl/>
          <w:lang w:bidi="he-IL"/>
        </w:rPr>
        <w:t>מימרא</w:t>
      </w:r>
      <w:proofErr w:type="spellEnd"/>
      <w:r>
        <w:rPr>
          <w:rFonts w:hint="cs"/>
          <w:rtl/>
          <w:lang w:bidi="he-IL"/>
        </w:rPr>
        <w:t xml:space="preserve"> מרב </w:t>
      </w:r>
      <w:proofErr w:type="spellStart"/>
      <w:r>
        <w:rPr>
          <w:rFonts w:hint="cs"/>
          <w:rtl/>
          <w:lang w:bidi="he-IL"/>
        </w:rPr>
        <w:t>הונא</w:t>
      </w:r>
      <w:proofErr w:type="spellEnd"/>
      <w:r>
        <w:rPr>
          <w:rFonts w:hint="cs"/>
          <w:rtl/>
          <w:lang w:bidi="he-IL"/>
        </w:rPr>
        <w:t xml:space="preserve"> </w:t>
      </w:r>
      <w:proofErr w:type="spellStart"/>
      <w:r>
        <w:rPr>
          <w:rFonts w:hint="cs"/>
          <w:rtl/>
          <w:lang w:bidi="he-IL"/>
        </w:rPr>
        <w:t>בענין</w:t>
      </w:r>
      <w:proofErr w:type="spellEnd"/>
      <w:r>
        <w:rPr>
          <w:rFonts w:hint="cs"/>
          <w:rtl/>
          <w:lang w:bidi="he-IL"/>
        </w:rPr>
        <w:t xml:space="preserve"> דבר שלא מקבל דין יד. חולקים מהו </w:t>
      </w:r>
      <w:proofErr w:type="spellStart"/>
      <w:r>
        <w:rPr>
          <w:rFonts w:hint="cs"/>
          <w:rtl/>
          <w:lang w:bidi="he-IL"/>
        </w:rPr>
        <w:t>המימרא</w:t>
      </w:r>
      <w:proofErr w:type="spellEnd"/>
      <w:r>
        <w:rPr>
          <w:rFonts w:hint="cs"/>
          <w:rtl/>
          <w:lang w:bidi="he-IL"/>
        </w:rPr>
        <w:t>:</w:t>
      </w:r>
    </w:p>
    <w:p w14:paraId="584C3439" w14:textId="4DBDAED3" w:rsidR="005A29DD" w:rsidRDefault="005A29DD" w:rsidP="004E5447">
      <w:pPr>
        <w:pStyle w:val="ListParagraph"/>
        <w:numPr>
          <w:ilvl w:val="0"/>
          <w:numId w:val="1"/>
        </w:numPr>
        <w:bidi/>
        <w:rPr>
          <w:rtl/>
          <w:lang w:bidi="he-IL"/>
        </w:rPr>
      </w:pPr>
      <w:r>
        <w:rPr>
          <w:rFonts w:hint="cs"/>
          <w:rtl/>
          <w:lang w:bidi="he-IL"/>
        </w:rPr>
        <w:t xml:space="preserve">רבי אבא בשם רב </w:t>
      </w:r>
      <w:proofErr w:type="spellStart"/>
      <w:r>
        <w:rPr>
          <w:rFonts w:hint="cs"/>
          <w:rtl/>
          <w:lang w:bidi="he-IL"/>
        </w:rPr>
        <w:t>הונא</w:t>
      </w:r>
      <w:proofErr w:type="spellEnd"/>
      <w:r>
        <w:rPr>
          <w:rFonts w:hint="cs"/>
          <w:rtl/>
          <w:lang w:bidi="he-IL"/>
        </w:rPr>
        <w:t xml:space="preserve"> אומר שהבוצר לגת אין לו ידות. כיון שמכוון לסחוט את הפירות, אין תשמיש לידות. </w:t>
      </w:r>
    </w:p>
    <w:p w14:paraId="7CB6C432" w14:textId="51B2B08E" w:rsidR="005A29DD" w:rsidRDefault="005A29DD" w:rsidP="004E5447">
      <w:pPr>
        <w:pStyle w:val="ListParagraph"/>
        <w:numPr>
          <w:ilvl w:val="0"/>
          <w:numId w:val="1"/>
        </w:numPr>
        <w:bidi/>
        <w:rPr>
          <w:rtl/>
          <w:lang w:bidi="he-IL"/>
        </w:rPr>
      </w:pPr>
      <w:r>
        <w:rPr>
          <w:rFonts w:hint="cs"/>
          <w:rtl/>
          <w:lang w:bidi="he-IL"/>
        </w:rPr>
        <w:t xml:space="preserve">רב מנשיא בר גדא בשם רב </w:t>
      </w:r>
      <w:proofErr w:type="spellStart"/>
      <w:r>
        <w:rPr>
          <w:rFonts w:hint="cs"/>
          <w:rtl/>
          <w:lang w:bidi="he-IL"/>
        </w:rPr>
        <w:t>הונא</w:t>
      </w:r>
      <w:proofErr w:type="spellEnd"/>
      <w:r>
        <w:rPr>
          <w:rFonts w:hint="cs"/>
          <w:rtl/>
          <w:lang w:bidi="he-IL"/>
        </w:rPr>
        <w:t xml:space="preserve"> אומר שהקוצר לסכך אין לו ידות, שאין ל</w:t>
      </w:r>
      <w:r w:rsidR="004E5447">
        <w:rPr>
          <w:rFonts w:hint="cs"/>
          <w:rtl/>
          <w:lang w:bidi="he-IL"/>
        </w:rPr>
        <w:t>ו תשמיש בידות</w:t>
      </w:r>
      <w:r>
        <w:rPr>
          <w:rFonts w:hint="cs"/>
          <w:rtl/>
          <w:lang w:bidi="he-IL"/>
        </w:rPr>
        <w:t>.</w:t>
      </w:r>
      <w:r>
        <w:rPr>
          <w:rStyle w:val="FootnoteReference"/>
          <w:rtl/>
          <w:lang w:bidi="he-IL"/>
        </w:rPr>
        <w:footnoteReference w:id="1"/>
      </w:r>
    </w:p>
    <w:p w14:paraId="5ECE3898" w14:textId="404E4E50" w:rsidR="004E5447" w:rsidRDefault="004E5447" w:rsidP="005A29DD">
      <w:pPr>
        <w:bidi/>
        <w:rPr>
          <w:rtl/>
          <w:lang w:bidi="he-IL"/>
        </w:rPr>
      </w:pPr>
      <w:r>
        <w:rPr>
          <w:rFonts w:hint="cs"/>
          <w:rtl/>
          <w:lang w:bidi="he-IL"/>
        </w:rPr>
        <w:t xml:space="preserve">גמ' מפרש שלא מודים ר"א ור"מ להדדי. לר"מ, בין בקוצר בין בבוצר אין ידות. אבל, </w:t>
      </w:r>
      <w:proofErr w:type="spellStart"/>
      <w:r>
        <w:rPr>
          <w:rFonts w:hint="cs"/>
          <w:rtl/>
          <w:lang w:bidi="he-IL"/>
        </w:rPr>
        <w:t>לר"א</w:t>
      </w:r>
      <w:proofErr w:type="spellEnd"/>
      <w:r>
        <w:rPr>
          <w:rFonts w:hint="cs"/>
          <w:rtl/>
          <w:lang w:bidi="he-IL"/>
        </w:rPr>
        <w:t>, בקוצר יש ידות, שיש תשמיש בידות, כיון שמחבר את הפירות.</w:t>
      </w:r>
      <w:r>
        <w:rPr>
          <w:rStyle w:val="FootnoteReference"/>
          <w:rtl/>
          <w:lang w:bidi="he-IL"/>
        </w:rPr>
        <w:footnoteReference w:id="2"/>
      </w:r>
    </w:p>
    <w:p w14:paraId="3EE1DE75" w14:textId="40903B51" w:rsidR="00293EA5" w:rsidRDefault="007377A4" w:rsidP="00293EA5">
      <w:pPr>
        <w:bidi/>
        <w:rPr>
          <w:rtl/>
          <w:lang w:bidi="he-IL"/>
        </w:rPr>
      </w:pPr>
      <w:r>
        <w:rPr>
          <w:rFonts w:hint="cs"/>
          <w:rtl/>
          <w:lang w:bidi="he-IL"/>
        </w:rPr>
        <w:t>גמרא מביא מחלקת תנאים שהוא אולי נוגע למחלקת זה בין ר"א ור"מ. מדובר ב</w:t>
      </w:r>
      <w:r w:rsidR="00961C99">
        <w:rPr>
          <w:rFonts w:hint="cs"/>
          <w:rtl/>
          <w:lang w:bidi="he-IL"/>
        </w:rPr>
        <w:t>מסכל לסוכת מצווה ב</w:t>
      </w:r>
      <w:r>
        <w:rPr>
          <w:rFonts w:hint="cs"/>
          <w:rtl/>
          <w:lang w:bidi="he-IL"/>
        </w:rPr>
        <w:t>תאנים וכדומה שיש עמהם פסולת. אומר שיש להם דין אוכל כל זמן שהפסולת מיעוט. אבל, חולקים תנא וקמא ואחרים אם צריך להיות</w:t>
      </w:r>
      <w:r w:rsidR="00293EA5">
        <w:rPr>
          <w:rFonts w:hint="cs"/>
          <w:rtl/>
          <w:lang w:bidi="he-IL"/>
        </w:rPr>
        <w:t xml:space="preserve"> מיעוט כנגד רק הפירות או כנגד הפירות והידות. נמצא שחולקים אם יש לידות, באותו הציור, דין ידות. </w:t>
      </w:r>
    </w:p>
    <w:p w14:paraId="79A440F1" w14:textId="77777777" w:rsidR="00961C99" w:rsidRDefault="00961C99" w:rsidP="00961C99">
      <w:pPr>
        <w:bidi/>
        <w:rPr>
          <w:rtl/>
          <w:lang w:bidi="he-IL"/>
        </w:rPr>
      </w:pPr>
      <w:r>
        <w:rPr>
          <w:rFonts w:hint="cs"/>
          <w:rtl/>
          <w:lang w:bidi="he-IL"/>
        </w:rPr>
        <w:t xml:space="preserve">דוחה גמ' שר"מ יכול לדחות שאין חולקים </w:t>
      </w:r>
      <w:proofErr w:type="spellStart"/>
      <w:r>
        <w:rPr>
          <w:rFonts w:hint="cs"/>
          <w:rtl/>
          <w:lang w:bidi="he-IL"/>
        </w:rPr>
        <w:t>בקןצר</w:t>
      </w:r>
      <w:proofErr w:type="spellEnd"/>
      <w:r>
        <w:rPr>
          <w:rFonts w:hint="cs"/>
          <w:rtl/>
          <w:lang w:bidi="he-IL"/>
        </w:rPr>
        <w:t xml:space="preserve"> לסכך, ובוודאי אין לו ידות. חולקים בקוצר לאוכל ונמלך </w:t>
      </w:r>
      <w:proofErr w:type="spellStart"/>
      <w:r>
        <w:rPr>
          <w:rFonts w:hint="cs"/>
          <w:rtl/>
          <w:lang w:bidi="he-IL"/>
        </w:rPr>
        <w:t>לסחך</w:t>
      </w:r>
      <w:proofErr w:type="spellEnd"/>
      <w:r>
        <w:rPr>
          <w:rFonts w:hint="cs"/>
          <w:rtl/>
          <w:lang w:bidi="he-IL"/>
        </w:rPr>
        <w:t xml:space="preserve">, אם נשאר לידות דין יד. </w:t>
      </w:r>
    </w:p>
    <w:p w14:paraId="5878360A" w14:textId="5092B481" w:rsidR="00961C99" w:rsidRDefault="00961C99" w:rsidP="00961C99">
      <w:pPr>
        <w:bidi/>
        <w:rPr>
          <w:rtl/>
          <w:lang w:bidi="he-IL"/>
        </w:rPr>
      </w:pPr>
      <w:r>
        <w:rPr>
          <w:rFonts w:hint="cs"/>
          <w:rtl/>
          <w:lang w:bidi="he-IL"/>
        </w:rPr>
        <w:t>מקשה גמ' למה רבנן אומרים שלא נשאר דין ידות. הרי,  משנה אומר שכלים, אף שיורדים לטומאה אף בידי מחשבה, לא עולים מן הטומאה אלא על ידי מעשה.</w:t>
      </w:r>
      <w:r w:rsidR="005C0961">
        <w:rPr>
          <w:rFonts w:hint="cs"/>
          <w:rtl/>
          <w:lang w:bidi="he-IL"/>
        </w:rPr>
        <w:t xml:space="preserve"> דוחה שזה רק נכון ב</w:t>
      </w:r>
      <w:r w:rsidR="004A1279">
        <w:rPr>
          <w:rFonts w:hint="cs"/>
          <w:rtl/>
          <w:lang w:bidi="he-IL"/>
        </w:rPr>
        <w:t>כלי</w:t>
      </w:r>
      <w:r w:rsidR="005C0961">
        <w:rPr>
          <w:rFonts w:hint="cs"/>
          <w:rtl/>
          <w:lang w:bidi="he-IL"/>
        </w:rPr>
        <w:t>ם, שהם חשובים, ולא בידות.</w:t>
      </w:r>
    </w:p>
    <w:p w14:paraId="565B5FC5" w14:textId="685BB75D" w:rsidR="00656F49" w:rsidRDefault="004A1279" w:rsidP="00656F49">
      <w:pPr>
        <w:bidi/>
        <w:rPr>
          <w:rtl/>
          <w:lang w:bidi="he-IL"/>
        </w:rPr>
      </w:pPr>
      <w:r>
        <w:rPr>
          <w:rFonts w:hint="cs"/>
          <w:rtl/>
          <w:lang w:bidi="he-IL"/>
        </w:rPr>
        <w:t xml:space="preserve">מקשה ממשנה שאומר שידות האוכלים בססן בגורן טהורות, ורבי יוסי מטמא. חולקים מהו פי' "בססן," אם הוא שהתיר את האוגד שלהם או שטחן אותם. הרי, כדי לטהר אותו, צריך יותר ממחשבה. (גמ' מפרש שלא קשה אם נפרש כצד ראשון, שלפי זה, יש לומר שזה רק סימן לשינוי במחשבה שלו. אולי גם </w:t>
      </w:r>
      <w:proofErr w:type="spellStart"/>
      <w:r>
        <w:rPr>
          <w:rFonts w:hint="cs"/>
          <w:rtl/>
          <w:lang w:bidi="he-IL"/>
        </w:rPr>
        <w:t>לענין</w:t>
      </w:r>
      <w:proofErr w:type="spellEnd"/>
      <w:r>
        <w:rPr>
          <w:rFonts w:hint="cs"/>
          <w:rtl/>
          <w:lang w:bidi="he-IL"/>
        </w:rPr>
        <w:t xml:space="preserve"> סוכה עושה קצת סימן או אולי הסימן לאו דווקא</w:t>
      </w:r>
      <w:r w:rsidR="00656F49">
        <w:rPr>
          <w:rFonts w:hint="cs"/>
          <w:rtl/>
          <w:lang w:bidi="he-IL"/>
        </w:rPr>
        <w:t>.)</w:t>
      </w:r>
    </w:p>
    <w:p w14:paraId="20545773" w14:textId="4F02DC33" w:rsidR="00656F49" w:rsidRDefault="00656F49" w:rsidP="00656F49">
      <w:pPr>
        <w:bidi/>
        <w:rPr>
          <w:rtl/>
          <w:lang w:bidi="he-IL"/>
        </w:rPr>
      </w:pPr>
      <w:r>
        <w:rPr>
          <w:rFonts w:hint="cs"/>
          <w:rtl/>
          <w:lang w:bidi="he-IL"/>
        </w:rPr>
        <w:t xml:space="preserve">מפרש גמ' שהמשנה לא מדבר בסכך שקצר לשם אכילה ונמלך, אלא </w:t>
      </w:r>
      <w:proofErr w:type="spellStart"/>
      <w:r>
        <w:rPr>
          <w:rFonts w:hint="cs"/>
          <w:rtl/>
          <w:lang w:bidi="he-IL"/>
        </w:rPr>
        <w:t>שבססם</w:t>
      </w:r>
      <w:proofErr w:type="spellEnd"/>
      <w:r>
        <w:rPr>
          <w:rFonts w:hint="cs"/>
          <w:rtl/>
          <w:lang w:bidi="he-IL"/>
        </w:rPr>
        <w:t xml:space="preserve"> ונמלך. מקשה אז מה הטעם של אחרים, שבוודאי יהיו טהורים, כיון שנשתנה במעשה. משיב שסוברים כרבי יוסי, שאומר שנשאר להם דין ידות. מקשה שלא יהיה טעם של רבי יוסי נמצא כאן. הרי, רבי יוסי רק אומר שנחשבים ידות כיון שיש להם קצת תשמיש, שיכולים להפוך את הפרי על ידי עתר יותר כיון שיש לו יד. אבל, לא עושה כלום לסכך. דוחה גמ' שעדיין יותר קל לאחוז את </w:t>
      </w:r>
      <w:proofErr w:type="spellStart"/>
      <w:r>
        <w:rPr>
          <w:rFonts w:hint="cs"/>
          <w:rtl/>
          <w:lang w:bidi="he-IL"/>
        </w:rPr>
        <w:t>הכל</w:t>
      </w:r>
      <w:proofErr w:type="spellEnd"/>
      <w:r>
        <w:rPr>
          <w:rFonts w:hint="cs"/>
          <w:rtl/>
          <w:lang w:bidi="he-IL"/>
        </w:rPr>
        <w:t xml:space="preserve"> על ידי הידות, ואז יש לו קצת תשמיש. </w:t>
      </w:r>
      <w:r w:rsidR="00926EA0">
        <w:rPr>
          <w:rFonts w:hint="cs"/>
          <w:rtl/>
          <w:lang w:bidi="he-IL"/>
        </w:rPr>
        <w:t>(עדיין, כמו שראינו, אין תשמיש זה מהני לעשות אותו יד בפני עצמו, אלא רק להשאיר לו דין יד.)</w:t>
      </w:r>
    </w:p>
    <w:p w14:paraId="7135F0E2" w14:textId="78389549" w:rsidR="00A12B5C" w:rsidRDefault="00E038B1" w:rsidP="005A29DD">
      <w:pPr>
        <w:bidi/>
        <w:rPr>
          <w:rtl/>
          <w:lang w:bidi="he-IL"/>
        </w:rPr>
      </w:pPr>
      <w:r>
        <w:rPr>
          <w:rFonts w:hint="cs"/>
          <w:rtl/>
          <w:lang w:bidi="he-IL"/>
        </w:rPr>
        <w:t xml:space="preserve">אז, בין </w:t>
      </w:r>
      <w:proofErr w:type="spellStart"/>
      <w:r>
        <w:rPr>
          <w:rFonts w:hint="cs"/>
          <w:rtl/>
          <w:lang w:bidi="he-IL"/>
        </w:rPr>
        <w:t>הכל</w:t>
      </w:r>
      <w:proofErr w:type="spellEnd"/>
      <w:r w:rsidR="004C3561">
        <w:rPr>
          <w:rFonts w:hint="cs"/>
          <w:rtl/>
          <w:lang w:bidi="he-IL"/>
        </w:rPr>
        <w:t>,</w:t>
      </w:r>
      <w:r>
        <w:rPr>
          <w:rFonts w:hint="cs"/>
          <w:rtl/>
          <w:lang w:bidi="he-IL"/>
        </w:rPr>
        <w:t xml:space="preserve"> מצאנו ככה:</w:t>
      </w:r>
    </w:p>
    <w:p w14:paraId="15C9161E" w14:textId="1BE8C35C" w:rsidR="00E038B1" w:rsidRDefault="00E038B1" w:rsidP="00E038B1">
      <w:pPr>
        <w:pStyle w:val="ListParagraph"/>
        <w:numPr>
          <w:ilvl w:val="0"/>
          <w:numId w:val="2"/>
        </w:numPr>
        <w:bidi/>
        <w:rPr>
          <w:lang w:bidi="he-IL"/>
        </w:rPr>
      </w:pPr>
      <w:r>
        <w:rPr>
          <w:rFonts w:hint="cs"/>
          <w:rtl/>
          <w:lang w:bidi="he-IL"/>
        </w:rPr>
        <w:t>ידות שאין להם תשמיש אין נחשבים ידות. מצאנו שתי סיבות שאולי הם כן:</w:t>
      </w:r>
    </w:p>
    <w:p w14:paraId="21250DC6" w14:textId="5B2272BE" w:rsidR="00E038B1" w:rsidRDefault="00E038B1" w:rsidP="00E038B1">
      <w:pPr>
        <w:pStyle w:val="ListParagraph"/>
        <w:numPr>
          <w:ilvl w:val="1"/>
          <w:numId w:val="2"/>
        </w:numPr>
        <w:bidi/>
        <w:rPr>
          <w:lang w:bidi="he-IL"/>
        </w:rPr>
      </w:pPr>
      <w:r>
        <w:rPr>
          <w:rFonts w:hint="cs"/>
          <w:rtl/>
          <w:lang w:bidi="he-IL"/>
        </w:rPr>
        <w:t>אם בוצר אדם לגת, אין לידות תשמיש.</w:t>
      </w:r>
    </w:p>
    <w:p w14:paraId="266132A6" w14:textId="2E94C0D2" w:rsidR="00E038B1" w:rsidRDefault="00E038B1" w:rsidP="00E038B1">
      <w:pPr>
        <w:pStyle w:val="ListParagraph"/>
        <w:numPr>
          <w:ilvl w:val="1"/>
          <w:numId w:val="2"/>
        </w:numPr>
        <w:bidi/>
        <w:rPr>
          <w:lang w:bidi="he-IL"/>
        </w:rPr>
      </w:pPr>
      <w:r>
        <w:rPr>
          <w:rFonts w:hint="cs"/>
          <w:rtl/>
          <w:lang w:bidi="he-IL"/>
        </w:rPr>
        <w:t>אם קוצר אדם לסוכה, חולקים ר"א ור"מ אם יש לידות תשמיש.</w:t>
      </w:r>
    </w:p>
    <w:p w14:paraId="320217C0" w14:textId="12B46778" w:rsidR="00E038B1" w:rsidRDefault="00E038B1" w:rsidP="00E038B1">
      <w:pPr>
        <w:pStyle w:val="ListParagraph"/>
        <w:numPr>
          <w:ilvl w:val="0"/>
          <w:numId w:val="2"/>
        </w:numPr>
        <w:bidi/>
        <w:rPr>
          <w:lang w:bidi="he-IL"/>
        </w:rPr>
      </w:pPr>
      <w:r>
        <w:rPr>
          <w:rFonts w:hint="cs"/>
          <w:rtl/>
          <w:lang w:bidi="he-IL"/>
        </w:rPr>
        <w:t>מצאנו מחלקת תנאים בידות לסכך. יש שני מהלכים לפרש את זה:</w:t>
      </w:r>
    </w:p>
    <w:p w14:paraId="3E491169" w14:textId="006A1354" w:rsidR="00E038B1" w:rsidRDefault="00E038B1" w:rsidP="00E038B1">
      <w:pPr>
        <w:pStyle w:val="ListParagraph"/>
        <w:numPr>
          <w:ilvl w:val="1"/>
          <w:numId w:val="2"/>
        </w:numPr>
        <w:bidi/>
        <w:rPr>
          <w:lang w:bidi="he-IL"/>
        </w:rPr>
      </w:pPr>
      <w:r>
        <w:rPr>
          <w:rFonts w:hint="cs"/>
          <w:rtl/>
          <w:lang w:bidi="he-IL"/>
        </w:rPr>
        <w:t>חולקים בקוצר לסוכה, אם יש ידים תשמיש או לא.</w:t>
      </w:r>
    </w:p>
    <w:p w14:paraId="05D5C2F3" w14:textId="770A0F13" w:rsidR="00E038B1" w:rsidRDefault="00E038B1" w:rsidP="00E038B1">
      <w:pPr>
        <w:pStyle w:val="ListParagraph"/>
        <w:numPr>
          <w:ilvl w:val="1"/>
          <w:numId w:val="2"/>
        </w:numPr>
        <w:bidi/>
        <w:rPr>
          <w:lang w:bidi="he-IL"/>
        </w:rPr>
      </w:pPr>
      <w:r>
        <w:rPr>
          <w:rFonts w:hint="cs"/>
          <w:rtl/>
          <w:lang w:bidi="he-IL"/>
        </w:rPr>
        <w:t>חולקים במחלקת רבי יוסי ורבנן שנביא לקמן.</w:t>
      </w:r>
    </w:p>
    <w:p w14:paraId="5D04B085" w14:textId="434D1CCA" w:rsidR="00E038B1" w:rsidRDefault="00E038B1" w:rsidP="00E038B1">
      <w:pPr>
        <w:pStyle w:val="ListParagraph"/>
        <w:numPr>
          <w:ilvl w:val="0"/>
          <w:numId w:val="2"/>
        </w:numPr>
        <w:bidi/>
        <w:rPr>
          <w:lang w:bidi="he-IL"/>
        </w:rPr>
      </w:pPr>
      <w:r>
        <w:rPr>
          <w:rFonts w:hint="cs"/>
          <w:rtl/>
          <w:lang w:bidi="he-IL"/>
        </w:rPr>
        <w:t xml:space="preserve">חולקים רבי יוסי ורבנן בידות ששינה את דעתו מהם ובסס אותם. חולקים אמוראים במה חולקים, אם רק התיר את האיגוד שלהם (רק שינה מחשבתו) או ממש דש אותם (ולא קל להשתמש בהם </w:t>
      </w:r>
      <w:proofErr w:type="spellStart"/>
      <w:r>
        <w:rPr>
          <w:rFonts w:hint="cs"/>
          <w:rtl/>
          <w:lang w:bidi="he-IL"/>
        </w:rPr>
        <w:t>כידים</w:t>
      </w:r>
      <w:proofErr w:type="spellEnd"/>
      <w:r>
        <w:rPr>
          <w:rFonts w:hint="cs"/>
          <w:rtl/>
          <w:lang w:bidi="he-IL"/>
        </w:rPr>
        <w:t>).</w:t>
      </w:r>
    </w:p>
    <w:sectPr w:rsidR="00E038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2B716" w14:textId="77777777" w:rsidR="00843E36" w:rsidRDefault="00843E36" w:rsidP="005A29DD">
      <w:pPr>
        <w:spacing w:after="0" w:line="240" w:lineRule="auto"/>
      </w:pPr>
      <w:r>
        <w:separator/>
      </w:r>
    </w:p>
  </w:endnote>
  <w:endnote w:type="continuationSeparator" w:id="0">
    <w:p w14:paraId="4DEB958D" w14:textId="77777777" w:rsidR="00843E36" w:rsidRDefault="00843E36" w:rsidP="005A2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60FB" w14:textId="77777777" w:rsidR="00843E36" w:rsidRDefault="00843E36" w:rsidP="005A29DD">
      <w:pPr>
        <w:spacing w:after="0" w:line="240" w:lineRule="auto"/>
      </w:pPr>
      <w:r>
        <w:separator/>
      </w:r>
    </w:p>
  </w:footnote>
  <w:footnote w:type="continuationSeparator" w:id="0">
    <w:p w14:paraId="208C6EE7" w14:textId="77777777" w:rsidR="00843E36" w:rsidRDefault="00843E36" w:rsidP="005A29DD">
      <w:pPr>
        <w:spacing w:after="0" w:line="240" w:lineRule="auto"/>
      </w:pPr>
      <w:r>
        <w:continuationSeparator/>
      </w:r>
    </w:p>
  </w:footnote>
  <w:footnote w:id="1">
    <w:p w14:paraId="54662352" w14:textId="7707E7D8" w:rsidR="005A29DD" w:rsidRDefault="005A29DD" w:rsidP="005A29DD">
      <w:pPr>
        <w:pStyle w:val="FootnoteText"/>
        <w:bidi/>
        <w:rPr>
          <w:rFonts w:hint="cs"/>
          <w:rtl/>
          <w:lang w:bidi="he-IL"/>
        </w:rPr>
      </w:pPr>
      <w:r>
        <w:rPr>
          <w:rStyle w:val="FootnoteReference"/>
        </w:rPr>
        <w:footnoteRef/>
      </w:r>
      <w:r>
        <w:t xml:space="preserve"> </w:t>
      </w:r>
      <w:r>
        <w:rPr>
          <w:rFonts w:hint="cs"/>
          <w:rtl/>
          <w:lang w:bidi="he-IL"/>
        </w:rPr>
        <w:t>לא קוצר לסכך של מצווה, שכיון שמדברים בידות, מובן שמדברים בדבר שמקבל טומאה. אז, אינו כשר לסכך של מצווה. צריך לומר שמדברים בסיכוך שאינו למצווה.</w:t>
      </w:r>
    </w:p>
  </w:footnote>
  <w:footnote w:id="2">
    <w:p w14:paraId="171F2902" w14:textId="4BFCC4D5" w:rsidR="004E5447" w:rsidRDefault="004E5447" w:rsidP="004E5447">
      <w:pPr>
        <w:pStyle w:val="FootnoteText"/>
        <w:bidi/>
        <w:rPr>
          <w:rFonts w:hint="cs"/>
          <w:rtl/>
          <w:lang w:bidi="he-IL"/>
        </w:rPr>
      </w:pPr>
      <w:r>
        <w:rPr>
          <w:rStyle w:val="FootnoteReference"/>
        </w:rPr>
        <w:footnoteRef/>
      </w:r>
      <w:r>
        <w:t xml:space="preserve"> </w:t>
      </w:r>
      <w:r>
        <w:rPr>
          <w:rFonts w:hint="cs"/>
          <w:rtl/>
          <w:lang w:bidi="he-IL"/>
        </w:rPr>
        <w:t>יש לדון אם אז יותר קל לשים אותם במקום סכך או שאז מסככים יותר טוב.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2BE5"/>
    <w:multiLevelType w:val="hybridMultilevel"/>
    <w:tmpl w:val="3372F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D857A5"/>
    <w:multiLevelType w:val="hybridMultilevel"/>
    <w:tmpl w:val="2A94F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484134">
    <w:abstractNumId w:val="0"/>
  </w:num>
  <w:num w:numId="2" w16cid:durableId="1579827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66"/>
    <w:rsid w:val="001153A2"/>
    <w:rsid w:val="00293EA5"/>
    <w:rsid w:val="004A1279"/>
    <w:rsid w:val="004C3561"/>
    <w:rsid w:val="004E5447"/>
    <w:rsid w:val="005A29DD"/>
    <w:rsid w:val="005C0961"/>
    <w:rsid w:val="00656F49"/>
    <w:rsid w:val="00663166"/>
    <w:rsid w:val="007377A4"/>
    <w:rsid w:val="00843E36"/>
    <w:rsid w:val="00926EA0"/>
    <w:rsid w:val="00961C99"/>
    <w:rsid w:val="00A12B5C"/>
    <w:rsid w:val="00CF7315"/>
    <w:rsid w:val="00E038B1"/>
    <w:rsid w:val="00E35053"/>
    <w:rsid w:val="00E35A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A1A8"/>
  <w15:chartTrackingRefBased/>
  <w15:docId w15:val="{696B3956-6246-4D5E-92C7-79631D35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166"/>
    <w:rPr>
      <w:rFonts w:eastAsiaTheme="majorEastAsia" w:cstheme="majorBidi"/>
      <w:color w:val="272727" w:themeColor="text1" w:themeTint="D8"/>
    </w:rPr>
  </w:style>
  <w:style w:type="paragraph" w:styleId="Title">
    <w:name w:val="Title"/>
    <w:basedOn w:val="Normal"/>
    <w:next w:val="Normal"/>
    <w:link w:val="TitleChar"/>
    <w:uiPriority w:val="10"/>
    <w:qFormat/>
    <w:rsid w:val="00663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166"/>
    <w:pPr>
      <w:spacing w:before="160"/>
      <w:jc w:val="center"/>
    </w:pPr>
    <w:rPr>
      <w:i/>
      <w:iCs/>
      <w:color w:val="404040" w:themeColor="text1" w:themeTint="BF"/>
    </w:rPr>
  </w:style>
  <w:style w:type="character" w:customStyle="1" w:styleId="QuoteChar">
    <w:name w:val="Quote Char"/>
    <w:basedOn w:val="DefaultParagraphFont"/>
    <w:link w:val="Quote"/>
    <w:uiPriority w:val="29"/>
    <w:rsid w:val="00663166"/>
    <w:rPr>
      <w:i/>
      <w:iCs/>
      <w:color w:val="404040" w:themeColor="text1" w:themeTint="BF"/>
    </w:rPr>
  </w:style>
  <w:style w:type="paragraph" w:styleId="ListParagraph">
    <w:name w:val="List Paragraph"/>
    <w:basedOn w:val="Normal"/>
    <w:uiPriority w:val="34"/>
    <w:qFormat/>
    <w:rsid w:val="00663166"/>
    <w:pPr>
      <w:ind w:left="720"/>
      <w:contextualSpacing/>
    </w:pPr>
  </w:style>
  <w:style w:type="character" w:styleId="IntenseEmphasis">
    <w:name w:val="Intense Emphasis"/>
    <w:basedOn w:val="DefaultParagraphFont"/>
    <w:uiPriority w:val="21"/>
    <w:qFormat/>
    <w:rsid w:val="00663166"/>
    <w:rPr>
      <w:i/>
      <w:iCs/>
      <w:color w:val="0F4761" w:themeColor="accent1" w:themeShade="BF"/>
    </w:rPr>
  </w:style>
  <w:style w:type="paragraph" w:styleId="IntenseQuote">
    <w:name w:val="Intense Quote"/>
    <w:basedOn w:val="Normal"/>
    <w:next w:val="Normal"/>
    <w:link w:val="IntenseQuoteChar"/>
    <w:uiPriority w:val="30"/>
    <w:qFormat/>
    <w:rsid w:val="00663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166"/>
    <w:rPr>
      <w:i/>
      <w:iCs/>
      <w:color w:val="0F4761" w:themeColor="accent1" w:themeShade="BF"/>
    </w:rPr>
  </w:style>
  <w:style w:type="character" w:styleId="IntenseReference">
    <w:name w:val="Intense Reference"/>
    <w:basedOn w:val="DefaultParagraphFont"/>
    <w:uiPriority w:val="32"/>
    <w:qFormat/>
    <w:rsid w:val="00663166"/>
    <w:rPr>
      <w:b/>
      <w:bCs/>
      <w:smallCaps/>
      <w:color w:val="0F4761" w:themeColor="accent1" w:themeShade="BF"/>
      <w:spacing w:val="5"/>
    </w:rPr>
  </w:style>
  <w:style w:type="character" w:styleId="Hyperlink">
    <w:name w:val="Hyperlink"/>
    <w:basedOn w:val="DefaultParagraphFont"/>
    <w:uiPriority w:val="99"/>
    <w:unhideWhenUsed/>
    <w:rsid w:val="005A29DD"/>
    <w:rPr>
      <w:color w:val="467886" w:themeColor="hyperlink"/>
      <w:u w:val="single"/>
    </w:rPr>
  </w:style>
  <w:style w:type="character" w:styleId="UnresolvedMention">
    <w:name w:val="Unresolved Mention"/>
    <w:basedOn w:val="DefaultParagraphFont"/>
    <w:uiPriority w:val="99"/>
    <w:semiHidden/>
    <w:unhideWhenUsed/>
    <w:rsid w:val="005A29DD"/>
    <w:rPr>
      <w:color w:val="605E5C"/>
      <w:shd w:val="clear" w:color="auto" w:fill="E1DFDD"/>
    </w:rPr>
  </w:style>
  <w:style w:type="paragraph" w:styleId="FootnoteText">
    <w:name w:val="footnote text"/>
    <w:basedOn w:val="Normal"/>
    <w:link w:val="FootnoteTextChar"/>
    <w:uiPriority w:val="99"/>
    <w:semiHidden/>
    <w:unhideWhenUsed/>
    <w:rsid w:val="005A29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29DD"/>
    <w:rPr>
      <w:sz w:val="20"/>
      <w:szCs w:val="20"/>
    </w:rPr>
  </w:style>
  <w:style w:type="character" w:styleId="FootnoteReference">
    <w:name w:val="footnote reference"/>
    <w:basedOn w:val="DefaultParagraphFont"/>
    <w:uiPriority w:val="99"/>
    <w:semiHidden/>
    <w:unhideWhenUsed/>
    <w:rsid w:val="005A29D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59143">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983072428">
          <w:marLeft w:val="0"/>
          <w:marRight w:val="0"/>
          <w:marTop w:val="0"/>
          <w:marBottom w:val="0"/>
          <w:divBdr>
            <w:top w:val="none" w:sz="0" w:space="0" w:color="auto"/>
            <w:left w:val="none" w:sz="0" w:space="0" w:color="auto"/>
            <w:bottom w:val="none" w:sz="0" w:space="0" w:color="auto"/>
            <w:right w:val="none" w:sz="0" w:space="0" w:color="auto"/>
          </w:divBdr>
          <w:divsChild>
            <w:div w:id="207338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01487">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199199208">
          <w:marLeft w:val="0"/>
          <w:marRight w:val="0"/>
          <w:marTop w:val="0"/>
          <w:marBottom w:val="0"/>
          <w:divBdr>
            <w:top w:val="none" w:sz="0" w:space="0" w:color="auto"/>
            <w:left w:val="none" w:sz="0" w:space="0" w:color="auto"/>
            <w:bottom w:val="none" w:sz="0" w:space="0" w:color="auto"/>
            <w:right w:val="none" w:sz="0" w:space="0" w:color="auto"/>
          </w:divBdr>
          <w:divsChild>
            <w:div w:id="16680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9</cp:revision>
  <dcterms:created xsi:type="dcterms:W3CDTF">2025-01-01T11:47:00Z</dcterms:created>
  <dcterms:modified xsi:type="dcterms:W3CDTF">2025-01-01T12:26:00Z</dcterms:modified>
</cp:coreProperties>
</file>